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11.xml" ContentType="application/vnd.openxmlformats-officedocument.drawingml.chart+xml"/>
  <Override PartName="/word/charts/chart12.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3.xml" ContentType="application/vnd.openxmlformats-officedocument.drawingml.chart+xml"/>
  <Override PartName="/word/charts/chart14.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5.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6.xml" ContentType="application/vnd.openxmlformats-officedocument.drawingml.chart+xml"/>
  <Override PartName="/word/charts/chart17.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8.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9.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20.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21.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22.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3.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4.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5.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6.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7.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8.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9.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30.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31.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32.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33.xml" ContentType="application/vnd.openxmlformats-officedocument.drawingml.chart+xml"/>
  <Override PartName="/word/charts/style26.xml" ContentType="application/vnd.ms-office.chartstyle+xml"/>
  <Override PartName="/word/charts/colors2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450F6" w14:textId="3D5FEF4F" w:rsidR="00C21D1A" w:rsidRPr="00F569AE" w:rsidRDefault="009D302D" w:rsidP="009D302D">
      <w:pPr>
        <w:spacing w:line="276" w:lineRule="auto"/>
        <w:rPr>
          <w:rFonts w:ascii="Calibri" w:hAnsi="Calibri" w:cs="Calibri"/>
          <w:lang w:val="en-US"/>
        </w:rPr>
      </w:pPr>
      <w:r w:rsidRPr="00F569AE">
        <w:rPr>
          <w:rFonts w:ascii="Calibri" w:hAnsi="Calibri" w:cs="Calibri"/>
          <w:lang w:val="en-US"/>
        </w:rPr>
        <w:fldChar w:fldCharType="begin"/>
      </w:r>
      <w:r w:rsidR="00CF4AE0" w:rsidRPr="00F569AE">
        <w:rPr>
          <w:rFonts w:ascii="Calibri" w:hAnsi="Calibri" w:cs="Calibri"/>
          <w:lang w:val="en-US"/>
        </w:rPr>
        <w:instrText xml:space="preserve"> INCLUDEPICTURE "C:\\Users\\magdastepanyan\\Library\\Group Containers\\UBF8T346G9.ms\\WebArchiveCopyPasteTempFiles\\com.microsoft.Word\\UNDP-Logo-1-1024x298.png" \* MERGEFORMAT </w:instrText>
      </w:r>
      <w:r w:rsidRPr="00F569AE">
        <w:rPr>
          <w:rFonts w:ascii="Calibri" w:hAnsi="Calibri" w:cs="Calibri"/>
          <w:lang w:val="en-US"/>
        </w:rPr>
        <w:fldChar w:fldCharType="separate"/>
      </w:r>
      <w:r w:rsidRPr="00F569AE">
        <w:rPr>
          <w:rFonts w:ascii="Calibri" w:hAnsi="Calibri" w:cs="Calibri"/>
          <w:noProof/>
          <w:lang w:val="en-US"/>
        </w:rPr>
        <w:drawing>
          <wp:inline distT="0" distB="0" distL="0" distR="0" wp14:anchorId="0467BF2A" wp14:editId="56510B1C">
            <wp:extent cx="5731510" cy="1668145"/>
            <wp:effectExtent l="0" t="0" r="0" b="0"/>
            <wp:docPr id="507676082" name="Picture 1" descr="A blue and whit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6082" name="Picture 1" descr="A blue and white logo with white tex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668145"/>
                    </a:xfrm>
                    <a:prstGeom prst="rect">
                      <a:avLst/>
                    </a:prstGeom>
                    <a:noFill/>
                    <a:ln>
                      <a:noFill/>
                    </a:ln>
                  </pic:spPr>
                </pic:pic>
              </a:graphicData>
            </a:graphic>
          </wp:inline>
        </w:drawing>
      </w:r>
      <w:r w:rsidRPr="00F569AE">
        <w:rPr>
          <w:rFonts w:ascii="Calibri" w:hAnsi="Calibri" w:cs="Calibri"/>
          <w:lang w:val="en-US"/>
        </w:rPr>
        <w:fldChar w:fldCharType="end"/>
      </w:r>
    </w:p>
    <w:p w14:paraId="48627CC7" w14:textId="77777777" w:rsidR="009D302D" w:rsidRPr="00F569AE" w:rsidRDefault="009D302D" w:rsidP="000245A8">
      <w:pPr>
        <w:spacing w:line="276" w:lineRule="auto"/>
        <w:jc w:val="center"/>
        <w:rPr>
          <w:rFonts w:ascii="Calibri" w:hAnsi="Calibri" w:cs="Calibri"/>
          <w:b/>
          <w:color w:val="000000" w:themeColor="text1"/>
          <w:sz w:val="36"/>
          <w:szCs w:val="36"/>
          <w:lang w:val="en-US"/>
        </w:rPr>
      </w:pPr>
    </w:p>
    <w:p w14:paraId="4ED563A7" w14:textId="19B5439D" w:rsidR="000245A8" w:rsidRPr="00F569AE" w:rsidRDefault="00D608A7" w:rsidP="000245A8">
      <w:pPr>
        <w:spacing w:line="276" w:lineRule="auto"/>
        <w:jc w:val="center"/>
        <w:rPr>
          <w:rFonts w:ascii="Calibri" w:hAnsi="Calibri" w:cs="Calibri"/>
          <w:b/>
          <w:color w:val="000000" w:themeColor="text1"/>
          <w:sz w:val="36"/>
          <w:szCs w:val="36"/>
          <w:lang w:val="en-US"/>
        </w:rPr>
      </w:pPr>
      <w:r w:rsidRPr="00F569AE">
        <w:rPr>
          <w:rFonts w:ascii="Calibri" w:hAnsi="Calibri" w:cs="Calibri"/>
          <w:b/>
          <w:color w:val="000000" w:themeColor="text1"/>
          <w:sz w:val="36"/>
          <w:szCs w:val="36"/>
          <w:lang w:val="en-US"/>
        </w:rPr>
        <w:t xml:space="preserve">DRAFT </w:t>
      </w:r>
      <w:r w:rsidR="003B5170" w:rsidRPr="00F569AE">
        <w:rPr>
          <w:rFonts w:ascii="Calibri" w:hAnsi="Calibri" w:cs="Calibri"/>
          <w:b/>
          <w:color w:val="000000" w:themeColor="text1"/>
          <w:sz w:val="36"/>
          <w:szCs w:val="36"/>
          <w:lang w:val="en-US"/>
        </w:rPr>
        <w:t>FINAL</w:t>
      </w:r>
      <w:r w:rsidR="000245A8" w:rsidRPr="00F569AE">
        <w:rPr>
          <w:rFonts w:ascii="Calibri" w:hAnsi="Calibri" w:cs="Calibri"/>
          <w:b/>
          <w:color w:val="000000" w:themeColor="text1"/>
          <w:sz w:val="36"/>
          <w:szCs w:val="36"/>
          <w:lang w:val="en-US"/>
        </w:rPr>
        <w:t xml:space="preserve"> REPORT</w:t>
      </w:r>
    </w:p>
    <w:p w14:paraId="63B048CD" w14:textId="77777777" w:rsidR="000245A8" w:rsidRPr="00F569AE" w:rsidRDefault="000245A8" w:rsidP="000245A8">
      <w:pPr>
        <w:spacing w:line="276" w:lineRule="auto"/>
        <w:jc w:val="center"/>
        <w:rPr>
          <w:rFonts w:ascii="Calibri" w:hAnsi="Calibri" w:cs="Calibri"/>
          <w:b/>
          <w:color w:val="000000" w:themeColor="text1"/>
          <w:sz w:val="36"/>
          <w:szCs w:val="36"/>
          <w:lang w:val="en-US"/>
        </w:rPr>
      </w:pPr>
    </w:p>
    <w:p w14:paraId="5F0DB59B" w14:textId="56EAAE1B" w:rsidR="009D302D" w:rsidRPr="00F569AE" w:rsidRDefault="000245A8" w:rsidP="000245A8">
      <w:pPr>
        <w:spacing w:line="276" w:lineRule="auto"/>
        <w:jc w:val="center"/>
        <w:rPr>
          <w:rFonts w:ascii="Calibri" w:hAnsi="Calibri" w:cs="Calibri"/>
          <w:b/>
          <w:color w:val="000000" w:themeColor="text1"/>
          <w:sz w:val="36"/>
          <w:szCs w:val="36"/>
          <w:lang w:val="en-US"/>
        </w:rPr>
      </w:pPr>
      <w:r w:rsidRPr="00F569AE">
        <w:rPr>
          <w:rFonts w:ascii="Calibri" w:hAnsi="Calibri" w:cs="Calibri"/>
          <w:b/>
          <w:color w:val="000000" w:themeColor="text1"/>
          <w:sz w:val="36"/>
          <w:szCs w:val="36"/>
          <w:lang w:val="en-US"/>
        </w:rPr>
        <w:t>FINAL EVALUATION OF</w:t>
      </w:r>
    </w:p>
    <w:p w14:paraId="216C77BB" w14:textId="77777777" w:rsidR="009D302D" w:rsidRPr="00F569AE" w:rsidRDefault="009D302D" w:rsidP="009D302D">
      <w:pPr>
        <w:spacing w:line="276" w:lineRule="auto"/>
        <w:jc w:val="center"/>
        <w:rPr>
          <w:rFonts w:ascii="Calibri" w:hAnsi="Calibri" w:cs="Calibri"/>
          <w:color w:val="000000" w:themeColor="text1"/>
          <w:lang w:val="en-US"/>
        </w:rPr>
      </w:pPr>
    </w:p>
    <w:p w14:paraId="2211646D" w14:textId="7971A162" w:rsidR="009D302D" w:rsidRPr="00F569AE" w:rsidRDefault="009D302D" w:rsidP="009D302D">
      <w:pPr>
        <w:tabs>
          <w:tab w:val="left" w:pos="993"/>
          <w:tab w:val="left" w:pos="6120"/>
        </w:tabs>
        <w:spacing w:line="276" w:lineRule="auto"/>
        <w:ind w:right="-112"/>
        <w:jc w:val="center"/>
        <w:rPr>
          <w:rFonts w:ascii="Calibri" w:hAnsi="Calibri" w:cs="Calibri"/>
          <w:b/>
          <w:color w:val="000000" w:themeColor="text1"/>
          <w:sz w:val="36"/>
          <w:szCs w:val="36"/>
          <w:lang w:val="en-US"/>
        </w:rPr>
      </w:pPr>
      <w:r w:rsidRPr="00F569AE">
        <w:rPr>
          <w:rFonts w:ascii="Calibri" w:hAnsi="Calibri" w:cs="Calibri"/>
          <w:b/>
          <w:color w:val="000000" w:themeColor="text1"/>
          <w:sz w:val="36"/>
          <w:szCs w:val="36"/>
          <w:u w:val="single"/>
          <w:lang w:val="en-US"/>
        </w:rPr>
        <w:t>Project:</w:t>
      </w:r>
      <w:r w:rsidRPr="00F569AE">
        <w:rPr>
          <w:rFonts w:ascii="Calibri" w:hAnsi="Calibri" w:cs="Calibri"/>
          <w:b/>
          <w:color w:val="000000" w:themeColor="text1"/>
          <w:sz w:val="36"/>
          <w:szCs w:val="36"/>
          <w:lang w:val="en-US"/>
        </w:rPr>
        <w:t xml:space="preserve"> Municipal Environmental Governance (MEG) Project, Phase II</w:t>
      </w:r>
    </w:p>
    <w:p w14:paraId="7AD440E0" w14:textId="17492AEF" w:rsidR="009D302D" w:rsidRPr="00F569AE" w:rsidRDefault="009D302D" w:rsidP="009D302D">
      <w:pPr>
        <w:tabs>
          <w:tab w:val="left" w:pos="993"/>
          <w:tab w:val="left" w:pos="6120"/>
        </w:tabs>
        <w:spacing w:line="276" w:lineRule="auto"/>
        <w:ind w:right="-112"/>
        <w:jc w:val="center"/>
        <w:rPr>
          <w:rFonts w:ascii="Calibri" w:hAnsi="Calibri" w:cs="Calibri"/>
          <w:b/>
          <w:color w:val="000000" w:themeColor="text1"/>
          <w:sz w:val="36"/>
          <w:szCs w:val="36"/>
          <w:lang w:val="en-US"/>
        </w:rPr>
      </w:pPr>
      <w:r w:rsidRPr="00F569AE">
        <w:rPr>
          <w:rFonts w:ascii="Calibri" w:hAnsi="Calibri" w:cs="Calibri"/>
          <w:b/>
          <w:color w:val="000000" w:themeColor="text1"/>
          <w:sz w:val="36"/>
          <w:szCs w:val="36"/>
          <w:lang w:val="en-US"/>
        </w:rPr>
        <w:t>&amp;</w:t>
      </w:r>
    </w:p>
    <w:p w14:paraId="28272F6F" w14:textId="2685E367" w:rsidR="009D302D" w:rsidRPr="00F569AE" w:rsidRDefault="009D302D" w:rsidP="009D302D">
      <w:pPr>
        <w:tabs>
          <w:tab w:val="left" w:pos="993"/>
          <w:tab w:val="left" w:pos="6120"/>
        </w:tabs>
        <w:spacing w:line="276" w:lineRule="auto"/>
        <w:ind w:right="-112"/>
        <w:jc w:val="center"/>
        <w:rPr>
          <w:rFonts w:ascii="Calibri" w:hAnsi="Calibri" w:cs="Calibri"/>
          <w:b/>
          <w:color w:val="000000" w:themeColor="text1"/>
          <w:sz w:val="36"/>
          <w:szCs w:val="36"/>
          <w:lang w:val="en-US"/>
        </w:rPr>
      </w:pPr>
      <w:r w:rsidRPr="00F569AE">
        <w:rPr>
          <w:rFonts w:ascii="Calibri" w:hAnsi="Calibri" w:cs="Calibri"/>
          <w:b/>
          <w:color w:val="000000" w:themeColor="text1"/>
          <w:sz w:val="36"/>
          <w:szCs w:val="36"/>
          <w:u w:val="single"/>
          <w:lang w:val="en-US"/>
        </w:rPr>
        <w:t>Action:</w:t>
      </w:r>
      <w:r w:rsidRPr="00F569AE">
        <w:rPr>
          <w:rFonts w:ascii="Calibri" w:hAnsi="Calibri" w:cs="Calibri"/>
          <w:b/>
          <w:color w:val="000000" w:themeColor="text1"/>
          <w:sz w:val="36"/>
          <w:szCs w:val="36"/>
          <w:lang w:val="en-US"/>
        </w:rPr>
        <w:t xml:space="preserve"> European Union Support to Sustainable Management of Water Services in Bosnia and Herzegovina (EU4MEG)</w:t>
      </w:r>
    </w:p>
    <w:p w14:paraId="1AB575E7" w14:textId="7E6B582E" w:rsidR="009D302D" w:rsidRPr="008E65F1" w:rsidRDefault="003B5170" w:rsidP="008E65F1">
      <w:pPr>
        <w:tabs>
          <w:tab w:val="left" w:pos="993"/>
          <w:tab w:val="left" w:pos="6120"/>
        </w:tabs>
        <w:spacing w:line="276" w:lineRule="auto"/>
        <w:ind w:right="-112"/>
        <w:jc w:val="center"/>
        <w:rPr>
          <w:rFonts w:ascii="Calibri" w:hAnsi="Calibri" w:cs="Calibri"/>
          <w:b/>
          <w:color w:val="000000" w:themeColor="text1"/>
          <w:sz w:val="36"/>
          <w:szCs w:val="36"/>
          <w:lang w:val="en-US" w:eastAsia="bs-Latn-BA"/>
        </w:rPr>
      </w:pPr>
      <w:r w:rsidRPr="00F569AE">
        <w:rPr>
          <w:rFonts w:ascii="Calibri" w:hAnsi="Calibri" w:cs="Calibri"/>
          <w:b/>
          <w:color w:val="000000" w:themeColor="text1"/>
          <w:sz w:val="36"/>
          <w:szCs w:val="36"/>
          <w:lang w:val="en-US"/>
        </w:rPr>
        <w:t>2021-2025</w:t>
      </w:r>
    </w:p>
    <w:p w14:paraId="3D73EF9F" w14:textId="77777777" w:rsidR="009D302D" w:rsidRDefault="009D302D" w:rsidP="009D302D">
      <w:pPr>
        <w:spacing w:line="276" w:lineRule="auto"/>
        <w:rPr>
          <w:rFonts w:ascii="Calibri" w:hAnsi="Calibri" w:cs="Calibri"/>
          <w:lang w:val="en-US"/>
        </w:rPr>
      </w:pPr>
    </w:p>
    <w:p w14:paraId="5348D126" w14:textId="77777777" w:rsidR="00FD0949" w:rsidRPr="00F569AE" w:rsidRDefault="00FD0949" w:rsidP="009D302D">
      <w:pPr>
        <w:spacing w:line="276" w:lineRule="auto"/>
        <w:rPr>
          <w:rFonts w:ascii="Calibri" w:hAnsi="Calibri" w:cs="Calibri"/>
          <w:lang w:val="en-US"/>
        </w:rPr>
      </w:pPr>
    </w:p>
    <w:p w14:paraId="2E52323D" w14:textId="5F8130C9" w:rsidR="009D302D" w:rsidRPr="00FD0949" w:rsidRDefault="009D302D" w:rsidP="008E65F1">
      <w:pPr>
        <w:spacing w:line="276" w:lineRule="auto"/>
        <w:jc w:val="right"/>
        <w:rPr>
          <w:rFonts w:ascii="Calibri" w:hAnsi="Calibri" w:cs="Calibri"/>
          <w:b/>
          <w:lang w:val="en-US"/>
        </w:rPr>
      </w:pPr>
      <w:r w:rsidRPr="00FD0949">
        <w:rPr>
          <w:rFonts w:ascii="Calibri" w:hAnsi="Calibri" w:cs="Calibri"/>
          <w:b/>
          <w:lang w:val="en-US"/>
        </w:rPr>
        <w:t>Evaluation team:</w:t>
      </w:r>
    </w:p>
    <w:p w14:paraId="0F936C4C" w14:textId="0ECDD342" w:rsidR="009D302D" w:rsidRPr="00FD0949" w:rsidRDefault="009D302D" w:rsidP="009D302D">
      <w:pPr>
        <w:spacing w:line="276" w:lineRule="auto"/>
        <w:jc w:val="right"/>
        <w:rPr>
          <w:rFonts w:ascii="Calibri" w:hAnsi="Calibri" w:cs="Calibri"/>
          <w:lang w:val="en-US"/>
        </w:rPr>
      </w:pPr>
      <w:r w:rsidRPr="00FD0949">
        <w:rPr>
          <w:rFonts w:ascii="Calibri" w:hAnsi="Calibri" w:cs="Calibri"/>
          <w:lang w:val="en-US"/>
        </w:rPr>
        <w:t>Ms. Magda Stepanyan, Evaluation Team Leader</w:t>
      </w:r>
    </w:p>
    <w:p w14:paraId="4F6C2ACF" w14:textId="39A8369F" w:rsidR="009D302D" w:rsidRPr="00FD0949" w:rsidRDefault="009D302D" w:rsidP="009D302D">
      <w:pPr>
        <w:spacing w:line="276" w:lineRule="auto"/>
        <w:jc w:val="right"/>
        <w:rPr>
          <w:rFonts w:ascii="Calibri" w:hAnsi="Calibri" w:cs="Calibri"/>
          <w:lang w:val="en-US"/>
        </w:rPr>
      </w:pPr>
      <w:r w:rsidRPr="00FD0949">
        <w:rPr>
          <w:rFonts w:ascii="Calibri" w:hAnsi="Calibri" w:cs="Calibri"/>
          <w:lang w:val="en-US"/>
        </w:rPr>
        <w:t>Ms. Željka Knežević, National expert</w:t>
      </w:r>
    </w:p>
    <w:p w14:paraId="56459A61" w14:textId="553E1CEE" w:rsidR="009D302D" w:rsidRPr="00FD0949" w:rsidRDefault="009D302D" w:rsidP="009D302D">
      <w:pPr>
        <w:spacing w:line="276" w:lineRule="auto"/>
        <w:jc w:val="right"/>
        <w:rPr>
          <w:rFonts w:ascii="Calibri" w:hAnsi="Calibri" w:cs="Calibri"/>
          <w:lang w:val="en-US"/>
        </w:rPr>
      </w:pPr>
      <w:r w:rsidRPr="00FD0949">
        <w:rPr>
          <w:rFonts w:ascii="Calibri" w:hAnsi="Calibri" w:cs="Calibri"/>
          <w:lang w:val="en-US"/>
        </w:rPr>
        <w:t>Mr. Mišel Pavlica, National Expert</w:t>
      </w:r>
    </w:p>
    <w:p w14:paraId="3E79524E" w14:textId="77777777" w:rsidR="009D302D" w:rsidRPr="00F569AE" w:rsidRDefault="009D302D" w:rsidP="009D302D">
      <w:pPr>
        <w:spacing w:line="276" w:lineRule="auto"/>
        <w:jc w:val="right"/>
        <w:rPr>
          <w:rFonts w:ascii="Calibri" w:hAnsi="Calibri" w:cs="Calibri"/>
          <w:lang w:val="en-US"/>
        </w:rPr>
      </w:pPr>
    </w:p>
    <w:p w14:paraId="6408B6BC" w14:textId="77777777" w:rsidR="009D302D" w:rsidRPr="00F569AE" w:rsidRDefault="009D302D" w:rsidP="009D302D">
      <w:pPr>
        <w:spacing w:line="276" w:lineRule="auto"/>
        <w:jc w:val="right"/>
        <w:rPr>
          <w:rFonts w:ascii="Calibri" w:hAnsi="Calibri" w:cs="Calibri"/>
          <w:lang w:val="en-US"/>
        </w:rPr>
      </w:pPr>
    </w:p>
    <w:p w14:paraId="36AA4050" w14:textId="77777777" w:rsidR="008E65F1" w:rsidRPr="008E65F1" w:rsidRDefault="008E65F1" w:rsidP="008E65F1">
      <w:pPr>
        <w:spacing w:line="276" w:lineRule="auto"/>
        <w:jc w:val="right"/>
        <w:rPr>
          <w:rFonts w:ascii="Calibri" w:hAnsi="Calibri" w:cs="Calibri"/>
          <w:b/>
          <w:i/>
          <w:lang w:val="en-US"/>
        </w:rPr>
      </w:pPr>
      <w:r w:rsidRPr="008E65F1">
        <w:rPr>
          <w:rFonts w:ascii="Calibri" w:hAnsi="Calibri" w:cs="Calibri"/>
          <w:b/>
          <w:i/>
          <w:lang w:val="en-US"/>
        </w:rPr>
        <w:t>Timeframe of the evaluation:</w:t>
      </w:r>
    </w:p>
    <w:p w14:paraId="3C721DF2" w14:textId="77777777" w:rsidR="008E65F1" w:rsidRDefault="008E65F1" w:rsidP="008E65F1">
      <w:pPr>
        <w:spacing w:line="276" w:lineRule="auto"/>
        <w:jc w:val="right"/>
        <w:rPr>
          <w:rFonts w:ascii="Calibri" w:hAnsi="Calibri" w:cs="Calibri"/>
          <w:lang w:val="en-US"/>
        </w:rPr>
      </w:pPr>
      <w:r>
        <w:rPr>
          <w:rFonts w:ascii="Calibri" w:hAnsi="Calibri" w:cs="Calibri"/>
          <w:lang w:val="en-US"/>
        </w:rPr>
        <w:t>15 May 2025- 30 July 2025</w:t>
      </w:r>
    </w:p>
    <w:p w14:paraId="18ECB7B9" w14:textId="77777777" w:rsidR="009B24E7" w:rsidRDefault="009B24E7" w:rsidP="008E65F1">
      <w:pPr>
        <w:spacing w:line="276" w:lineRule="auto"/>
        <w:jc w:val="right"/>
        <w:rPr>
          <w:rFonts w:ascii="Calibri" w:hAnsi="Calibri" w:cs="Calibri"/>
          <w:lang w:val="en-US"/>
        </w:rPr>
      </w:pPr>
    </w:p>
    <w:p w14:paraId="00F3A170" w14:textId="77777777" w:rsidR="008E65F1" w:rsidRPr="008E65F1" w:rsidRDefault="008E65F1" w:rsidP="008E65F1">
      <w:pPr>
        <w:spacing w:line="276" w:lineRule="auto"/>
        <w:jc w:val="right"/>
        <w:rPr>
          <w:rFonts w:ascii="Calibri" w:hAnsi="Calibri" w:cs="Calibri"/>
          <w:b/>
          <w:i/>
          <w:lang w:val="en-US"/>
        </w:rPr>
      </w:pPr>
      <w:r w:rsidRPr="008E65F1">
        <w:rPr>
          <w:rFonts w:ascii="Calibri" w:hAnsi="Calibri" w:cs="Calibri"/>
          <w:b/>
          <w:i/>
          <w:lang w:val="en-US"/>
        </w:rPr>
        <w:t>Country of the evaluation:</w:t>
      </w:r>
    </w:p>
    <w:p w14:paraId="1D84F4F8" w14:textId="77777777" w:rsidR="008E65F1" w:rsidRPr="00B86DD5" w:rsidRDefault="008E65F1" w:rsidP="008E65F1">
      <w:pPr>
        <w:spacing w:line="276" w:lineRule="auto"/>
        <w:jc w:val="right"/>
        <w:rPr>
          <w:rFonts w:ascii="Calibri" w:hAnsi="Calibri" w:cs="Calibri"/>
          <w:lang w:val="en-US"/>
        </w:rPr>
      </w:pPr>
      <w:r>
        <w:rPr>
          <w:rFonts w:ascii="Calibri" w:hAnsi="Calibri" w:cs="Calibri"/>
          <w:lang w:val="en-US"/>
        </w:rPr>
        <w:t>Bosnia and Herzegovina (BiH)</w:t>
      </w:r>
    </w:p>
    <w:p w14:paraId="0C476AE6" w14:textId="77777777" w:rsidR="009D302D" w:rsidRPr="00F569AE" w:rsidRDefault="009D302D" w:rsidP="009D302D">
      <w:pPr>
        <w:spacing w:line="276" w:lineRule="auto"/>
        <w:jc w:val="right"/>
        <w:rPr>
          <w:rFonts w:ascii="Calibri" w:hAnsi="Calibri" w:cs="Calibri"/>
          <w:lang w:val="en-US"/>
        </w:rPr>
      </w:pPr>
    </w:p>
    <w:p w14:paraId="642BB125" w14:textId="77777777" w:rsidR="009D302D" w:rsidRPr="00F569AE" w:rsidRDefault="009D302D" w:rsidP="00C95B98">
      <w:pPr>
        <w:spacing w:line="276" w:lineRule="auto"/>
        <w:rPr>
          <w:rFonts w:ascii="Calibri" w:hAnsi="Calibri" w:cs="Calibri"/>
          <w:lang w:val="en-US"/>
        </w:rPr>
      </w:pPr>
    </w:p>
    <w:p w14:paraId="6998E002" w14:textId="3CE4E355" w:rsidR="00120DAE" w:rsidRPr="00F569AE" w:rsidRDefault="001C6B80" w:rsidP="00F02524">
      <w:pPr>
        <w:pStyle w:val="Heading1"/>
        <w:rPr>
          <w:rFonts w:ascii="Calibri" w:hAnsi="Calibri" w:cs="Calibri"/>
        </w:rPr>
      </w:pPr>
      <w:bookmarkStart w:id="0" w:name="_Toc197870973"/>
      <w:bookmarkStart w:id="1" w:name="_Toc197880848"/>
      <w:bookmarkStart w:id="2" w:name="_Toc197880881"/>
      <w:bookmarkStart w:id="3" w:name="_Toc197880903"/>
      <w:bookmarkStart w:id="4" w:name="_Toc197887865"/>
      <w:bookmarkStart w:id="5" w:name="_Toc197889591"/>
      <w:bookmarkStart w:id="6" w:name="_Toc198370983"/>
      <w:bookmarkStart w:id="7" w:name="_Toc198380170"/>
      <w:bookmarkStart w:id="8" w:name="_Toc198380248"/>
      <w:bookmarkStart w:id="9" w:name="_Toc198386611"/>
      <w:bookmarkStart w:id="10" w:name="_Toc198461110"/>
      <w:bookmarkStart w:id="11" w:name="_Toc198461440"/>
      <w:bookmarkStart w:id="12" w:name="_Toc198640460"/>
      <w:bookmarkStart w:id="13" w:name="_Toc198641737"/>
      <w:bookmarkStart w:id="14" w:name="_Toc198647911"/>
      <w:bookmarkStart w:id="15" w:name="_Toc198880602"/>
      <w:bookmarkStart w:id="16" w:name="_Toc200528788"/>
      <w:bookmarkStart w:id="17" w:name="_Toc200528830"/>
      <w:bookmarkStart w:id="18" w:name="_Toc203130388"/>
      <w:bookmarkStart w:id="19" w:name="_Toc203130709"/>
      <w:bookmarkStart w:id="20" w:name="_Toc203139153"/>
      <w:bookmarkStart w:id="21" w:name="_Toc204075576"/>
      <w:bookmarkStart w:id="22" w:name="_Toc204080403"/>
      <w:bookmarkStart w:id="23" w:name="_Toc204080426"/>
      <w:bookmarkStart w:id="24" w:name="_Toc204164235"/>
      <w:bookmarkStart w:id="25" w:name="_Toc204348544"/>
      <w:bookmarkStart w:id="26" w:name="_Toc204348583"/>
      <w:bookmarkStart w:id="27" w:name="_Toc204348663"/>
      <w:bookmarkStart w:id="28" w:name="_Toc204355555"/>
      <w:bookmarkStart w:id="29" w:name="_Toc204359569"/>
      <w:bookmarkStart w:id="30" w:name="_Toc204361849"/>
      <w:bookmarkStart w:id="31" w:name="_Toc204432476"/>
      <w:bookmarkStart w:id="32" w:name="_Toc204432502"/>
      <w:bookmarkStart w:id="33" w:name="_Toc204434110"/>
      <w:bookmarkStart w:id="34" w:name="_Toc204446741"/>
      <w:bookmarkStart w:id="35" w:name="_Toc204537821"/>
      <w:bookmarkStart w:id="36" w:name="_Toc204591699"/>
      <w:bookmarkStart w:id="37" w:name="_Toc204593238"/>
      <w:bookmarkStart w:id="38" w:name="_Toc204593283"/>
      <w:bookmarkStart w:id="39" w:name="_Toc204593319"/>
      <w:bookmarkStart w:id="40" w:name="_Toc204593353"/>
      <w:bookmarkStart w:id="41" w:name="_Toc204593404"/>
      <w:bookmarkStart w:id="42" w:name="_Toc204593458"/>
      <w:bookmarkStart w:id="43" w:name="_Toc204598768"/>
      <w:bookmarkStart w:id="44" w:name="_Toc204610806"/>
      <w:bookmarkStart w:id="45" w:name="_Toc204701962"/>
      <w:bookmarkStart w:id="46" w:name="_Toc204716675"/>
      <w:bookmarkStart w:id="47" w:name="_Toc204763114"/>
      <w:bookmarkStart w:id="48" w:name="_Toc204763170"/>
      <w:bookmarkStart w:id="49" w:name="_Toc204763294"/>
      <w:bookmarkStart w:id="50" w:name="_Toc204763330"/>
      <w:bookmarkStart w:id="51" w:name="_Toc204763652"/>
      <w:bookmarkStart w:id="52" w:name="_Toc208824420"/>
      <w:bookmarkStart w:id="53" w:name="_Toc208919028"/>
      <w:bookmarkStart w:id="54" w:name="_Toc210048353"/>
      <w:bookmarkStart w:id="55" w:name="_Toc210058522"/>
      <w:bookmarkStart w:id="56" w:name="_Toc179368560"/>
      <w:bookmarkStart w:id="57" w:name="_Toc179368758"/>
      <w:bookmarkStart w:id="58" w:name="_Toc179368880"/>
      <w:bookmarkStart w:id="59" w:name="_Toc179369087"/>
      <w:bookmarkStart w:id="60" w:name="_Toc179645251"/>
      <w:bookmarkStart w:id="61" w:name="_Toc179647382"/>
      <w:bookmarkStart w:id="62" w:name="_Toc179657096"/>
      <w:bookmarkStart w:id="63" w:name="_Toc179660034"/>
      <w:bookmarkStart w:id="64" w:name="_Toc179806162"/>
      <w:bookmarkStart w:id="65" w:name="_Toc179829486"/>
      <w:bookmarkStart w:id="66" w:name="_Toc179831642"/>
      <w:bookmarkStart w:id="67" w:name="_Toc179832986"/>
      <w:bookmarkStart w:id="68" w:name="_Toc179836139"/>
      <w:bookmarkStart w:id="69" w:name="_Toc179875895"/>
      <w:bookmarkStart w:id="70" w:name="_Toc181642437"/>
      <w:bookmarkStart w:id="71" w:name="_Toc181642691"/>
      <w:bookmarkStart w:id="72" w:name="_Toc197804691"/>
      <w:r w:rsidRPr="00F569AE">
        <w:rPr>
          <w:rFonts w:ascii="Calibri" w:hAnsi="Calibri" w:cs="Calibri"/>
        </w:rPr>
        <w:lastRenderedPageBreak/>
        <w:t>Project Synopsis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E3F1D6F" w14:textId="77777777" w:rsidR="00120DAE" w:rsidRPr="00F569AE" w:rsidRDefault="00120DAE" w:rsidP="00120DAE">
      <w:pPr>
        <w:rPr>
          <w:rFonts w:ascii="Calibri" w:hAnsi="Calibri" w:cs="Calibri"/>
          <w:lang w:val="en-US"/>
        </w:rPr>
      </w:pPr>
    </w:p>
    <w:tbl>
      <w:tblPr>
        <w:tblStyle w:val="TableGrid"/>
        <w:tblW w:w="0" w:type="auto"/>
        <w:tblLook w:val="04A0" w:firstRow="1" w:lastRow="0" w:firstColumn="1" w:lastColumn="0" w:noHBand="0" w:noVBand="1"/>
      </w:tblPr>
      <w:tblGrid>
        <w:gridCol w:w="1980"/>
        <w:gridCol w:w="4678"/>
        <w:gridCol w:w="2352"/>
      </w:tblGrid>
      <w:tr w:rsidR="002127A9" w:rsidRPr="00F569AE" w14:paraId="68E8A3B6" w14:textId="77777777" w:rsidTr="00CE13E8">
        <w:tc>
          <w:tcPr>
            <w:tcW w:w="9010" w:type="dxa"/>
            <w:gridSpan w:val="3"/>
            <w:shd w:val="clear" w:color="auto" w:fill="A5C9EB" w:themeFill="text2" w:themeFillTint="40"/>
          </w:tcPr>
          <w:p w14:paraId="1092C051" w14:textId="0470400F" w:rsidR="002127A9" w:rsidRPr="00F569AE" w:rsidRDefault="002127A9" w:rsidP="002127A9">
            <w:pPr>
              <w:jc w:val="center"/>
              <w:rPr>
                <w:rFonts w:ascii="Calibri" w:hAnsi="Calibri" w:cs="Calibri"/>
                <w:b/>
                <w:i/>
                <w:lang w:val="en-US"/>
              </w:rPr>
            </w:pPr>
            <w:r w:rsidRPr="00F569AE">
              <w:rPr>
                <w:rFonts w:ascii="Calibri" w:hAnsi="Calibri" w:cs="Calibri"/>
                <w:b/>
                <w:i/>
                <w:lang w:val="en-US"/>
              </w:rPr>
              <w:t>Project information</w:t>
            </w:r>
          </w:p>
        </w:tc>
      </w:tr>
      <w:tr w:rsidR="002127A9" w:rsidRPr="00F569AE" w14:paraId="40BE4E63" w14:textId="77777777" w:rsidTr="00F02524">
        <w:tc>
          <w:tcPr>
            <w:tcW w:w="1980" w:type="dxa"/>
            <w:shd w:val="clear" w:color="auto" w:fill="DAE9F7" w:themeFill="text2" w:themeFillTint="1A"/>
          </w:tcPr>
          <w:p w14:paraId="3FDD777A" w14:textId="5AC29D46" w:rsidR="002127A9" w:rsidRPr="00F569AE" w:rsidRDefault="002127A9" w:rsidP="002127A9">
            <w:pPr>
              <w:rPr>
                <w:rFonts w:ascii="Calibri" w:hAnsi="Calibri" w:cs="Calibri"/>
                <w:b/>
                <w:i/>
                <w:lang w:val="en-US"/>
              </w:rPr>
            </w:pPr>
            <w:r w:rsidRPr="00F569AE">
              <w:rPr>
                <w:rFonts w:ascii="Calibri" w:hAnsi="Calibri" w:cs="Calibri"/>
                <w:b/>
                <w:i/>
                <w:lang w:val="en-US"/>
              </w:rPr>
              <w:t>Project title</w:t>
            </w:r>
          </w:p>
        </w:tc>
        <w:tc>
          <w:tcPr>
            <w:tcW w:w="7030" w:type="dxa"/>
            <w:gridSpan w:val="2"/>
          </w:tcPr>
          <w:p w14:paraId="17A1B92E" w14:textId="00B7A511" w:rsidR="002127A9" w:rsidRPr="00F569AE" w:rsidRDefault="002127A9" w:rsidP="002127A9">
            <w:pPr>
              <w:jc w:val="both"/>
              <w:rPr>
                <w:rFonts w:ascii="Calibri" w:hAnsi="Calibri" w:cs="Calibri"/>
                <w:lang w:val="en-US"/>
              </w:rPr>
            </w:pPr>
            <w:r w:rsidRPr="00F569AE">
              <w:rPr>
                <w:rFonts w:ascii="Calibri" w:hAnsi="Calibri" w:cs="Calibri"/>
                <w:i/>
                <w:lang w:val="en-US"/>
              </w:rPr>
              <w:t>Munic</w:t>
            </w:r>
            <w:r w:rsidR="00194466" w:rsidRPr="00F569AE">
              <w:rPr>
                <w:rFonts w:ascii="Calibri" w:hAnsi="Calibri" w:cs="Calibri"/>
                <w:i/>
                <w:lang w:val="en-US"/>
              </w:rPr>
              <w:t>i</w:t>
            </w:r>
            <w:r w:rsidRPr="00F569AE">
              <w:rPr>
                <w:rFonts w:ascii="Calibri" w:hAnsi="Calibri" w:cs="Calibri"/>
                <w:i/>
                <w:lang w:val="en-US"/>
              </w:rPr>
              <w:t>pal Environmental Governance (MEG)</w:t>
            </w:r>
            <w:r w:rsidRPr="00F569AE">
              <w:rPr>
                <w:rFonts w:ascii="Calibri" w:hAnsi="Calibri" w:cs="Calibri"/>
                <w:lang w:val="en-US"/>
              </w:rPr>
              <w:t xml:space="preserve"> Project (Phase II)</w:t>
            </w:r>
          </w:p>
          <w:p w14:paraId="00FB38CA" w14:textId="6D5A417D" w:rsidR="002127A9" w:rsidRPr="00F569AE" w:rsidRDefault="002127A9" w:rsidP="002127A9">
            <w:pPr>
              <w:jc w:val="both"/>
              <w:rPr>
                <w:rFonts w:ascii="Calibri" w:hAnsi="Calibri" w:cs="Calibri"/>
                <w:lang w:val="en-US"/>
              </w:rPr>
            </w:pPr>
            <w:r w:rsidRPr="00F569AE">
              <w:rPr>
                <w:rFonts w:ascii="Calibri" w:hAnsi="Calibri" w:cs="Calibri"/>
                <w:lang w:val="en-US"/>
              </w:rPr>
              <w:t xml:space="preserve">And </w:t>
            </w:r>
            <w:r w:rsidRPr="00F569AE">
              <w:rPr>
                <w:rFonts w:ascii="Calibri" w:hAnsi="Calibri" w:cs="Calibri"/>
                <w:i/>
                <w:lang w:val="en-US"/>
              </w:rPr>
              <w:t>European Union Support to Sustainable Management of Water Services in Bosnia and Herzegovina (EU4MEG)</w:t>
            </w:r>
            <w:r w:rsidRPr="00F569AE">
              <w:rPr>
                <w:rFonts w:ascii="Calibri" w:hAnsi="Calibri" w:cs="Calibri"/>
                <w:lang w:val="en-US"/>
              </w:rPr>
              <w:t xml:space="preserve"> Action</w:t>
            </w:r>
          </w:p>
        </w:tc>
      </w:tr>
      <w:tr w:rsidR="002127A9" w:rsidRPr="00F569AE" w14:paraId="18666802" w14:textId="77777777" w:rsidTr="00F02524">
        <w:tc>
          <w:tcPr>
            <w:tcW w:w="1980" w:type="dxa"/>
            <w:shd w:val="clear" w:color="auto" w:fill="DAE9F7" w:themeFill="text2" w:themeFillTint="1A"/>
          </w:tcPr>
          <w:p w14:paraId="5E5A1BDF" w14:textId="6AD71100" w:rsidR="002127A9" w:rsidRPr="00F569AE" w:rsidRDefault="002127A9" w:rsidP="002127A9">
            <w:pPr>
              <w:rPr>
                <w:rFonts w:ascii="Calibri" w:hAnsi="Calibri" w:cs="Calibri"/>
                <w:b/>
                <w:i/>
                <w:lang w:val="en-US"/>
              </w:rPr>
            </w:pPr>
            <w:r w:rsidRPr="00F569AE">
              <w:rPr>
                <w:rFonts w:ascii="Calibri" w:hAnsi="Calibri" w:cs="Calibri"/>
                <w:b/>
                <w:i/>
                <w:lang w:val="en-US"/>
              </w:rPr>
              <w:t>Project award number</w:t>
            </w:r>
          </w:p>
        </w:tc>
        <w:tc>
          <w:tcPr>
            <w:tcW w:w="7030" w:type="dxa"/>
            <w:gridSpan w:val="2"/>
          </w:tcPr>
          <w:p w14:paraId="41EC1174" w14:textId="66DC0415" w:rsidR="002127A9" w:rsidRPr="00F569AE" w:rsidRDefault="002127A9" w:rsidP="002127A9">
            <w:pPr>
              <w:rPr>
                <w:rFonts w:ascii="Calibri" w:hAnsi="Calibri" w:cs="Calibri"/>
                <w:i/>
                <w:lang w:val="en-US"/>
              </w:rPr>
            </w:pPr>
            <w:r w:rsidRPr="00F569AE">
              <w:rPr>
                <w:rFonts w:ascii="Calibri" w:hAnsi="Calibri" w:cs="Calibri"/>
                <w:i/>
                <w:lang w:val="en-US"/>
              </w:rPr>
              <w:t>BiH10/00094439</w:t>
            </w:r>
          </w:p>
        </w:tc>
      </w:tr>
      <w:tr w:rsidR="002127A9" w:rsidRPr="00F569AE" w14:paraId="45165C67" w14:textId="77777777" w:rsidTr="00F02524">
        <w:tc>
          <w:tcPr>
            <w:tcW w:w="1980" w:type="dxa"/>
            <w:shd w:val="clear" w:color="auto" w:fill="DAE9F7" w:themeFill="text2" w:themeFillTint="1A"/>
          </w:tcPr>
          <w:p w14:paraId="5FD1FDDC" w14:textId="68F20A9B" w:rsidR="002127A9" w:rsidRPr="00F569AE" w:rsidRDefault="002127A9" w:rsidP="002127A9">
            <w:pPr>
              <w:rPr>
                <w:rFonts w:ascii="Calibri" w:hAnsi="Calibri" w:cs="Calibri"/>
                <w:b/>
                <w:i/>
                <w:lang w:val="en-US"/>
              </w:rPr>
            </w:pPr>
            <w:r w:rsidRPr="00F569AE">
              <w:rPr>
                <w:rFonts w:ascii="Calibri" w:hAnsi="Calibri" w:cs="Calibri"/>
                <w:b/>
                <w:i/>
                <w:lang w:val="en-US"/>
              </w:rPr>
              <w:t>Project ID</w:t>
            </w:r>
          </w:p>
        </w:tc>
        <w:tc>
          <w:tcPr>
            <w:tcW w:w="7030" w:type="dxa"/>
            <w:gridSpan w:val="2"/>
          </w:tcPr>
          <w:p w14:paraId="5346256B" w14:textId="62457537" w:rsidR="002127A9" w:rsidRPr="00F569AE" w:rsidRDefault="002127A9" w:rsidP="002127A9">
            <w:pPr>
              <w:rPr>
                <w:rFonts w:ascii="Calibri" w:hAnsi="Calibri" w:cs="Calibri"/>
                <w:lang w:val="en-US"/>
              </w:rPr>
            </w:pPr>
            <w:r w:rsidRPr="00F569AE">
              <w:rPr>
                <w:rFonts w:ascii="Calibri" w:hAnsi="Calibri" w:cs="Calibri"/>
                <w:i/>
                <w:lang w:val="en-US"/>
              </w:rPr>
              <w:t>0009853</w:t>
            </w:r>
          </w:p>
        </w:tc>
      </w:tr>
      <w:tr w:rsidR="002127A9" w:rsidRPr="00F569AE" w14:paraId="65DE7716" w14:textId="77777777" w:rsidTr="00F02524">
        <w:tc>
          <w:tcPr>
            <w:tcW w:w="1980" w:type="dxa"/>
            <w:shd w:val="clear" w:color="auto" w:fill="DAE9F7" w:themeFill="text2" w:themeFillTint="1A"/>
          </w:tcPr>
          <w:p w14:paraId="05E3AFCB" w14:textId="70CB64BC" w:rsidR="002127A9" w:rsidRPr="00F569AE" w:rsidRDefault="002127A9" w:rsidP="002127A9">
            <w:pPr>
              <w:rPr>
                <w:rFonts w:ascii="Calibri" w:hAnsi="Calibri" w:cs="Calibri"/>
                <w:b/>
                <w:i/>
                <w:lang w:val="en-US"/>
              </w:rPr>
            </w:pPr>
            <w:r w:rsidRPr="00F569AE">
              <w:rPr>
                <w:rFonts w:ascii="Calibri" w:hAnsi="Calibri" w:cs="Calibri"/>
                <w:b/>
                <w:i/>
                <w:lang w:val="en-US"/>
              </w:rPr>
              <w:t>Corporate outcome and output</w:t>
            </w:r>
          </w:p>
        </w:tc>
        <w:tc>
          <w:tcPr>
            <w:tcW w:w="7030" w:type="dxa"/>
            <w:gridSpan w:val="2"/>
          </w:tcPr>
          <w:p w14:paraId="5E9D3585" w14:textId="77777777" w:rsidR="002127A9" w:rsidRPr="00F569AE" w:rsidRDefault="002127A9" w:rsidP="002127A9">
            <w:pPr>
              <w:rPr>
                <w:rFonts w:ascii="Calibri" w:hAnsi="Calibri" w:cs="Calibri"/>
                <w:u w:val="single"/>
                <w:lang w:val="en-US"/>
              </w:rPr>
            </w:pPr>
            <w:r w:rsidRPr="00F569AE">
              <w:rPr>
                <w:rFonts w:ascii="Calibri" w:hAnsi="Calibri" w:cs="Calibri"/>
                <w:u w:val="single"/>
                <w:lang w:val="en-US"/>
              </w:rPr>
              <w:t>UNSDCF 2021-2025 Outcome 4:</w:t>
            </w:r>
          </w:p>
          <w:p w14:paraId="501B1990" w14:textId="77777777" w:rsidR="002127A9" w:rsidRPr="00F569AE" w:rsidRDefault="002127A9" w:rsidP="002127A9">
            <w:pPr>
              <w:rPr>
                <w:rFonts w:ascii="Calibri" w:hAnsi="Calibri" w:cs="Calibri"/>
                <w:lang w:val="en-US"/>
              </w:rPr>
            </w:pPr>
            <w:r w:rsidRPr="00F569AE">
              <w:rPr>
                <w:rFonts w:ascii="Calibri" w:hAnsi="Calibri" w:cs="Calibri"/>
                <w:lang w:val="en-US"/>
              </w:rPr>
              <w:t>By 2025, people contribute to and benefit from more accountable and transparent governance systems that deliver quality public services and ensure rule of law.</w:t>
            </w:r>
          </w:p>
          <w:p w14:paraId="3AB098E2" w14:textId="77777777" w:rsidR="002127A9" w:rsidRPr="00F569AE" w:rsidRDefault="002127A9" w:rsidP="002127A9">
            <w:pPr>
              <w:rPr>
                <w:rFonts w:ascii="Calibri" w:hAnsi="Calibri" w:cs="Calibri"/>
                <w:lang w:val="en-US"/>
              </w:rPr>
            </w:pPr>
          </w:p>
          <w:p w14:paraId="23E5DB56" w14:textId="38BE802E" w:rsidR="002127A9" w:rsidRPr="00F569AE" w:rsidRDefault="002127A9" w:rsidP="002127A9">
            <w:pPr>
              <w:rPr>
                <w:rFonts w:ascii="Calibri" w:hAnsi="Calibri" w:cs="Calibri"/>
                <w:u w:val="single"/>
                <w:lang w:val="en-US"/>
              </w:rPr>
            </w:pPr>
            <w:r w:rsidRPr="00F569AE">
              <w:rPr>
                <w:rFonts w:ascii="Calibri" w:hAnsi="Calibri" w:cs="Calibri"/>
                <w:u w:val="single"/>
                <w:lang w:val="en-US"/>
              </w:rPr>
              <w:t>Output:</w:t>
            </w:r>
          </w:p>
          <w:p w14:paraId="269965AD" w14:textId="2F217E54" w:rsidR="002127A9" w:rsidRPr="00F569AE" w:rsidRDefault="002127A9" w:rsidP="002127A9">
            <w:pPr>
              <w:rPr>
                <w:rFonts w:ascii="Calibri" w:hAnsi="Calibri" w:cs="Calibri"/>
                <w:lang w:val="en-US"/>
              </w:rPr>
            </w:pPr>
            <w:r w:rsidRPr="00F569AE">
              <w:rPr>
                <w:rFonts w:ascii="Calibri" w:hAnsi="Calibri" w:cs="Calibri"/>
                <w:lang w:val="en-US"/>
              </w:rPr>
              <w:t xml:space="preserve">Capacities at national and sub-national levels strengthened to promote </w:t>
            </w:r>
            <w:r w:rsidR="0072059E" w:rsidRPr="00F569AE">
              <w:rPr>
                <w:rFonts w:ascii="Calibri" w:hAnsi="Calibri" w:cs="Calibri"/>
                <w:lang w:val="en-US"/>
              </w:rPr>
              <w:t>inclusive</w:t>
            </w:r>
            <w:r w:rsidRPr="00F569AE">
              <w:rPr>
                <w:rFonts w:ascii="Calibri" w:hAnsi="Calibri" w:cs="Calibri"/>
                <w:lang w:val="en-US"/>
              </w:rPr>
              <w:t xml:space="preserve"> local economic development and deliver basic services including HIV and related services</w:t>
            </w:r>
            <w:r w:rsidR="003516D2" w:rsidRPr="00F569AE">
              <w:rPr>
                <w:rFonts w:ascii="Calibri" w:hAnsi="Calibri" w:cs="Calibri"/>
                <w:lang w:val="en-US"/>
              </w:rPr>
              <w:t>.</w:t>
            </w:r>
          </w:p>
        </w:tc>
      </w:tr>
      <w:tr w:rsidR="002127A9" w:rsidRPr="00F569AE" w14:paraId="66151A6E" w14:textId="77777777" w:rsidTr="00F02524">
        <w:tc>
          <w:tcPr>
            <w:tcW w:w="1980" w:type="dxa"/>
            <w:shd w:val="clear" w:color="auto" w:fill="DAE9F7" w:themeFill="text2" w:themeFillTint="1A"/>
          </w:tcPr>
          <w:p w14:paraId="228B6DA5" w14:textId="4F34BA9D" w:rsidR="002127A9" w:rsidRPr="00F569AE" w:rsidRDefault="002127A9" w:rsidP="002127A9">
            <w:pPr>
              <w:rPr>
                <w:rFonts w:ascii="Calibri" w:hAnsi="Calibri" w:cs="Calibri"/>
                <w:b/>
                <w:i/>
                <w:lang w:val="en-US"/>
              </w:rPr>
            </w:pPr>
            <w:r w:rsidRPr="00F569AE">
              <w:rPr>
                <w:rFonts w:ascii="Calibri" w:hAnsi="Calibri" w:cs="Calibri"/>
                <w:b/>
                <w:i/>
                <w:lang w:val="en-US"/>
              </w:rPr>
              <w:t>Country</w:t>
            </w:r>
          </w:p>
        </w:tc>
        <w:tc>
          <w:tcPr>
            <w:tcW w:w="7030" w:type="dxa"/>
            <w:gridSpan w:val="2"/>
          </w:tcPr>
          <w:p w14:paraId="6CB4906A" w14:textId="3A8A57CE" w:rsidR="002127A9" w:rsidRPr="00F569AE" w:rsidRDefault="002127A9" w:rsidP="002127A9">
            <w:pPr>
              <w:rPr>
                <w:rFonts w:ascii="Calibri" w:hAnsi="Calibri" w:cs="Calibri"/>
                <w:lang w:val="en-US"/>
              </w:rPr>
            </w:pPr>
            <w:r w:rsidRPr="00F569AE">
              <w:rPr>
                <w:rFonts w:ascii="Calibri" w:hAnsi="Calibri" w:cs="Calibri"/>
                <w:lang w:val="en-US"/>
              </w:rPr>
              <w:t>Bosnia and Herzegovina (BiH)</w:t>
            </w:r>
          </w:p>
        </w:tc>
      </w:tr>
      <w:tr w:rsidR="002127A9" w:rsidRPr="00F569AE" w14:paraId="6085AC01" w14:textId="77777777" w:rsidTr="00F02524">
        <w:tc>
          <w:tcPr>
            <w:tcW w:w="1980" w:type="dxa"/>
            <w:shd w:val="clear" w:color="auto" w:fill="DAE9F7" w:themeFill="text2" w:themeFillTint="1A"/>
          </w:tcPr>
          <w:p w14:paraId="52A3EBC4" w14:textId="7B72F6D5" w:rsidR="002127A9" w:rsidRPr="00F569AE" w:rsidRDefault="002127A9" w:rsidP="002127A9">
            <w:pPr>
              <w:rPr>
                <w:rFonts w:ascii="Calibri" w:hAnsi="Calibri" w:cs="Calibri"/>
                <w:b/>
                <w:i/>
                <w:lang w:val="en-US"/>
              </w:rPr>
            </w:pPr>
            <w:r w:rsidRPr="00F569AE">
              <w:rPr>
                <w:rFonts w:ascii="Calibri" w:hAnsi="Calibri" w:cs="Calibri"/>
                <w:b/>
                <w:i/>
                <w:lang w:val="en-US"/>
              </w:rPr>
              <w:t>Region</w:t>
            </w:r>
          </w:p>
        </w:tc>
        <w:tc>
          <w:tcPr>
            <w:tcW w:w="7030" w:type="dxa"/>
            <w:gridSpan w:val="2"/>
          </w:tcPr>
          <w:p w14:paraId="79E85159" w14:textId="1AB3F993" w:rsidR="002127A9" w:rsidRPr="00F569AE" w:rsidRDefault="00FC5A3F" w:rsidP="002127A9">
            <w:pPr>
              <w:rPr>
                <w:rFonts w:ascii="Calibri" w:hAnsi="Calibri" w:cs="Calibri"/>
                <w:lang w:val="en-US"/>
              </w:rPr>
            </w:pPr>
            <w:r w:rsidRPr="00F569AE">
              <w:rPr>
                <w:rFonts w:ascii="Calibri" w:hAnsi="Calibri" w:cs="Calibri"/>
                <w:lang w:val="en-US"/>
              </w:rPr>
              <w:t>Western Balkans</w:t>
            </w:r>
          </w:p>
        </w:tc>
      </w:tr>
      <w:tr w:rsidR="002127A9" w:rsidRPr="00F569AE" w14:paraId="73F15E4F" w14:textId="77777777" w:rsidTr="00F02524">
        <w:tc>
          <w:tcPr>
            <w:tcW w:w="1980" w:type="dxa"/>
            <w:shd w:val="clear" w:color="auto" w:fill="DAE9F7" w:themeFill="text2" w:themeFillTint="1A"/>
          </w:tcPr>
          <w:p w14:paraId="609A6435" w14:textId="5ADD8C22" w:rsidR="002127A9" w:rsidRPr="00F569AE" w:rsidRDefault="002127A9" w:rsidP="002127A9">
            <w:pPr>
              <w:rPr>
                <w:rFonts w:ascii="Calibri" w:hAnsi="Calibri" w:cs="Calibri"/>
                <w:b/>
                <w:i/>
                <w:lang w:val="en-US"/>
              </w:rPr>
            </w:pPr>
            <w:r w:rsidRPr="00F569AE">
              <w:rPr>
                <w:rFonts w:ascii="Calibri" w:hAnsi="Calibri" w:cs="Calibri"/>
                <w:b/>
                <w:i/>
                <w:lang w:val="en-US"/>
              </w:rPr>
              <w:t>Date project document signed</w:t>
            </w:r>
          </w:p>
        </w:tc>
        <w:tc>
          <w:tcPr>
            <w:tcW w:w="7030" w:type="dxa"/>
            <w:gridSpan w:val="2"/>
          </w:tcPr>
          <w:p w14:paraId="7DF9D1C5" w14:textId="1A322068" w:rsidR="002127A9" w:rsidRPr="00F569AE" w:rsidRDefault="00627B48" w:rsidP="002127A9">
            <w:pPr>
              <w:rPr>
                <w:rFonts w:ascii="Calibri" w:hAnsi="Calibri" w:cs="Calibri"/>
                <w:lang w:val="en-US"/>
              </w:rPr>
            </w:pPr>
            <w:r w:rsidRPr="00F569AE">
              <w:rPr>
                <w:rFonts w:ascii="Calibri" w:hAnsi="Calibri" w:cs="Calibri"/>
                <w:lang w:val="en-US"/>
              </w:rPr>
              <w:t>April 12, 2021</w:t>
            </w:r>
          </w:p>
        </w:tc>
      </w:tr>
      <w:tr w:rsidR="002127A9" w:rsidRPr="00F569AE" w14:paraId="0B174E71" w14:textId="77777777" w:rsidTr="00F02524">
        <w:tc>
          <w:tcPr>
            <w:tcW w:w="1980" w:type="dxa"/>
            <w:vMerge w:val="restart"/>
            <w:shd w:val="clear" w:color="auto" w:fill="DAE9F7" w:themeFill="text2" w:themeFillTint="1A"/>
          </w:tcPr>
          <w:p w14:paraId="6188F324" w14:textId="2BF920CE" w:rsidR="002127A9" w:rsidRPr="00F569AE" w:rsidRDefault="002127A9" w:rsidP="002127A9">
            <w:pPr>
              <w:rPr>
                <w:rFonts w:ascii="Calibri" w:hAnsi="Calibri" w:cs="Calibri"/>
                <w:b/>
                <w:i/>
                <w:lang w:val="en-US"/>
              </w:rPr>
            </w:pPr>
            <w:r w:rsidRPr="00F569AE">
              <w:rPr>
                <w:rFonts w:ascii="Calibri" w:hAnsi="Calibri" w:cs="Calibri"/>
                <w:b/>
                <w:i/>
                <w:lang w:val="en-US"/>
              </w:rPr>
              <w:t>Project dates</w:t>
            </w:r>
          </w:p>
        </w:tc>
        <w:tc>
          <w:tcPr>
            <w:tcW w:w="4678" w:type="dxa"/>
            <w:shd w:val="clear" w:color="auto" w:fill="DAE9F7" w:themeFill="text2" w:themeFillTint="1A"/>
          </w:tcPr>
          <w:p w14:paraId="5DE49188" w14:textId="5A1D69A0" w:rsidR="002127A9" w:rsidRPr="00F569AE" w:rsidRDefault="002127A9" w:rsidP="002127A9">
            <w:pPr>
              <w:jc w:val="center"/>
              <w:rPr>
                <w:rFonts w:ascii="Calibri" w:hAnsi="Calibri" w:cs="Calibri"/>
                <w:b/>
                <w:i/>
                <w:lang w:val="en-US"/>
              </w:rPr>
            </w:pPr>
            <w:r w:rsidRPr="00F569AE">
              <w:rPr>
                <w:rFonts w:ascii="Calibri" w:hAnsi="Calibri" w:cs="Calibri"/>
                <w:b/>
                <w:i/>
                <w:lang w:val="en-US"/>
              </w:rPr>
              <w:t>Start</w:t>
            </w:r>
          </w:p>
        </w:tc>
        <w:tc>
          <w:tcPr>
            <w:tcW w:w="2352" w:type="dxa"/>
            <w:shd w:val="clear" w:color="auto" w:fill="DAE9F7" w:themeFill="text2" w:themeFillTint="1A"/>
          </w:tcPr>
          <w:p w14:paraId="24AFE600" w14:textId="6885D7E3" w:rsidR="002127A9" w:rsidRPr="00F569AE" w:rsidRDefault="002127A9" w:rsidP="002127A9">
            <w:pPr>
              <w:jc w:val="center"/>
              <w:rPr>
                <w:rFonts w:ascii="Calibri" w:hAnsi="Calibri" w:cs="Calibri"/>
                <w:b/>
                <w:i/>
                <w:lang w:val="en-US"/>
              </w:rPr>
            </w:pPr>
            <w:r w:rsidRPr="00F569AE">
              <w:rPr>
                <w:rFonts w:ascii="Calibri" w:hAnsi="Calibri" w:cs="Calibri"/>
                <w:b/>
                <w:i/>
                <w:lang w:val="en-US"/>
              </w:rPr>
              <w:t>Planned end</w:t>
            </w:r>
          </w:p>
        </w:tc>
      </w:tr>
      <w:tr w:rsidR="002127A9" w:rsidRPr="00F569AE" w14:paraId="1C1A6E8C" w14:textId="77777777" w:rsidTr="00F02524">
        <w:tc>
          <w:tcPr>
            <w:tcW w:w="1980" w:type="dxa"/>
            <w:vMerge/>
            <w:shd w:val="clear" w:color="auto" w:fill="DAE9F7" w:themeFill="text2" w:themeFillTint="1A"/>
          </w:tcPr>
          <w:p w14:paraId="465AE8F1" w14:textId="77777777" w:rsidR="002127A9" w:rsidRPr="00F569AE" w:rsidRDefault="002127A9" w:rsidP="002127A9">
            <w:pPr>
              <w:rPr>
                <w:rFonts w:ascii="Calibri" w:hAnsi="Calibri" w:cs="Calibri"/>
                <w:b/>
                <w:i/>
                <w:lang w:val="en-US"/>
              </w:rPr>
            </w:pPr>
          </w:p>
        </w:tc>
        <w:tc>
          <w:tcPr>
            <w:tcW w:w="4678" w:type="dxa"/>
          </w:tcPr>
          <w:p w14:paraId="28A73C8B" w14:textId="1AE1A0BB" w:rsidR="002127A9" w:rsidRPr="00F569AE" w:rsidRDefault="00FC5A3F" w:rsidP="002127A9">
            <w:pPr>
              <w:jc w:val="center"/>
              <w:rPr>
                <w:rFonts w:ascii="Calibri" w:hAnsi="Calibri" w:cs="Calibri"/>
                <w:lang w:val="en-US"/>
              </w:rPr>
            </w:pPr>
            <w:r w:rsidRPr="00F569AE">
              <w:rPr>
                <w:rFonts w:ascii="Calibri" w:hAnsi="Calibri" w:cs="Calibri"/>
                <w:lang w:val="en-US"/>
              </w:rPr>
              <w:t>1 April 2021</w:t>
            </w:r>
          </w:p>
        </w:tc>
        <w:tc>
          <w:tcPr>
            <w:tcW w:w="2352" w:type="dxa"/>
          </w:tcPr>
          <w:p w14:paraId="32CA75EA" w14:textId="36EFB391" w:rsidR="002127A9" w:rsidRPr="00F569AE" w:rsidRDefault="00FC5A3F" w:rsidP="002127A9">
            <w:pPr>
              <w:jc w:val="center"/>
              <w:rPr>
                <w:rFonts w:ascii="Calibri" w:hAnsi="Calibri" w:cs="Calibri"/>
                <w:lang w:val="en-US"/>
              </w:rPr>
            </w:pPr>
            <w:r w:rsidRPr="00F569AE">
              <w:rPr>
                <w:rFonts w:ascii="Calibri" w:hAnsi="Calibri" w:cs="Calibri"/>
                <w:lang w:val="en-US"/>
              </w:rPr>
              <w:t>31 March 2025</w:t>
            </w:r>
          </w:p>
        </w:tc>
      </w:tr>
      <w:tr w:rsidR="002127A9" w:rsidRPr="00F569AE" w14:paraId="389597AE" w14:textId="77777777" w:rsidTr="00F02524">
        <w:tc>
          <w:tcPr>
            <w:tcW w:w="1980" w:type="dxa"/>
            <w:shd w:val="clear" w:color="auto" w:fill="DAE9F7" w:themeFill="text2" w:themeFillTint="1A"/>
          </w:tcPr>
          <w:p w14:paraId="6B0ECE6E" w14:textId="42DCBFDA" w:rsidR="002127A9" w:rsidRPr="00F569AE" w:rsidRDefault="002127A9" w:rsidP="002127A9">
            <w:pPr>
              <w:rPr>
                <w:rFonts w:ascii="Calibri" w:hAnsi="Calibri" w:cs="Calibri"/>
                <w:b/>
                <w:i/>
                <w:lang w:val="en-US"/>
              </w:rPr>
            </w:pPr>
            <w:r w:rsidRPr="00F569AE">
              <w:rPr>
                <w:rFonts w:ascii="Calibri" w:hAnsi="Calibri" w:cs="Calibri"/>
                <w:b/>
                <w:i/>
                <w:lang w:val="en-US"/>
              </w:rPr>
              <w:t>Total committed budget</w:t>
            </w:r>
          </w:p>
        </w:tc>
        <w:tc>
          <w:tcPr>
            <w:tcW w:w="7030" w:type="dxa"/>
            <w:gridSpan w:val="2"/>
          </w:tcPr>
          <w:p w14:paraId="06BE4E71" w14:textId="53E5E3E0" w:rsidR="002127A9" w:rsidRPr="00F569AE" w:rsidRDefault="00657CA7" w:rsidP="002127A9">
            <w:pPr>
              <w:rPr>
                <w:rFonts w:ascii="Calibri" w:hAnsi="Calibri" w:cs="Calibri"/>
                <w:lang w:val="en-US"/>
              </w:rPr>
            </w:pPr>
            <w:r w:rsidRPr="00F569AE">
              <w:rPr>
                <w:rFonts w:ascii="Calibri" w:hAnsi="Calibri" w:cs="Calibri"/>
                <w:lang w:val="en-US"/>
              </w:rPr>
              <w:t>USD 15,345,355.78</w:t>
            </w:r>
          </w:p>
          <w:p w14:paraId="03824B76" w14:textId="307375E5" w:rsidR="002127A9" w:rsidRPr="00F569AE" w:rsidRDefault="00F705C5" w:rsidP="002127A9">
            <w:pPr>
              <w:rPr>
                <w:rFonts w:ascii="Calibri" w:hAnsi="Calibri" w:cs="Calibri"/>
                <w:lang w:val="en-US"/>
              </w:rPr>
            </w:pPr>
            <w:r w:rsidRPr="00F569AE">
              <w:rPr>
                <w:rFonts w:ascii="Calibri" w:hAnsi="Calibri" w:cs="Calibri"/>
                <w:lang w:val="en-US"/>
              </w:rPr>
              <w:t xml:space="preserve">USD 10,426,302.78 </w:t>
            </w:r>
            <w:r w:rsidR="004532FA" w:rsidRPr="00F569AE">
              <w:rPr>
                <w:rFonts w:ascii="Calibri" w:hAnsi="Calibri" w:cs="Calibri"/>
                <w:lang w:val="en-US"/>
              </w:rPr>
              <w:t xml:space="preserve">(Donors) </w:t>
            </w:r>
            <w:r w:rsidRPr="00F569AE">
              <w:rPr>
                <w:rFonts w:ascii="Calibri" w:hAnsi="Calibri" w:cs="Calibri"/>
                <w:lang w:val="en-US"/>
              </w:rPr>
              <w:t xml:space="preserve">+ USD </w:t>
            </w:r>
            <w:r w:rsidR="004532FA" w:rsidRPr="00F569AE">
              <w:rPr>
                <w:rFonts w:ascii="Calibri" w:hAnsi="Calibri" w:cs="Calibri"/>
                <w:lang w:val="en-US"/>
              </w:rPr>
              <w:t>4,919,053.00 (LG</w:t>
            </w:r>
            <w:r w:rsidR="00657CA7" w:rsidRPr="00F569AE">
              <w:rPr>
                <w:rFonts w:ascii="Calibri" w:hAnsi="Calibri" w:cs="Calibri"/>
                <w:lang w:val="en-US"/>
              </w:rPr>
              <w:t xml:space="preserve"> Contribution)</w:t>
            </w:r>
          </w:p>
        </w:tc>
      </w:tr>
      <w:tr w:rsidR="00FC5A3F" w:rsidRPr="00F569AE" w14:paraId="7A645863" w14:textId="77777777" w:rsidTr="00F02524">
        <w:tc>
          <w:tcPr>
            <w:tcW w:w="1980" w:type="dxa"/>
            <w:shd w:val="clear" w:color="auto" w:fill="DAE9F7" w:themeFill="text2" w:themeFillTint="1A"/>
          </w:tcPr>
          <w:p w14:paraId="42A7E2BD" w14:textId="2EA37D83" w:rsidR="00FC5A3F" w:rsidRPr="00F569AE" w:rsidRDefault="00FC5A3F" w:rsidP="002127A9">
            <w:pPr>
              <w:rPr>
                <w:rFonts w:ascii="Calibri" w:hAnsi="Calibri" w:cs="Calibri"/>
                <w:b/>
                <w:i/>
                <w:lang w:val="en-US"/>
              </w:rPr>
            </w:pPr>
            <w:r w:rsidRPr="00F569AE">
              <w:rPr>
                <w:rFonts w:ascii="Calibri" w:hAnsi="Calibri" w:cs="Calibri"/>
                <w:b/>
                <w:i/>
                <w:lang w:val="en-US"/>
              </w:rPr>
              <w:t>Funding sources</w:t>
            </w:r>
          </w:p>
        </w:tc>
        <w:tc>
          <w:tcPr>
            <w:tcW w:w="7030" w:type="dxa"/>
            <w:gridSpan w:val="2"/>
          </w:tcPr>
          <w:p w14:paraId="454F32F9" w14:textId="77777777" w:rsidR="00FC5A3F" w:rsidRPr="00F569AE" w:rsidRDefault="00FC5A3F" w:rsidP="00FC5A3F">
            <w:pPr>
              <w:rPr>
                <w:rFonts w:ascii="Calibri" w:hAnsi="Calibri" w:cs="Calibri"/>
                <w:lang w:val="en-US"/>
              </w:rPr>
            </w:pPr>
            <w:r w:rsidRPr="00F569AE">
              <w:rPr>
                <w:rFonts w:ascii="Calibri" w:hAnsi="Calibri" w:cs="Calibri"/>
                <w:lang w:val="en-US"/>
              </w:rPr>
              <w:t>Government of Switzerland (SDC)</w:t>
            </w:r>
          </w:p>
          <w:p w14:paraId="0A634C6F" w14:textId="77777777" w:rsidR="00FC5A3F" w:rsidRPr="00F569AE" w:rsidRDefault="00FC5A3F" w:rsidP="00FC5A3F">
            <w:pPr>
              <w:rPr>
                <w:rFonts w:ascii="Calibri" w:hAnsi="Calibri" w:cs="Calibri"/>
                <w:lang w:val="en-US"/>
              </w:rPr>
            </w:pPr>
            <w:r w:rsidRPr="00F569AE">
              <w:rPr>
                <w:rFonts w:ascii="Calibri" w:hAnsi="Calibri" w:cs="Calibri"/>
                <w:lang w:val="en-US"/>
              </w:rPr>
              <w:t>European Union Delegation in Bosnia and Herzegovina (EUD)</w:t>
            </w:r>
          </w:p>
          <w:p w14:paraId="1E77E6DD" w14:textId="77777777" w:rsidR="00FC5A3F" w:rsidRPr="00F569AE" w:rsidRDefault="00FC5A3F" w:rsidP="00FC5A3F">
            <w:pPr>
              <w:rPr>
                <w:rFonts w:ascii="Calibri" w:hAnsi="Calibri" w:cs="Calibri"/>
                <w:lang w:val="en-US"/>
              </w:rPr>
            </w:pPr>
            <w:r w:rsidRPr="00F569AE">
              <w:rPr>
                <w:rFonts w:ascii="Calibri" w:hAnsi="Calibri" w:cs="Calibri"/>
                <w:lang w:val="en-US"/>
              </w:rPr>
              <w:t>Government of Sweden (Sida)</w:t>
            </w:r>
          </w:p>
          <w:p w14:paraId="78E06A06" w14:textId="77777777" w:rsidR="00FC5A3F" w:rsidRPr="00F569AE" w:rsidRDefault="00FC5A3F" w:rsidP="00FC5A3F">
            <w:pPr>
              <w:rPr>
                <w:rFonts w:ascii="Calibri" w:hAnsi="Calibri" w:cs="Calibri"/>
                <w:lang w:val="en-US"/>
              </w:rPr>
            </w:pPr>
            <w:r w:rsidRPr="00F569AE">
              <w:rPr>
                <w:rFonts w:ascii="Calibri" w:hAnsi="Calibri" w:cs="Calibri"/>
                <w:lang w:val="en-US"/>
              </w:rPr>
              <w:t>Embassy of the Czech Republic in Bosnia and Herzegovina (CDA)</w:t>
            </w:r>
          </w:p>
          <w:p w14:paraId="3DB24095" w14:textId="218B44FE" w:rsidR="00FC5A3F" w:rsidRPr="00F569AE" w:rsidRDefault="00FC5A3F" w:rsidP="002127A9">
            <w:pPr>
              <w:rPr>
                <w:rFonts w:ascii="Calibri" w:hAnsi="Calibri" w:cs="Calibri"/>
                <w:lang w:val="en-US"/>
              </w:rPr>
            </w:pPr>
            <w:r w:rsidRPr="00F569AE">
              <w:rPr>
                <w:rFonts w:ascii="Calibri" w:hAnsi="Calibri" w:cs="Calibri"/>
                <w:lang w:val="en-US"/>
              </w:rPr>
              <w:t>Government</w:t>
            </w:r>
            <w:r w:rsidR="00A8370A" w:rsidRPr="00F569AE">
              <w:rPr>
                <w:rFonts w:ascii="Calibri" w:hAnsi="Calibri" w:cs="Calibri"/>
                <w:lang w:val="en-US"/>
              </w:rPr>
              <w:t>s</w:t>
            </w:r>
            <w:r w:rsidRPr="00F569AE">
              <w:rPr>
                <w:rFonts w:ascii="Calibri" w:hAnsi="Calibri" w:cs="Calibri"/>
                <w:lang w:val="en-US"/>
              </w:rPr>
              <w:t xml:space="preserve"> of Bosnia and Herzegovina</w:t>
            </w:r>
          </w:p>
        </w:tc>
      </w:tr>
    </w:tbl>
    <w:p w14:paraId="05D99562" w14:textId="77777777" w:rsidR="00120DAE" w:rsidRPr="00F569AE" w:rsidRDefault="00120DAE" w:rsidP="00120DAE">
      <w:pPr>
        <w:rPr>
          <w:rFonts w:ascii="Calibri" w:hAnsi="Calibri" w:cs="Calibri"/>
          <w:lang w:val="en-US"/>
        </w:rPr>
      </w:pPr>
    </w:p>
    <w:p w14:paraId="6AA883A4" w14:textId="77777777" w:rsidR="00120DAE" w:rsidRPr="00F569AE" w:rsidRDefault="00120DAE" w:rsidP="00120DAE">
      <w:pPr>
        <w:rPr>
          <w:rFonts w:ascii="Calibri" w:hAnsi="Calibri" w:cs="Calibri"/>
          <w:lang w:val="en-US"/>
        </w:rPr>
      </w:pPr>
    </w:p>
    <w:tbl>
      <w:tblPr>
        <w:tblStyle w:val="TableGrid"/>
        <w:tblW w:w="0" w:type="auto"/>
        <w:tblLook w:val="04A0" w:firstRow="1" w:lastRow="0" w:firstColumn="1" w:lastColumn="0" w:noHBand="0" w:noVBand="1"/>
      </w:tblPr>
      <w:tblGrid>
        <w:gridCol w:w="2547"/>
        <w:gridCol w:w="3459"/>
        <w:gridCol w:w="3004"/>
      </w:tblGrid>
      <w:tr w:rsidR="00735010" w:rsidRPr="00F569AE" w14:paraId="797770EE" w14:textId="77777777" w:rsidTr="00CE13E8">
        <w:tc>
          <w:tcPr>
            <w:tcW w:w="9010" w:type="dxa"/>
            <w:gridSpan w:val="3"/>
            <w:shd w:val="clear" w:color="auto" w:fill="A5C9EB" w:themeFill="text2" w:themeFillTint="40"/>
          </w:tcPr>
          <w:p w14:paraId="3810D991" w14:textId="535CE38C" w:rsidR="00735010" w:rsidRPr="00F569AE" w:rsidRDefault="00735010" w:rsidP="00CE13E8">
            <w:pPr>
              <w:jc w:val="center"/>
              <w:rPr>
                <w:rFonts w:ascii="Calibri" w:hAnsi="Calibri" w:cs="Calibri"/>
                <w:b/>
                <w:i/>
                <w:lang w:val="en-US"/>
              </w:rPr>
            </w:pPr>
            <w:r w:rsidRPr="00F569AE">
              <w:rPr>
                <w:rFonts w:ascii="Calibri" w:hAnsi="Calibri" w:cs="Calibri"/>
                <w:b/>
                <w:i/>
                <w:lang w:val="en-US"/>
              </w:rPr>
              <w:t>Evaluation information</w:t>
            </w:r>
          </w:p>
        </w:tc>
      </w:tr>
      <w:tr w:rsidR="00CE13E8" w:rsidRPr="00F569AE" w14:paraId="274222C2" w14:textId="77777777" w:rsidTr="00F02524">
        <w:tc>
          <w:tcPr>
            <w:tcW w:w="2547" w:type="dxa"/>
            <w:shd w:val="clear" w:color="auto" w:fill="DAE9F7" w:themeFill="text2" w:themeFillTint="1A"/>
          </w:tcPr>
          <w:p w14:paraId="763451D2" w14:textId="67AAEBF1" w:rsidR="00CE13E8" w:rsidRPr="00F569AE" w:rsidRDefault="00CE13E8" w:rsidP="00120DAE">
            <w:pPr>
              <w:rPr>
                <w:rFonts w:ascii="Calibri" w:hAnsi="Calibri" w:cs="Calibri"/>
                <w:b/>
                <w:i/>
                <w:lang w:val="en-US"/>
              </w:rPr>
            </w:pPr>
            <w:r w:rsidRPr="00F569AE">
              <w:rPr>
                <w:rFonts w:ascii="Calibri" w:hAnsi="Calibri" w:cs="Calibri"/>
                <w:b/>
                <w:i/>
                <w:lang w:val="en-US"/>
              </w:rPr>
              <w:t>Evaluation type</w:t>
            </w:r>
          </w:p>
        </w:tc>
        <w:tc>
          <w:tcPr>
            <w:tcW w:w="6463" w:type="dxa"/>
            <w:gridSpan w:val="2"/>
          </w:tcPr>
          <w:p w14:paraId="6E434F32" w14:textId="7756E947" w:rsidR="00CE13E8" w:rsidRPr="00F569AE" w:rsidRDefault="00CE13E8" w:rsidP="00120DAE">
            <w:pPr>
              <w:rPr>
                <w:rFonts w:ascii="Calibri" w:hAnsi="Calibri" w:cs="Calibri"/>
                <w:lang w:val="en-US"/>
              </w:rPr>
            </w:pPr>
            <w:r w:rsidRPr="00F569AE">
              <w:rPr>
                <w:rFonts w:ascii="Calibri" w:hAnsi="Calibri" w:cs="Calibri"/>
                <w:lang w:val="en-US"/>
              </w:rPr>
              <w:t xml:space="preserve">Project </w:t>
            </w:r>
            <w:r w:rsidR="00F02524" w:rsidRPr="00F569AE">
              <w:rPr>
                <w:rFonts w:ascii="Calibri" w:hAnsi="Calibri" w:cs="Calibri"/>
                <w:lang w:val="en-US"/>
              </w:rPr>
              <w:t xml:space="preserve">final </w:t>
            </w:r>
            <w:r w:rsidRPr="00F569AE">
              <w:rPr>
                <w:rFonts w:ascii="Calibri" w:hAnsi="Calibri" w:cs="Calibri"/>
                <w:lang w:val="en-US"/>
              </w:rPr>
              <w:t>evaluation</w:t>
            </w:r>
          </w:p>
        </w:tc>
      </w:tr>
      <w:tr w:rsidR="005E6780" w:rsidRPr="00F569AE" w14:paraId="63847FDB" w14:textId="77777777" w:rsidTr="00F02524">
        <w:tc>
          <w:tcPr>
            <w:tcW w:w="2547" w:type="dxa"/>
            <w:vMerge w:val="restart"/>
            <w:shd w:val="clear" w:color="auto" w:fill="DAE9F7" w:themeFill="text2" w:themeFillTint="1A"/>
          </w:tcPr>
          <w:p w14:paraId="17E3BA46" w14:textId="4F39D29E" w:rsidR="005E6780" w:rsidRPr="00F569AE" w:rsidRDefault="005E6780" w:rsidP="00120DAE">
            <w:pPr>
              <w:rPr>
                <w:rFonts w:ascii="Calibri" w:hAnsi="Calibri" w:cs="Calibri"/>
                <w:b/>
                <w:i/>
                <w:lang w:val="en-US"/>
              </w:rPr>
            </w:pPr>
            <w:r w:rsidRPr="00F569AE">
              <w:rPr>
                <w:rFonts w:ascii="Calibri" w:hAnsi="Calibri" w:cs="Calibri"/>
                <w:b/>
                <w:i/>
                <w:lang w:val="en-US"/>
              </w:rPr>
              <w:t>Period under evaluation</w:t>
            </w:r>
          </w:p>
        </w:tc>
        <w:tc>
          <w:tcPr>
            <w:tcW w:w="3459" w:type="dxa"/>
            <w:shd w:val="clear" w:color="auto" w:fill="DAE9F7" w:themeFill="text2" w:themeFillTint="1A"/>
          </w:tcPr>
          <w:p w14:paraId="166DDC62" w14:textId="611ED9D7" w:rsidR="005E6780" w:rsidRPr="00F569AE" w:rsidRDefault="005E6780" w:rsidP="00CE13E8">
            <w:pPr>
              <w:jc w:val="center"/>
              <w:rPr>
                <w:rFonts w:ascii="Calibri" w:hAnsi="Calibri" w:cs="Calibri"/>
                <w:b/>
                <w:i/>
                <w:lang w:val="en-US"/>
              </w:rPr>
            </w:pPr>
            <w:r w:rsidRPr="00F569AE">
              <w:rPr>
                <w:rFonts w:ascii="Calibri" w:hAnsi="Calibri" w:cs="Calibri"/>
                <w:b/>
                <w:i/>
                <w:lang w:val="en-US"/>
              </w:rPr>
              <w:t>Start</w:t>
            </w:r>
          </w:p>
        </w:tc>
        <w:tc>
          <w:tcPr>
            <w:tcW w:w="3004" w:type="dxa"/>
            <w:shd w:val="clear" w:color="auto" w:fill="DAE9F7" w:themeFill="text2" w:themeFillTint="1A"/>
          </w:tcPr>
          <w:p w14:paraId="0FAC63FC" w14:textId="382CFF26" w:rsidR="005E6780" w:rsidRPr="00F569AE" w:rsidRDefault="005E6780" w:rsidP="00CE13E8">
            <w:pPr>
              <w:jc w:val="center"/>
              <w:rPr>
                <w:rFonts w:ascii="Calibri" w:hAnsi="Calibri" w:cs="Calibri"/>
                <w:b/>
                <w:i/>
                <w:lang w:val="en-US"/>
              </w:rPr>
            </w:pPr>
            <w:r w:rsidRPr="00F569AE">
              <w:rPr>
                <w:rFonts w:ascii="Calibri" w:hAnsi="Calibri" w:cs="Calibri"/>
                <w:b/>
                <w:i/>
                <w:lang w:val="en-US"/>
              </w:rPr>
              <w:t>End</w:t>
            </w:r>
          </w:p>
        </w:tc>
      </w:tr>
      <w:tr w:rsidR="005E6780" w:rsidRPr="00F569AE" w14:paraId="2501A55D" w14:textId="77777777" w:rsidTr="00F02524">
        <w:tc>
          <w:tcPr>
            <w:tcW w:w="2547" w:type="dxa"/>
            <w:vMerge/>
            <w:shd w:val="clear" w:color="auto" w:fill="DAE9F7" w:themeFill="text2" w:themeFillTint="1A"/>
          </w:tcPr>
          <w:p w14:paraId="6D29CF12" w14:textId="77777777" w:rsidR="005E6780" w:rsidRPr="00F569AE" w:rsidRDefault="005E6780" w:rsidP="00120DAE">
            <w:pPr>
              <w:rPr>
                <w:rFonts w:ascii="Calibri" w:hAnsi="Calibri" w:cs="Calibri"/>
                <w:b/>
                <w:i/>
                <w:lang w:val="en-US"/>
              </w:rPr>
            </w:pPr>
          </w:p>
        </w:tc>
        <w:tc>
          <w:tcPr>
            <w:tcW w:w="3459" w:type="dxa"/>
          </w:tcPr>
          <w:p w14:paraId="77F9CF8F" w14:textId="6F64FC3E" w:rsidR="005E6780" w:rsidRPr="00F569AE" w:rsidRDefault="005E6780" w:rsidP="00120DAE">
            <w:pPr>
              <w:rPr>
                <w:rFonts w:ascii="Calibri" w:hAnsi="Calibri" w:cs="Calibri"/>
                <w:lang w:val="en-US"/>
              </w:rPr>
            </w:pPr>
          </w:p>
        </w:tc>
        <w:tc>
          <w:tcPr>
            <w:tcW w:w="3004" w:type="dxa"/>
          </w:tcPr>
          <w:p w14:paraId="459CA20D" w14:textId="77777777" w:rsidR="005E6780" w:rsidRPr="00F569AE" w:rsidRDefault="005E6780" w:rsidP="00120DAE">
            <w:pPr>
              <w:rPr>
                <w:rFonts w:ascii="Calibri" w:hAnsi="Calibri" w:cs="Calibri"/>
                <w:lang w:val="en-US"/>
              </w:rPr>
            </w:pPr>
          </w:p>
        </w:tc>
      </w:tr>
      <w:tr w:rsidR="005E6780" w:rsidRPr="00F569AE" w14:paraId="6ADFA838" w14:textId="77777777" w:rsidTr="00F02524">
        <w:tc>
          <w:tcPr>
            <w:tcW w:w="2547" w:type="dxa"/>
          </w:tcPr>
          <w:p w14:paraId="15B0B9D1" w14:textId="55EF2682" w:rsidR="005E6780" w:rsidRPr="00F569AE" w:rsidRDefault="005E6780" w:rsidP="00120DAE">
            <w:pPr>
              <w:rPr>
                <w:rFonts w:ascii="Calibri" w:hAnsi="Calibri" w:cs="Calibri"/>
                <w:b/>
                <w:i/>
                <w:lang w:val="en-US"/>
              </w:rPr>
            </w:pPr>
            <w:r w:rsidRPr="00F569AE">
              <w:rPr>
                <w:rFonts w:ascii="Calibri" w:hAnsi="Calibri" w:cs="Calibri"/>
                <w:b/>
                <w:i/>
                <w:lang w:val="en-US"/>
              </w:rPr>
              <w:t>Evaluators</w:t>
            </w:r>
          </w:p>
        </w:tc>
        <w:tc>
          <w:tcPr>
            <w:tcW w:w="6463" w:type="dxa"/>
            <w:gridSpan w:val="2"/>
          </w:tcPr>
          <w:p w14:paraId="5DCA25E4" w14:textId="77777777" w:rsidR="005E6780" w:rsidRPr="00F569AE" w:rsidRDefault="005E6780" w:rsidP="005E6780">
            <w:pPr>
              <w:spacing w:line="276" w:lineRule="auto"/>
              <w:rPr>
                <w:rFonts w:ascii="Calibri" w:hAnsi="Calibri" w:cs="Calibri"/>
                <w:lang w:val="en-US"/>
              </w:rPr>
            </w:pPr>
            <w:r w:rsidRPr="00F569AE">
              <w:rPr>
                <w:rFonts w:ascii="Calibri" w:hAnsi="Calibri" w:cs="Calibri"/>
                <w:lang w:val="en-US"/>
              </w:rPr>
              <w:t>Ms. Magda Stepanyan, Evaluation Team Leader</w:t>
            </w:r>
          </w:p>
          <w:p w14:paraId="2F1C9091" w14:textId="06E04EA3" w:rsidR="005E6780" w:rsidRPr="00F569AE" w:rsidRDefault="005E6780" w:rsidP="005E6780">
            <w:pPr>
              <w:spacing w:line="276" w:lineRule="auto"/>
              <w:rPr>
                <w:rFonts w:ascii="Calibri" w:hAnsi="Calibri" w:cs="Calibri"/>
                <w:lang w:val="en-US"/>
              </w:rPr>
            </w:pPr>
            <w:r w:rsidRPr="00F569AE">
              <w:rPr>
                <w:rFonts w:ascii="Calibri" w:hAnsi="Calibri" w:cs="Calibri"/>
                <w:lang w:val="en-US"/>
              </w:rPr>
              <w:t>Ms. Željka Knežević, National expert</w:t>
            </w:r>
          </w:p>
          <w:p w14:paraId="0C7E7874" w14:textId="1C5FADE3" w:rsidR="005E6780" w:rsidRPr="00F569AE" w:rsidRDefault="005E6780" w:rsidP="005E6780">
            <w:pPr>
              <w:spacing w:line="276" w:lineRule="auto"/>
              <w:rPr>
                <w:rFonts w:ascii="Calibri" w:hAnsi="Calibri" w:cs="Calibri"/>
                <w:sz w:val="28"/>
                <w:szCs w:val="28"/>
                <w:lang w:val="en-US"/>
              </w:rPr>
            </w:pPr>
            <w:r w:rsidRPr="00F569AE">
              <w:rPr>
                <w:rFonts w:ascii="Calibri" w:hAnsi="Calibri" w:cs="Calibri"/>
                <w:lang w:val="en-US"/>
              </w:rPr>
              <w:t>Mr. Mišel Pavlica, National Expert</w:t>
            </w:r>
          </w:p>
        </w:tc>
      </w:tr>
      <w:tr w:rsidR="005E6780" w:rsidRPr="00F569AE" w14:paraId="554F0C1F" w14:textId="77777777" w:rsidTr="00F02524">
        <w:tc>
          <w:tcPr>
            <w:tcW w:w="2547" w:type="dxa"/>
          </w:tcPr>
          <w:p w14:paraId="21456162" w14:textId="69C8A424" w:rsidR="005E6780" w:rsidRPr="00F569AE" w:rsidRDefault="005E6780" w:rsidP="00120DAE">
            <w:pPr>
              <w:rPr>
                <w:rFonts w:ascii="Calibri" w:hAnsi="Calibri" w:cs="Calibri"/>
                <w:b/>
                <w:i/>
                <w:lang w:val="en-US"/>
              </w:rPr>
            </w:pPr>
            <w:r w:rsidRPr="00F569AE">
              <w:rPr>
                <w:rFonts w:ascii="Calibri" w:hAnsi="Calibri" w:cs="Calibri"/>
                <w:b/>
                <w:i/>
                <w:lang w:val="en-US"/>
              </w:rPr>
              <w:t>Evaluator email address</w:t>
            </w:r>
          </w:p>
        </w:tc>
        <w:tc>
          <w:tcPr>
            <w:tcW w:w="6463" w:type="dxa"/>
            <w:gridSpan w:val="2"/>
          </w:tcPr>
          <w:p w14:paraId="7C281C85" w14:textId="77777777" w:rsidR="005E6780" w:rsidRPr="005F7F96" w:rsidRDefault="005E6780" w:rsidP="00120DAE">
            <w:pPr>
              <w:rPr>
                <w:rFonts w:ascii="Calibri" w:hAnsi="Calibri" w:cs="Calibri"/>
                <w:color w:val="000000" w:themeColor="text1"/>
                <w:lang w:val="en-US"/>
              </w:rPr>
            </w:pPr>
            <w:hyperlink r:id="rId13" w:history="1">
              <w:r w:rsidRPr="005F7F96">
                <w:rPr>
                  <w:rStyle w:val="Hyperlink"/>
                  <w:rFonts w:ascii="Calibri" w:hAnsi="Calibri" w:cs="Calibri"/>
                  <w:color w:val="000000" w:themeColor="text1"/>
                  <w:lang w:val="en-US"/>
                </w:rPr>
                <w:t>magdastepanyan@yahoo.com</w:t>
              </w:r>
            </w:hyperlink>
            <w:r w:rsidRPr="005F7F96">
              <w:rPr>
                <w:rFonts w:ascii="Calibri" w:hAnsi="Calibri" w:cs="Calibri"/>
                <w:color w:val="000000" w:themeColor="text1"/>
                <w:lang w:val="en-US"/>
              </w:rPr>
              <w:t xml:space="preserve"> </w:t>
            </w:r>
          </w:p>
          <w:p w14:paraId="4BB0BCFF" w14:textId="77777777" w:rsidR="005C2D4F" w:rsidRPr="005F7F96" w:rsidRDefault="005C2D4F" w:rsidP="005C2D4F">
            <w:pPr>
              <w:rPr>
                <w:rFonts w:ascii="Calibri" w:hAnsi="Calibri" w:cs="Calibri"/>
                <w:color w:val="000000" w:themeColor="text1"/>
                <w:lang w:val="en-US"/>
              </w:rPr>
            </w:pPr>
            <w:hyperlink r:id="rId14" w:history="1">
              <w:r w:rsidRPr="005F7F96">
                <w:rPr>
                  <w:rStyle w:val="Hyperlink"/>
                  <w:rFonts w:ascii="Calibri" w:hAnsi="Calibri" w:cs="Calibri"/>
                  <w:color w:val="000000" w:themeColor="text1"/>
                  <w:lang w:val="en-US"/>
                </w:rPr>
                <w:t>zeljka.knezevic321@gmail.com</w:t>
              </w:r>
            </w:hyperlink>
            <w:r w:rsidRPr="005F7F96">
              <w:rPr>
                <w:rFonts w:ascii="Calibri" w:hAnsi="Calibri" w:cs="Calibri"/>
                <w:color w:val="000000" w:themeColor="text1"/>
                <w:lang w:val="en-US"/>
              </w:rPr>
              <w:t xml:space="preserve"> </w:t>
            </w:r>
          </w:p>
          <w:p w14:paraId="3FF28116" w14:textId="564F7294" w:rsidR="005C2D4F" w:rsidRPr="00F569AE" w:rsidRDefault="005C2D4F" w:rsidP="005C2D4F">
            <w:pPr>
              <w:rPr>
                <w:rFonts w:ascii="Calibri" w:hAnsi="Calibri" w:cs="Calibri"/>
                <w:lang w:val="en-US"/>
              </w:rPr>
            </w:pPr>
            <w:hyperlink r:id="rId15" w:history="1">
              <w:r w:rsidRPr="005F7F96">
                <w:rPr>
                  <w:rStyle w:val="Hyperlink"/>
                  <w:rFonts w:ascii="Calibri" w:hAnsi="Calibri" w:cs="Calibri"/>
                  <w:color w:val="000000" w:themeColor="text1"/>
                  <w:lang w:val="en-US"/>
                </w:rPr>
                <w:t>pavlica@spinter.net</w:t>
              </w:r>
            </w:hyperlink>
          </w:p>
        </w:tc>
      </w:tr>
      <w:tr w:rsidR="005E6780" w:rsidRPr="00F569AE" w14:paraId="60DC7791" w14:textId="77777777" w:rsidTr="00F02524">
        <w:tc>
          <w:tcPr>
            <w:tcW w:w="2547" w:type="dxa"/>
            <w:vMerge w:val="restart"/>
          </w:tcPr>
          <w:p w14:paraId="6395F570" w14:textId="63F45B90" w:rsidR="005E6780" w:rsidRPr="00F569AE" w:rsidRDefault="005E6780" w:rsidP="005E6780">
            <w:pPr>
              <w:rPr>
                <w:rFonts w:ascii="Calibri" w:hAnsi="Calibri" w:cs="Calibri"/>
                <w:b/>
                <w:i/>
                <w:lang w:val="en-US"/>
              </w:rPr>
            </w:pPr>
            <w:r w:rsidRPr="00F569AE">
              <w:rPr>
                <w:rFonts w:ascii="Calibri" w:hAnsi="Calibri" w:cs="Calibri"/>
                <w:b/>
                <w:i/>
                <w:lang w:val="en-US"/>
              </w:rPr>
              <w:t>Evaluation dates</w:t>
            </w:r>
          </w:p>
        </w:tc>
        <w:tc>
          <w:tcPr>
            <w:tcW w:w="3459" w:type="dxa"/>
            <w:shd w:val="clear" w:color="auto" w:fill="DAE9F7" w:themeFill="text2" w:themeFillTint="1A"/>
          </w:tcPr>
          <w:p w14:paraId="0AF5B79C" w14:textId="70F6760C" w:rsidR="005E6780" w:rsidRPr="00F569AE" w:rsidRDefault="005E6780" w:rsidP="005E6780">
            <w:pPr>
              <w:jc w:val="center"/>
              <w:rPr>
                <w:rFonts w:ascii="Calibri" w:hAnsi="Calibri" w:cs="Calibri"/>
                <w:lang w:val="en-US"/>
              </w:rPr>
            </w:pPr>
            <w:r w:rsidRPr="00F569AE">
              <w:rPr>
                <w:rFonts w:ascii="Calibri" w:hAnsi="Calibri" w:cs="Calibri"/>
                <w:b/>
                <w:i/>
                <w:lang w:val="en-US"/>
              </w:rPr>
              <w:t>Start</w:t>
            </w:r>
          </w:p>
        </w:tc>
        <w:tc>
          <w:tcPr>
            <w:tcW w:w="3004" w:type="dxa"/>
            <w:shd w:val="clear" w:color="auto" w:fill="DAE9F7" w:themeFill="text2" w:themeFillTint="1A"/>
          </w:tcPr>
          <w:p w14:paraId="0F91A10F" w14:textId="3A1BA59E" w:rsidR="005E6780" w:rsidRPr="00F569AE" w:rsidRDefault="005E6780" w:rsidP="005E6780">
            <w:pPr>
              <w:jc w:val="center"/>
              <w:rPr>
                <w:rFonts w:ascii="Calibri" w:hAnsi="Calibri" w:cs="Calibri"/>
                <w:lang w:val="en-US"/>
              </w:rPr>
            </w:pPr>
            <w:r w:rsidRPr="00F569AE">
              <w:rPr>
                <w:rFonts w:ascii="Calibri" w:hAnsi="Calibri" w:cs="Calibri"/>
                <w:b/>
                <w:i/>
                <w:lang w:val="en-US"/>
              </w:rPr>
              <w:t>End</w:t>
            </w:r>
          </w:p>
        </w:tc>
      </w:tr>
      <w:tr w:rsidR="005E6780" w:rsidRPr="00F569AE" w14:paraId="0EDB0732" w14:textId="77777777" w:rsidTr="00F02524">
        <w:tc>
          <w:tcPr>
            <w:tcW w:w="2547" w:type="dxa"/>
            <w:vMerge/>
          </w:tcPr>
          <w:p w14:paraId="78498A80" w14:textId="77777777" w:rsidR="005E6780" w:rsidRPr="00F569AE" w:rsidRDefault="005E6780" w:rsidP="00120DAE">
            <w:pPr>
              <w:rPr>
                <w:rFonts w:ascii="Calibri" w:hAnsi="Calibri" w:cs="Calibri"/>
                <w:b/>
                <w:i/>
                <w:lang w:val="en-US"/>
              </w:rPr>
            </w:pPr>
          </w:p>
        </w:tc>
        <w:tc>
          <w:tcPr>
            <w:tcW w:w="3459" w:type="dxa"/>
          </w:tcPr>
          <w:p w14:paraId="3853599F" w14:textId="2C4A6B45" w:rsidR="005E6780" w:rsidRPr="00F569AE" w:rsidRDefault="00415892" w:rsidP="00415892">
            <w:pPr>
              <w:jc w:val="center"/>
              <w:rPr>
                <w:rFonts w:ascii="Calibri" w:hAnsi="Calibri" w:cs="Calibri"/>
                <w:lang w:val="en-US"/>
              </w:rPr>
            </w:pPr>
            <w:r w:rsidRPr="00F569AE">
              <w:rPr>
                <w:rFonts w:ascii="Calibri" w:hAnsi="Calibri" w:cs="Calibri"/>
                <w:lang w:val="en-US"/>
              </w:rPr>
              <w:t>May 2025</w:t>
            </w:r>
          </w:p>
        </w:tc>
        <w:tc>
          <w:tcPr>
            <w:tcW w:w="3004" w:type="dxa"/>
          </w:tcPr>
          <w:p w14:paraId="70A1EBAC" w14:textId="3EBAF606" w:rsidR="005E6780" w:rsidRPr="00F569AE" w:rsidRDefault="004C3AC7" w:rsidP="00415892">
            <w:pPr>
              <w:jc w:val="center"/>
              <w:rPr>
                <w:rFonts w:ascii="Calibri" w:hAnsi="Calibri" w:cs="Calibri"/>
                <w:lang w:val="en-US"/>
              </w:rPr>
            </w:pPr>
            <w:r w:rsidRPr="00F569AE">
              <w:rPr>
                <w:rFonts w:ascii="Calibri" w:hAnsi="Calibri" w:cs="Calibri"/>
                <w:lang w:val="en-US"/>
              </w:rPr>
              <w:t>July</w:t>
            </w:r>
            <w:r w:rsidR="00415892" w:rsidRPr="00F569AE">
              <w:rPr>
                <w:rFonts w:ascii="Calibri" w:hAnsi="Calibri" w:cs="Calibri"/>
                <w:lang w:val="en-US"/>
              </w:rPr>
              <w:t xml:space="preserve"> 2025</w:t>
            </w:r>
          </w:p>
        </w:tc>
      </w:tr>
    </w:tbl>
    <w:p w14:paraId="07A1D216" w14:textId="5113B7D7" w:rsidR="007E75A1" w:rsidRPr="00F569AE" w:rsidRDefault="007E75A1" w:rsidP="007E75A1">
      <w:pPr>
        <w:pStyle w:val="Heading1"/>
        <w:rPr>
          <w:rFonts w:ascii="Calibri" w:hAnsi="Calibri" w:cs="Calibri"/>
        </w:rPr>
      </w:pPr>
      <w:bookmarkStart w:id="73" w:name="_Toc197870974"/>
      <w:bookmarkStart w:id="74" w:name="_Toc197880849"/>
      <w:bookmarkStart w:id="75" w:name="_Toc197880882"/>
      <w:bookmarkStart w:id="76" w:name="_Toc197880904"/>
      <w:bookmarkStart w:id="77" w:name="_Toc197887866"/>
      <w:bookmarkStart w:id="78" w:name="_Toc197889592"/>
      <w:bookmarkStart w:id="79" w:name="_Toc198370984"/>
      <w:bookmarkStart w:id="80" w:name="_Toc198380171"/>
      <w:bookmarkStart w:id="81" w:name="_Toc198380249"/>
      <w:bookmarkStart w:id="82" w:name="_Toc198386612"/>
      <w:bookmarkStart w:id="83" w:name="_Toc198461111"/>
      <w:bookmarkStart w:id="84" w:name="_Toc198461441"/>
      <w:bookmarkStart w:id="85" w:name="_Toc198640461"/>
      <w:bookmarkStart w:id="86" w:name="_Toc198641738"/>
      <w:bookmarkStart w:id="87" w:name="_Toc198647912"/>
      <w:bookmarkStart w:id="88" w:name="_Toc198880603"/>
      <w:bookmarkStart w:id="89" w:name="_Toc200528789"/>
      <w:bookmarkStart w:id="90" w:name="_Toc200528831"/>
      <w:bookmarkStart w:id="91" w:name="_Toc203130389"/>
      <w:bookmarkStart w:id="92" w:name="_Toc203130710"/>
      <w:bookmarkStart w:id="93" w:name="_Toc203139154"/>
      <w:bookmarkStart w:id="94" w:name="_Toc204075577"/>
      <w:bookmarkStart w:id="95" w:name="_Toc204080404"/>
      <w:bookmarkStart w:id="96" w:name="_Toc204080427"/>
      <w:bookmarkStart w:id="97" w:name="_Toc204164236"/>
      <w:bookmarkStart w:id="98" w:name="_Toc204348545"/>
      <w:bookmarkStart w:id="99" w:name="_Toc204348584"/>
      <w:bookmarkStart w:id="100" w:name="_Toc204348664"/>
      <w:bookmarkStart w:id="101" w:name="_Toc204355556"/>
      <w:bookmarkStart w:id="102" w:name="_Toc204359570"/>
      <w:bookmarkStart w:id="103" w:name="_Toc204361850"/>
      <w:bookmarkStart w:id="104" w:name="_Toc204432477"/>
      <w:bookmarkStart w:id="105" w:name="_Toc204432503"/>
      <w:bookmarkStart w:id="106" w:name="_Toc204434111"/>
      <w:bookmarkStart w:id="107" w:name="_Toc204446742"/>
      <w:bookmarkStart w:id="108" w:name="_Toc204537822"/>
      <w:bookmarkStart w:id="109" w:name="_Toc204591700"/>
      <w:bookmarkStart w:id="110" w:name="_Toc204593239"/>
      <w:bookmarkStart w:id="111" w:name="_Toc204593284"/>
      <w:bookmarkStart w:id="112" w:name="_Toc204593320"/>
      <w:bookmarkStart w:id="113" w:name="_Toc204593354"/>
      <w:bookmarkStart w:id="114" w:name="_Toc204593405"/>
      <w:bookmarkStart w:id="115" w:name="_Toc204593459"/>
      <w:bookmarkStart w:id="116" w:name="_Toc204598769"/>
      <w:bookmarkStart w:id="117" w:name="_Toc204610807"/>
      <w:bookmarkStart w:id="118" w:name="_Toc204701963"/>
      <w:bookmarkStart w:id="119" w:name="_Toc204716676"/>
      <w:bookmarkStart w:id="120" w:name="_Toc204763115"/>
      <w:bookmarkStart w:id="121" w:name="_Toc204763171"/>
      <w:bookmarkStart w:id="122" w:name="_Toc204763295"/>
      <w:bookmarkStart w:id="123" w:name="_Toc204763331"/>
      <w:bookmarkStart w:id="124" w:name="_Toc204763653"/>
      <w:bookmarkStart w:id="125" w:name="_Toc208824421"/>
      <w:bookmarkStart w:id="126" w:name="_Toc208919029"/>
      <w:bookmarkStart w:id="127" w:name="_Toc210048354"/>
      <w:bookmarkStart w:id="128" w:name="_Toc210058523"/>
      <w:r w:rsidRPr="00F569AE">
        <w:rPr>
          <w:rFonts w:ascii="Calibri" w:hAnsi="Calibri" w:cs="Calibri"/>
        </w:rPr>
        <w:lastRenderedPageBreak/>
        <w:t>List of Acronyms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4282C2C2" w14:textId="77777777" w:rsidR="000838A5" w:rsidRPr="00F569AE" w:rsidRDefault="000838A5" w:rsidP="000838A5">
      <w:pPr>
        <w:rPr>
          <w:lang w:val="en-US"/>
        </w:rPr>
      </w:pPr>
    </w:p>
    <w:p w14:paraId="34FFFEA8" w14:textId="75D6DE90" w:rsidR="000838A5" w:rsidRPr="00F569AE" w:rsidRDefault="000838A5" w:rsidP="000838A5">
      <w:pPr>
        <w:spacing w:line="276" w:lineRule="auto"/>
        <w:rPr>
          <w:lang w:val="en-US"/>
        </w:rPr>
      </w:pPr>
      <w:r w:rsidRPr="00F569AE">
        <w:rPr>
          <w:rFonts w:ascii="Calibri" w:hAnsi="Calibri"/>
          <w:color w:val="000000"/>
          <w:lang w:val="en-US"/>
        </w:rPr>
        <w:t>AMC</w:t>
      </w:r>
      <w:r w:rsidRPr="00F569AE">
        <w:rPr>
          <w:rFonts w:ascii="Calibri" w:hAnsi="Calibri"/>
          <w:color w:val="000000"/>
          <w:lang w:val="en-US"/>
        </w:rPr>
        <w:tab/>
      </w:r>
      <w:r w:rsidRPr="00F569AE">
        <w:rPr>
          <w:rFonts w:ascii="Calibri" w:hAnsi="Calibri"/>
          <w:color w:val="000000"/>
          <w:lang w:val="en-US"/>
        </w:rPr>
        <w:tab/>
        <w:t>Associations of Municipalities and Cities</w:t>
      </w:r>
    </w:p>
    <w:p w14:paraId="5BD93E1C" w14:textId="77777777" w:rsidR="000838A5" w:rsidRPr="00F569AE" w:rsidRDefault="000838A5" w:rsidP="000838A5">
      <w:pPr>
        <w:spacing w:line="276" w:lineRule="auto"/>
        <w:rPr>
          <w:lang w:val="en-US"/>
        </w:rPr>
      </w:pPr>
      <w:r w:rsidRPr="00F569AE">
        <w:rPr>
          <w:rFonts w:ascii="Calibri" w:hAnsi="Calibri"/>
          <w:color w:val="000000"/>
          <w:lang w:val="en-US"/>
        </w:rPr>
        <w:t>BiH</w:t>
      </w:r>
      <w:r w:rsidRPr="00F569AE">
        <w:rPr>
          <w:rFonts w:ascii="Calibri" w:hAnsi="Calibri"/>
          <w:color w:val="000000"/>
          <w:lang w:val="en-US"/>
        </w:rPr>
        <w:tab/>
      </w:r>
      <w:r w:rsidRPr="00F569AE">
        <w:rPr>
          <w:rFonts w:ascii="Calibri" w:hAnsi="Calibri"/>
          <w:color w:val="000000"/>
          <w:lang w:val="en-US"/>
        </w:rPr>
        <w:tab/>
        <w:t>Bosnia and Herzegovina</w:t>
      </w:r>
    </w:p>
    <w:p w14:paraId="38309229" w14:textId="77777777" w:rsidR="000838A5" w:rsidRPr="00F569AE" w:rsidRDefault="000838A5" w:rsidP="000838A5">
      <w:pPr>
        <w:spacing w:line="276" w:lineRule="auto"/>
        <w:rPr>
          <w:lang w:val="en-US"/>
        </w:rPr>
      </w:pPr>
      <w:r w:rsidRPr="00F569AE">
        <w:rPr>
          <w:rFonts w:ascii="Calibri" w:hAnsi="Calibri"/>
          <w:lang w:val="en-US"/>
        </w:rPr>
        <w:t>CAF</w:t>
      </w:r>
      <w:r w:rsidRPr="00F569AE">
        <w:rPr>
          <w:rFonts w:ascii="Calibri" w:hAnsi="Calibri"/>
          <w:lang w:val="en-US"/>
        </w:rPr>
        <w:tab/>
      </w:r>
      <w:r w:rsidRPr="00F569AE">
        <w:rPr>
          <w:rFonts w:ascii="Calibri" w:hAnsi="Calibri"/>
          <w:lang w:val="en-US"/>
        </w:rPr>
        <w:tab/>
      </w:r>
      <w:r w:rsidRPr="00F569AE">
        <w:rPr>
          <w:rFonts w:ascii="Calibri" w:hAnsi="Calibri"/>
          <w:color w:val="000000"/>
          <w:shd w:val="clear" w:color="auto" w:fill="FFFFFF"/>
          <w:lang w:val="en-US"/>
        </w:rPr>
        <w:t>The Common Assessment Framework</w:t>
      </w:r>
    </w:p>
    <w:p w14:paraId="3A640E81" w14:textId="77777777" w:rsidR="000838A5" w:rsidRPr="00F569AE" w:rsidRDefault="000838A5" w:rsidP="000838A5">
      <w:pPr>
        <w:spacing w:line="276" w:lineRule="auto"/>
        <w:rPr>
          <w:lang w:val="en-US"/>
        </w:rPr>
      </w:pPr>
      <w:r w:rsidRPr="00F569AE">
        <w:rPr>
          <w:rFonts w:ascii="Calibri" w:hAnsi="Calibri"/>
          <w:lang w:val="en-US"/>
        </w:rPr>
        <w:t>CAF4LGs</w:t>
      </w:r>
      <w:r w:rsidRPr="00F569AE">
        <w:rPr>
          <w:rFonts w:ascii="Calibri" w:hAnsi="Calibri"/>
          <w:lang w:val="en-US"/>
        </w:rPr>
        <w:tab/>
      </w:r>
      <w:r w:rsidRPr="00F569AE">
        <w:rPr>
          <w:rFonts w:ascii="Calibri" w:hAnsi="Calibri"/>
          <w:color w:val="000000"/>
          <w:shd w:val="clear" w:color="auto" w:fill="FFFFFF"/>
          <w:lang w:val="en-US"/>
        </w:rPr>
        <w:t xml:space="preserve">The Common Assessment Framework for Local </w:t>
      </w:r>
      <w:r w:rsidRPr="00F569AE">
        <w:rPr>
          <w:rFonts w:ascii="Calibri" w:hAnsi="Calibri"/>
          <w:lang w:val="en-US"/>
        </w:rPr>
        <w:t>G</w:t>
      </w:r>
      <w:r w:rsidRPr="00F569AE">
        <w:rPr>
          <w:rFonts w:ascii="Calibri" w:hAnsi="Calibri"/>
          <w:color w:val="000000"/>
          <w:shd w:val="clear" w:color="auto" w:fill="FFFFFF"/>
          <w:lang w:val="en-US"/>
        </w:rPr>
        <w:t>overnance</w:t>
      </w:r>
    </w:p>
    <w:p w14:paraId="2B8D3C03" w14:textId="77777777" w:rsidR="000838A5" w:rsidRPr="00F569AE" w:rsidRDefault="000838A5" w:rsidP="000838A5">
      <w:pPr>
        <w:spacing w:line="276" w:lineRule="auto"/>
        <w:rPr>
          <w:lang w:val="en-US"/>
        </w:rPr>
      </w:pPr>
      <w:r w:rsidRPr="00F569AE">
        <w:rPr>
          <w:rFonts w:ascii="Calibri" w:hAnsi="Calibri"/>
          <w:color w:val="000000"/>
          <w:lang w:val="en-US"/>
        </w:rPr>
        <w:t>DAC</w:t>
      </w:r>
      <w:r w:rsidRPr="00F569AE">
        <w:rPr>
          <w:rFonts w:ascii="Calibri" w:hAnsi="Calibri"/>
          <w:color w:val="000000"/>
          <w:lang w:val="en-US"/>
        </w:rPr>
        <w:tab/>
      </w:r>
      <w:r w:rsidRPr="00F569AE">
        <w:rPr>
          <w:rFonts w:ascii="Calibri" w:hAnsi="Calibri"/>
          <w:color w:val="000000"/>
          <w:lang w:val="en-US"/>
        </w:rPr>
        <w:tab/>
        <w:t xml:space="preserve">Development Assistance Committee </w:t>
      </w:r>
    </w:p>
    <w:p w14:paraId="64440E10" w14:textId="77777777" w:rsidR="000838A5" w:rsidRPr="00F569AE" w:rsidRDefault="000838A5" w:rsidP="000838A5">
      <w:pPr>
        <w:spacing w:line="276" w:lineRule="auto"/>
        <w:rPr>
          <w:lang w:val="en-US"/>
        </w:rPr>
      </w:pPr>
      <w:r w:rsidRPr="00F569AE">
        <w:rPr>
          <w:rFonts w:ascii="Calibri" w:hAnsi="Calibri"/>
          <w:color w:val="000000"/>
          <w:lang w:val="en-US"/>
        </w:rPr>
        <w:t>ERG</w:t>
      </w:r>
      <w:r w:rsidRPr="00F569AE">
        <w:rPr>
          <w:rFonts w:ascii="Calibri" w:hAnsi="Calibri"/>
          <w:color w:val="000000"/>
          <w:lang w:val="en-US"/>
        </w:rPr>
        <w:tab/>
      </w:r>
      <w:r w:rsidRPr="00F569AE">
        <w:rPr>
          <w:rFonts w:ascii="Calibri" w:hAnsi="Calibri"/>
          <w:color w:val="000000"/>
          <w:lang w:val="en-US"/>
        </w:rPr>
        <w:tab/>
        <w:t>Evaluation Reference Group</w:t>
      </w:r>
    </w:p>
    <w:p w14:paraId="21DC66E3" w14:textId="77777777" w:rsidR="000838A5" w:rsidRPr="00F569AE" w:rsidRDefault="000838A5" w:rsidP="000838A5">
      <w:pPr>
        <w:spacing w:line="276" w:lineRule="auto"/>
        <w:rPr>
          <w:lang w:val="en-US"/>
        </w:rPr>
      </w:pPr>
      <w:r w:rsidRPr="00F569AE">
        <w:rPr>
          <w:rFonts w:ascii="Calibri" w:hAnsi="Calibri"/>
          <w:color w:val="000000"/>
          <w:lang w:val="en-US"/>
        </w:rPr>
        <w:t>EU</w:t>
      </w:r>
      <w:r w:rsidRPr="00F569AE">
        <w:rPr>
          <w:rFonts w:ascii="Calibri" w:hAnsi="Calibri"/>
          <w:color w:val="000000"/>
          <w:lang w:val="en-US"/>
        </w:rPr>
        <w:tab/>
      </w:r>
      <w:r w:rsidRPr="00F569AE">
        <w:rPr>
          <w:rFonts w:ascii="Calibri" w:hAnsi="Calibri"/>
          <w:color w:val="000000"/>
          <w:lang w:val="en-US"/>
        </w:rPr>
        <w:tab/>
        <w:t>European Union</w:t>
      </w:r>
    </w:p>
    <w:p w14:paraId="1F63DB99" w14:textId="77777777" w:rsidR="000838A5" w:rsidRPr="00F569AE" w:rsidRDefault="000838A5" w:rsidP="000838A5">
      <w:pPr>
        <w:spacing w:line="276" w:lineRule="auto"/>
        <w:rPr>
          <w:lang w:val="en-US"/>
        </w:rPr>
      </w:pPr>
      <w:r w:rsidRPr="00F569AE">
        <w:rPr>
          <w:rFonts w:ascii="Calibri" w:hAnsi="Calibri"/>
          <w:color w:val="000000"/>
          <w:lang w:val="en-US"/>
        </w:rPr>
        <w:t>FbiH</w:t>
      </w:r>
      <w:r w:rsidRPr="00F569AE">
        <w:rPr>
          <w:rFonts w:ascii="Calibri" w:hAnsi="Calibri"/>
          <w:color w:val="000000"/>
          <w:lang w:val="en-US"/>
        </w:rPr>
        <w:tab/>
      </w:r>
      <w:r w:rsidRPr="00F569AE">
        <w:rPr>
          <w:rFonts w:ascii="Calibri" w:hAnsi="Calibri"/>
          <w:color w:val="000000"/>
          <w:lang w:val="en-US"/>
        </w:rPr>
        <w:tab/>
        <w:t>Federation of Bosnia and Herzegovina</w:t>
      </w:r>
    </w:p>
    <w:p w14:paraId="54EC3AD9" w14:textId="77777777" w:rsidR="000838A5" w:rsidRPr="00F569AE" w:rsidRDefault="000838A5" w:rsidP="000838A5">
      <w:pPr>
        <w:spacing w:line="276" w:lineRule="auto"/>
        <w:rPr>
          <w:lang w:val="en-US"/>
        </w:rPr>
      </w:pPr>
      <w:r w:rsidRPr="00F569AE">
        <w:rPr>
          <w:rFonts w:ascii="Calibri" w:hAnsi="Calibri"/>
          <w:color w:val="000000"/>
          <w:lang w:val="en-US"/>
        </w:rPr>
        <w:t>FGDs</w:t>
      </w:r>
      <w:r w:rsidRPr="00F569AE">
        <w:rPr>
          <w:rFonts w:ascii="Calibri" w:hAnsi="Calibri"/>
          <w:color w:val="000000"/>
          <w:lang w:val="en-US"/>
        </w:rPr>
        <w:tab/>
      </w:r>
      <w:r w:rsidRPr="00F569AE">
        <w:rPr>
          <w:rFonts w:ascii="Calibri" w:hAnsi="Calibri"/>
          <w:color w:val="000000"/>
          <w:lang w:val="en-US"/>
        </w:rPr>
        <w:tab/>
        <w:t>Focus group discussions</w:t>
      </w:r>
    </w:p>
    <w:p w14:paraId="059A6E81" w14:textId="77777777" w:rsidR="000838A5" w:rsidRPr="00F569AE" w:rsidRDefault="000838A5" w:rsidP="000838A5">
      <w:pPr>
        <w:spacing w:line="276" w:lineRule="auto"/>
        <w:rPr>
          <w:lang w:val="en-US"/>
        </w:rPr>
      </w:pPr>
      <w:r w:rsidRPr="00F569AE">
        <w:rPr>
          <w:rFonts w:ascii="Calibri" w:hAnsi="Calibri"/>
          <w:color w:val="000000"/>
          <w:lang w:val="en-US"/>
        </w:rPr>
        <w:t>GLG</w:t>
      </w:r>
      <w:r w:rsidRPr="00F569AE">
        <w:rPr>
          <w:rFonts w:ascii="Calibri" w:hAnsi="Calibri"/>
          <w:color w:val="000000"/>
          <w:lang w:val="en-US"/>
        </w:rPr>
        <w:tab/>
      </w:r>
      <w:r w:rsidRPr="00F569AE">
        <w:rPr>
          <w:rFonts w:ascii="Calibri" w:hAnsi="Calibri"/>
          <w:color w:val="000000"/>
          <w:lang w:val="en-US"/>
        </w:rPr>
        <w:tab/>
        <w:t>Good Local Governance</w:t>
      </w:r>
    </w:p>
    <w:p w14:paraId="108DEBE9" w14:textId="77777777" w:rsidR="000838A5" w:rsidRPr="00F569AE" w:rsidRDefault="000838A5" w:rsidP="000838A5">
      <w:pPr>
        <w:spacing w:line="276" w:lineRule="auto"/>
        <w:rPr>
          <w:lang w:val="en-US"/>
        </w:rPr>
      </w:pPr>
      <w:r w:rsidRPr="00F569AE">
        <w:rPr>
          <w:rFonts w:ascii="Calibri" w:hAnsi="Calibri"/>
          <w:color w:val="000000"/>
          <w:lang w:val="en-US"/>
        </w:rPr>
        <w:t>GRES</w:t>
      </w:r>
      <w:r w:rsidRPr="00F569AE">
        <w:rPr>
          <w:rFonts w:ascii="Calibri" w:hAnsi="Calibri"/>
          <w:color w:val="000000"/>
          <w:lang w:val="en-US"/>
        </w:rPr>
        <w:tab/>
      </w:r>
      <w:r w:rsidRPr="00F569AE">
        <w:rPr>
          <w:rFonts w:ascii="Calibri" w:hAnsi="Calibri"/>
          <w:color w:val="000000"/>
          <w:lang w:val="en-US"/>
        </w:rPr>
        <w:tab/>
        <w:t>Gender Results Effectiveness Scale</w:t>
      </w:r>
    </w:p>
    <w:p w14:paraId="2FA00118" w14:textId="77777777" w:rsidR="000838A5" w:rsidRPr="00F569AE" w:rsidRDefault="000838A5" w:rsidP="000838A5">
      <w:pPr>
        <w:spacing w:line="276" w:lineRule="auto"/>
        <w:rPr>
          <w:lang w:val="en-US"/>
        </w:rPr>
      </w:pPr>
      <w:r w:rsidRPr="00F569AE">
        <w:rPr>
          <w:rFonts w:ascii="Calibri" w:hAnsi="Calibri"/>
          <w:color w:val="000000"/>
          <w:lang w:val="en-US"/>
        </w:rPr>
        <w:t>LG</w:t>
      </w:r>
      <w:r w:rsidRPr="00F569AE">
        <w:rPr>
          <w:rFonts w:ascii="Calibri" w:hAnsi="Calibri"/>
          <w:color w:val="000000"/>
          <w:lang w:val="en-US"/>
        </w:rPr>
        <w:tab/>
      </w:r>
      <w:r w:rsidRPr="00F569AE">
        <w:rPr>
          <w:rFonts w:ascii="Calibri" w:hAnsi="Calibri"/>
          <w:color w:val="000000"/>
          <w:lang w:val="en-US"/>
        </w:rPr>
        <w:tab/>
        <w:t xml:space="preserve">Local Governance </w:t>
      </w:r>
    </w:p>
    <w:p w14:paraId="2856B915" w14:textId="77777777" w:rsidR="000838A5" w:rsidRPr="00F569AE" w:rsidRDefault="000838A5" w:rsidP="000838A5">
      <w:pPr>
        <w:spacing w:line="276" w:lineRule="auto"/>
        <w:rPr>
          <w:lang w:val="en-US"/>
        </w:rPr>
      </w:pPr>
      <w:r w:rsidRPr="00F569AE">
        <w:rPr>
          <w:rFonts w:ascii="Calibri" w:hAnsi="Calibri"/>
          <w:color w:val="000000"/>
          <w:lang w:val="en-US"/>
        </w:rPr>
        <w:t>MEG</w:t>
      </w:r>
      <w:r w:rsidRPr="00F569AE">
        <w:rPr>
          <w:rFonts w:ascii="Calibri" w:hAnsi="Calibri"/>
          <w:color w:val="000000"/>
          <w:lang w:val="en-US"/>
        </w:rPr>
        <w:tab/>
      </w:r>
      <w:r w:rsidRPr="00F569AE">
        <w:rPr>
          <w:rFonts w:ascii="Calibri" w:hAnsi="Calibri"/>
          <w:color w:val="000000"/>
          <w:lang w:val="en-US"/>
        </w:rPr>
        <w:tab/>
        <w:t>Municipal Environmental Governance</w:t>
      </w:r>
    </w:p>
    <w:p w14:paraId="2207196C" w14:textId="77777777" w:rsidR="000838A5" w:rsidRPr="00F569AE" w:rsidRDefault="000838A5" w:rsidP="000838A5">
      <w:pPr>
        <w:spacing w:line="276" w:lineRule="auto"/>
        <w:rPr>
          <w:lang w:val="en-US"/>
        </w:rPr>
      </w:pPr>
      <w:r w:rsidRPr="00F569AE">
        <w:rPr>
          <w:rFonts w:ascii="Calibri" w:hAnsi="Calibri"/>
          <w:color w:val="000000"/>
          <w:lang w:val="en-US"/>
        </w:rPr>
        <w:t>OECD</w:t>
      </w:r>
      <w:r w:rsidRPr="00F569AE">
        <w:rPr>
          <w:rFonts w:ascii="Calibri" w:hAnsi="Calibri"/>
          <w:color w:val="000000"/>
          <w:lang w:val="en-US"/>
        </w:rPr>
        <w:tab/>
      </w:r>
      <w:r w:rsidRPr="00F569AE">
        <w:rPr>
          <w:rFonts w:ascii="Calibri" w:hAnsi="Calibri"/>
          <w:color w:val="000000"/>
          <w:lang w:val="en-US"/>
        </w:rPr>
        <w:tab/>
        <w:t>Organization for Economic Cooperation and Development</w:t>
      </w:r>
    </w:p>
    <w:p w14:paraId="0566FFF5" w14:textId="77777777" w:rsidR="000838A5" w:rsidRPr="00F569AE" w:rsidRDefault="000838A5" w:rsidP="000838A5">
      <w:pPr>
        <w:spacing w:line="276" w:lineRule="auto"/>
        <w:rPr>
          <w:lang w:val="en-US"/>
        </w:rPr>
      </w:pPr>
      <w:r w:rsidRPr="00F569AE">
        <w:rPr>
          <w:rFonts w:ascii="Calibri" w:hAnsi="Calibri"/>
          <w:color w:val="000000"/>
          <w:lang w:val="en-US"/>
        </w:rPr>
        <w:t>PMS</w:t>
      </w:r>
      <w:r w:rsidRPr="00F569AE">
        <w:rPr>
          <w:rFonts w:ascii="Calibri" w:hAnsi="Calibri"/>
          <w:color w:val="000000"/>
          <w:lang w:val="en-US"/>
        </w:rPr>
        <w:tab/>
      </w:r>
      <w:r w:rsidRPr="00F569AE">
        <w:rPr>
          <w:rFonts w:ascii="Calibri" w:hAnsi="Calibri"/>
          <w:color w:val="000000"/>
          <w:lang w:val="en-US"/>
        </w:rPr>
        <w:tab/>
        <w:t>Performance management systems</w:t>
      </w:r>
    </w:p>
    <w:p w14:paraId="5B760490" w14:textId="77777777" w:rsidR="000838A5" w:rsidRPr="00F569AE" w:rsidRDefault="000838A5" w:rsidP="000838A5">
      <w:pPr>
        <w:spacing w:line="276" w:lineRule="auto"/>
        <w:rPr>
          <w:lang w:val="en-US"/>
        </w:rPr>
      </w:pPr>
      <w:r w:rsidRPr="00F569AE">
        <w:rPr>
          <w:rFonts w:ascii="Calibri" w:hAnsi="Calibri"/>
          <w:color w:val="000000"/>
          <w:lang w:val="en-US"/>
        </w:rPr>
        <w:t>PSA</w:t>
      </w:r>
      <w:r w:rsidRPr="00F569AE">
        <w:rPr>
          <w:rFonts w:ascii="Calibri" w:hAnsi="Calibri"/>
          <w:color w:val="000000"/>
          <w:lang w:val="en-US"/>
        </w:rPr>
        <w:tab/>
      </w:r>
      <w:r w:rsidRPr="00F569AE">
        <w:rPr>
          <w:rFonts w:ascii="Calibri" w:hAnsi="Calibri"/>
          <w:color w:val="000000"/>
          <w:lang w:val="en-US"/>
        </w:rPr>
        <w:tab/>
        <w:t>Public Service Agreements</w:t>
      </w:r>
    </w:p>
    <w:p w14:paraId="5999E8BE" w14:textId="77777777" w:rsidR="000838A5" w:rsidRPr="00F569AE" w:rsidRDefault="000838A5" w:rsidP="000838A5">
      <w:pPr>
        <w:spacing w:line="276" w:lineRule="auto"/>
        <w:rPr>
          <w:lang w:val="en-US"/>
        </w:rPr>
      </w:pPr>
      <w:r w:rsidRPr="00F569AE">
        <w:rPr>
          <w:rFonts w:ascii="Calibri" w:hAnsi="Calibri"/>
          <w:color w:val="000000"/>
          <w:lang w:val="en-US"/>
        </w:rPr>
        <w:t>RS</w:t>
      </w:r>
      <w:r w:rsidRPr="00F569AE">
        <w:rPr>
          <w:rFonts w:ascii="Calibri" w:hAnsi="Calibri"/>
          <w:color w:val="000000"/>
          <w:lang w:val="en-US"/>
        </w:rPr>
        <w:tab/>
      </w:r>
      <w:r w:rsidRPr="00F569AE">
        <w:rPr>
          <w:rFonts w:ascii="Calibri" w:hAnsi="Calibri"/>
          <w:color w:val="000000"/>
          <w:lang w:val="en-US"/>
        </w:rPr>
        <w:tab/>
        <w:t xml:space="preserve">Republic of Srpska </w:t>
      </w:r>
    </w:p>
    <w:p w14:paraId="0082B877" w14:textId="77777777" w:rsidR="000838A5" w:rsidRPr="00F569AE" w:rsidRDefault="000838A5" w:rsidP="000838A5">
      <w:pPr>
        <w:spacing w:line="276" w:lineRule="auto"/>
        <w:rPr>
          <w:lang w:val="en-US"/>
        </w:rPr>
      </w:pPr>
      <w:r w:rsidRPr="00F569AE">
        <w:rPr>
          <w:rFonts w:ascii="Calibri" w:hAnsi="Calibri"/>
          <w:color w:val="000000"/>
          <w:lang w:val="en-US"/>
        </w:rPr>
        <w:t>SDC</w:t>
      </w:r>
      <w:r w:rsidRPr="00F569AE">
        <w:rPr>
          <w:rFonts w:ascii="Calibri" w:hAnsi="Calibri"/>
          <w:color w:val="000000"/>
          <w:lang w:val="en-US"/>
        </w:rPr>
        <w:tab/>
      </w:r>
      <w:r w:rsidRPr="00F569AE">
        <w:rPr>
          <w:rFonts w:ascii="Calibri" w:hAnsi="Calibri"/>
          <w:color w:val="000000"/>
          <w:lang w:val="en-US"/>
        </w:rPr>
        <w:tab/>
        <w:t>Swiss Agency for Development and Cooperation</w:t>
      </w:r>
    </w:p>
    <w:p w14:paraId="31EB4EE0" w14:textId="77777777" w:rsidR="000838A5" w:rsidRPr="00F569AE" w:rsidRDefault="000838A5" w:rsidP="000838A5">
      <w:pPr>
        <w:spacing w:line="276" w:lineRule="auto"/>
        <w:rPr>
          <w:lang w:val="en-US"/>
        </w:rPr>
      </w:pPr>
      <w:r w:rsidRPr="00F569AE">
        <w:rPr>
          <w:rFonts w:ascii="Calibri" w:hAnsi="Calibri"/>
          <w:color w:val="000000"/>
          <w:lang w:val="en-US"/>
        </w:rPr>
        <w:t>SDGs</w:t>
      </w:r>
      <w:r w:rsidRPr="00F569AE">
        <w:rPr>
          <w:rFonts w:ascii="Calibri" w:hAnsi="Calibri"/>
          <w:color w:val="000000"/>
          <w:lang w:val="en-US"/>
        </w:rPr>
        <w:tab/>
      </w:r>
      <w:r w:rsidRPr="00F569AE">
        <w:rPr>
          <w:rFonts w:ascii="Calibri" w:hAnsi="Calibri"/>
          <w:color w:val="000000"/>
          <w:lang w:val="en-US"/>
        </w:rPr>
        <w:tab/>
        <w:t xml:space="preserve">Sustainable Development Goals </w:t>
      </w:r>
    </w:p>
    <w:p w14:paraId="2B3DB035" w14:textId="77777777" w:rsidR="000838A5" w:rsidRPr="00F569AE" w:rsidRDefault="000838A5" w:rsidP="000838A5">
      <w:pPr>
        <w:spacing w:line="276" w:lineRule="auto"/>
        <w:rPr>
          <w:lang w:val="en-US"/>
        </w:rPr>
      </w:pPr>
      <w:r w:rsidRPr="00F569AE">
        <w:rPr>
          <w:rFonts w:ascii="Calibri" w:hAnsi="Calibri"/>
          <w:color w:val="000000"/>
          <w:lang w:val="en-US"/>
        </w:rPr>
        <w:t>ToC</w:t>
      </w:r>
      <w:r w:rsidRPr="00F569AE">
        <w:rPr>
          <w:rFonts w:ascii="Calibri" w:hAnsi="Calibri"/>
          <w:color w:val="000000"/>
          <w:lang w:val="en-US"/>
        </w:rPr>
        <w:tab/>
      </w:r>
      <w:r w:rsidRPr="00F569AE">
        <w:rPr>
          <w:rFonts w:ascii="Calibri" w:hAnsi="Calibri"/>
          <w:color w:val="000000"/>
          <w:lang w:val="en-US"/>
        </w:rPr>
        <w:tab/>
        <w:t>Theory of Change</w:t>
      </w:r>
    </w:p>
    <w:p w14:paraId="789DB582" w14:textId="77777777" w:rsidR="000838A5" w:rsidRPr="00F569AE" w:rsidRDefault="000838A5" w:rsidP="000838A5">
      <w:pPr>
        <w:spacing w:line="276" w:lineRule="auto"/>
        <w:rPr>
          <w:lang w:val="en-US"/>
        </w:rPr>
      </w:pPr>
      <w:r w:rsidRPr="00F569AE">
        <w:rPr>
          <w:rFonts w:ascii="Calibri" w:hAnsi="Calibri"/>
          <w:color w:val="000000"/>
          <w:lang w:val="en-US"/>
        </w:rPr>
        <w:t>ToR</w:t>
      </w:r>
      <w:r w:rsidRPr="00F569AE">
        <w:rPr>
          <w:rFonts w:ascii="Calibri" w:hAnsi="Calibri"/>
          <w:color w:val="000000"/>
          <w:lang w:val="en-US"/>
        </w:rPr>
        <w:tab/>
      </w:r>
      <w:r w:rsidRPr="00F569AE">
        <w:rPr>
          <w:rFonts w:ascii="Calibri" w:hAnsi="Calibri"/>
          <w:color w:val="000000"/>
          <w:lang w:val="en-US"/>
        </w:rPr>
        <w:tab/>
        <w:t>Terms of Reference</w:t>
      </w:r>
    </w:p>
    <w:p w14:paraId="55493306" w14:textId="77777777" w:rsidR="000838A5" w:rsidRPr="00F569AE" w:rsidRDefault="000838A5" w:rsidP="000838A5">
      <w:pPr>
        <w:spacing w:line="276" w:lineRule="auto"/>
        <w:rPr>
          <w:lang w:val="en-US"/>
        </w:rPr>
      </w:pPr>
      <w:r w:rsidRPr="00F569AE">
        <w:rPr>
          <w:rFonts w:ascii="Calibri" w:hAnsi="Calibri"/>
          <w:lang w:val="en-US"/>
        </w:rPr>
        <w:t>UNCT BiH</w:t>
      </w:r>
      <w:r w:rsidRPr="00F569AE">
        <w:rPr>
          <w:rFonts w:ascii="Calibri" w:hAnsi="Calibri"/>
          <w:lang w:val="en-US"/>
        </w:rPr>
        <w:tab/>
        <w:t xml:space="preserve">United Nations Country Team Bosnia and </w:t>
      </w:r>
      <w:r w:rsidRPr="00F569AE">
        <w:rPr>
          <w:rFonts w:ascii="Calibri" w:hAnsi="Calibri"/>
          <w:color w:val="000000"/>
          <w:lang w:val="en-US"/>
        </w:rPr>
        <w:t>Herzegovina</w:t>
      </w:r>
    </w:p>
    <w:p w14:paraId="743759E6" w14:textId="77777777" w:rsidR="000838A5" w:rsidRPr="00F569AE" w:rsidRDefault="000838A5" w:rsidP="000838A5">
      <w:pPr>
        <w:spacing w:line="276" w:lineRule="auto"/>
        <w:rPr>
          <w:rFonts w:ascii="Calibri" w:hAnsi="Calibri"/>
          <w:color w:val="000000"/>
          <w:lang w:val="en-US"/>
        </w:rPr>
      </w:pPr>
      <w:r w:rsidRPr="00F569AE">
        <w:rPr>
          <w:rFonts w:ascii="Calibri" w:hAnsi="Calibri"/>
          <w:color w:val="000000"/>
          <w:lang w:val="en-US"/>
        </w:rPr>
        <w:t>UNSDCF</w:t>
      </w:r>
      <w:r w:rsidRPr="00F569AE">
        <w:rPr>
          <w:rFonts w:ascii="Calibri" w:hAnsi="Calibri"/>
          <w:color w:val="000000"/>
          <w:lang w:val="en-US"/>
        </w:rPr>
        <w:tab/>
        <w:t>United Nations</w:t>
      </w:r>
      <w:r w:rsidRPr="00F569AE">
        <w:rPr>
          <w:rFonts w:ascii="Calibri" w:hAnsi="Calibri"/>
          <w:lang w:val="en-US"/>
        </w:rPr>
        <w:t xml:space="preserve"> </w:t>
      </w:r>
      <w:r w:rsidRPr="00F569AE">
        <w:rPr>
          <w:rFonts w:ascii="Calibri" w:hAnsi="Calibri"/>
          <w:color w:val="000000"/>
          <w:lang w:val="en-US"/>
        </w:rPr>
        <w:t xml:space="preserve">Sustainable Development Cooperation Framework </w:t>
      </w:r>
    </w:p>
    <w:p w14:paraId="0A80BBE7" w14:textId="77777777" w:rsidR="000838A5" w:rsidRPr="00F569AE" w:rsidRDefault="000838A5" w:rsidP="000838A5">
      <w:pPr>
        <w:spacing w:line="276" w:lineRule="auto"/>
        <w:rPr>
          <w:lang w:val="en-US"/>
        </w:rPr>
      </w:pPr>
      <w:r w:rsidRPr="00F569AE">
        <w:rPr>
          <w:rFonts w:ascii="Calibri" w:hAnsi="Calibri"/>
          <w:color w:val="000000"/>
          <w:lang w:val="en-US"/>
        </w:rPr>
        <w:t>UNDP</w:t>
      </w:r>
      <w:r w:rsidRPr="00F569AE">
        <w:rPr>
          <w:rFonts w:ascii="Calibri" w:hAnsi="Calibri"/>
          <w:color w:val="000000"/>
          <w:lang w:val="en-US"/>
        </w:rPr>
        <w:tab/>
      </w:r>
      <w:r w:rsidRPr="00F569AE">
        <w:rPr>
          <w:rFonts w:ascii="Calibri" w:hAnsi="Calibri"/>
          <w:color w:val="000000"/>
          <w:lang w:val="en-US"/>
        </w:rPr>
        <w:tab/>
        <w:t xml:space="preserve">United Nations Development Program </w:t>
      </w:r>
    </w:p>
    <w:p w14:paraId="07B53D40" w14:textId="77777777" w:rsidR="000838A5" w:rsidRPr="00F569AE" w:rsidRDefault="000838A5" w:rsidP="000838A5">
      <w:pPr>
        <w:spacing w:line="276" w:lineRule="auto"/>
        <w:rPr>
          <w:lang w:val="en-US"/>
        </w:rPr>
      </w:pPr>
      <w:r w:rsidRPr="00F569AE">
        <w:rPr>
          <w:rFonts w:ascii="Calibri" w:hAnsi="Calibri"/>
          <w:color w:val="000000"/>
          <w:lang w:val="en-US"/>
        </w:rPr>
        <w:t>WUCs</w:t>
      </w:r>
      <w:r w:rsidRPr="00F569AE">
        <w:rPr>
          <w:rFonts w:ascii="Calibri" w:hAnsi="Calibri"/>
          <w:color w:val="000000"/>
          <w:lang w:val="en-US"/>
        </w:rPr>
        <w:tab/>
      </w:r>
      <w:r w:rsidRPr="00F569AE">
        <w:rPr>
          <w:rFonts w:ascii="Calibri" w:hAnsi="Calibri"/>
          <w:color w:val="000000"/>
          <w:lang w:val="en-US"/>
        </w:rPr>
        <w:tab/>
        <w:t xml:space="preserve">Water Utility Companies </w:t>
      </w:r>
    </w:p>
    <w:p w14:paraId="4EFB79CB" w14:textId="77777777" w:rsidR="000838A5" w:rsidRPr="00F569AE" w:rsidRDefault="000838A5" w:rsidP="000838A5">
      <w:pPr>
        <w:spacing w:line="276" w:lineRule="auto"/>
        <w:rPr>
          <w:lang w:val="en-US"/>
        </w:rPr>
      </w:pPr>
      <w:r w:rsidRPr="00F569AE">
        <w:rPr>
          <w:rFonts w:ascii="Calibri" w:hAnsi="Calibri"/>
          <w:color w:val="000000"/>
          <w:lang w:val="en-US"/>
        </w:rPr>
        <w:t>WB</w:t>
      </w:r>
      <w:r w:rsidRPr="00F569AE">
        <w:rPr>
          <w:rFonts w:ascii="Calibri" w:hAnsi="Calibri"/>
          <w:color w:val="000000"/>
          <w:lang w:val="en-US"/>
        </w:rPr>
        <w:tab/>
      </w:r>
      <w:r w:rsidRPr="00F569AE">
        <w:rPr>
          <w:rFonts w:ascii="Calibri" w:hAnsi="Calibri"/>
          <w:color w:val="000000"/>
          <w:lang w:val="en-US"/>
        </w:rPr>
        <w:tab/>
        <w:t>World Bank</w:t>
      </w:r>
    </w:p>
    <w:p w14:paraId="46011508" w14:textId="77777777" w:rsidR="002D6EBA" w:rsidRPr="00F569AE" w:rsidRDefault="002D6EBA" w:rsidP="007E75A1">
      <w:pPr>
        <w:spacing w:line="276" w:lineRule="auto"/>
        <w:rPr>
          <w:rFonts w:ascii="Calibri" w:hAnsi="Calibri" w:cs="Calibri"/>
          <w:color w:val="000000" w:themeColor="text1"/>
          <w:lang w:val="en-US"/>
        </w:rPr>
      </w:pPr>
    </w:p>
    <w:p w14:paraId="06F5D41C" w14:textId="77777777" w:rsidR="000245A8" w:rsidRPr="00F569AE" w:rsidRDefault="000245A8" w:rsidP="007E75A1">
      <w:pPr>
        <w:spacing w:line="276" w:lineRule="auto"/>
        <w:rPr>
          <w:rFonts w:ascii="Calibri" w:hAnsi="Calibri" w:cs="Calibri"/>
          <w:color w:val="000000" w:themeColor="text1"/>
          <w:lang w:val="en-US"/>
        </w:rPr>
      </w:pPr>
    </w:p>
    <w:p w14:paraId="21CA2F48" w14:textId="77777777" w:rsidR="000245A8" w:rsidRPr="00F569AE" w:rsidRDefault="000245A8" w:rsidP="007E75A1">
      <w:pPr>
        <w:spacing w:line="276" w:lineRule="auto"/>
        <w:rPr>
          <w:rFonts w:ascii="Calibri" w:hAnsi="Calibri" w:cs="Calibri"/>
          <w:color w:val="000000" w:themeColor="text1"/>
          <w:lang w:val="en-US"/>
        </w:rPr>
      </w:pPr>
    </w:p>
    <w:p w14:paraId="497FE05E" w14:textId="77777777" w:rsidR="00A5533D" w:rsidRPr="00F569AE" w:rsidRDefault="00A5533D" w:rsidP="007E75A1">
      <w:pPr>
        <w:spacing w:line="276" w:lineRule="auto"/>
        <w:rPr>
          <w:rFonts w:ascii="Calibri" w:hAnsi="Calibri" w:cs="Calibri"/>
          <w:color w:val="000000" w:themeColor="text1"/>
          <w:lang w:val="en-US"/>
        </w:rPr>
      </w:pPr>
    </w:p>
    <w:p w14:paraId="30003CCF" w14:textId="77777777" w:rsidR="00A5533D" w:rsidRPr="00F569AE" w:rsidRDefault="00A5533D" w:rsidP="007E75A1">
      <w:pPr>
        <w:spacing w:line="276" w:lineRule="auto"/>
        <w:rPr>
          <w:rFonts w:ascii="Calibri" w:hAnsi="Calibri" w:cs="Calibri"/>
          <w:color w:val="000000" w:themeColor="text1"/>
          <w:lang w:val="en-US"/>
        </w:rPr>
      </w:pPr>
    </w:p>
    <w:p w14:paraId="1995D6F7" w14:textId="77777777" w:rsidR="00A5533D" w:rsidRPr="00F569AE" w:rsidRDefault="00A5533D" w:rsidP="007E75A1">
      <w:pPr>
        <w:spacing w:line="276" w:lineRule="auto"/>
        <w:rPr>
          <w:rFonts w:ascii="Calibri" w:hAnsi="Calibri" w:cs="Calibri"/>
          <w:color w:val="000000" w:themeColor="text1"/>
          <w:lang w:val="en-US"/>
        </w:rPr>
      </w:pPr>
    </w:p>
    <w:p w14:paraId="23B7C063" w14:textId="77777777" w:rsidR="00A5533D" w:rsidRPr="00F569AE" w:rsidRDefault="00A5533D" w:rsidP="007E75A1">
      <w:pPr>
        <w:spacing w:line="276" w:lineRule="auto"/>
        <w:rPr>
          <w:rFonts w:ascii="Calibri" w:hAnsi="Calibri" w:cs="Calibri"/>
          <w:color w:val="000000" w:themeColor="text1"/>
          <w:lang w:val="en-US"/>
        </w:rPr>
      </w:pPr>
    </w:p>
    <w:p w14:paraId="13F6A480" w14:textId="77777777" w:rsidR="00A5533D" w:rsidRPr="00F569AE" w:rsidRDefault="00A5533D" w:rsidP="007E75A1">
      <w:pPr>
        <w:spacing w:line="276" w:lineRule="auto"/>
        <w:rPr>
          <w:rFonts w:ascii="Calibri" w:hAnsi="Calibri" w:cs="Calibri"/>
          <w:color w:val="000000" w:themeColor="text1"/>
          <w:lang w:val="en-US"/>
        </w:rPr>
      </w:pPr>
    </w:p>
    <w:p w14:paraId="5417ACA5" w14:textId="77777777" w:rsidR="00A5533D" w:rsidRPr="00F569AE" w:rsidRDefault="00A5533D" w:rsidP="007E75A1">
      <w:pPr>
        <w:spacing w:line="276" w:lineRule="auto"/>
        <w:rPr>
          <w:rFonts w:ascii="Calibri" w:hAnsi="Calibri" w:cs="Calibri"/>
          <w:color w:val="000000" w:themeColor="text1"/>
          <w:lang w:val="en-US"/>
        </w:rPr>
      </w:pPr>
    </w:p>
    <w:p w14:paraId="7F6BCD5F" w14:textId="77777777" w:rsidR="00A5533D" w:rsidRPr="00F569AE" w:rsidRDefault="00A5533D" w:rsidP="007E75A1">
      <w:pPr>
        <w:spacing w:line="276" w:lineRule="auto"/>
        <w:rPr>
          <w:rFonts w:ascii="Calibri" w:hAnsi="Calibri" w:cs="Calibri"/>
          <w:color w:val="000000" w:themeColor="text1"/>
          <w:lang w:val="en-US"/>
        </w:rPr>
      </w:pPr>
    </w:p>
    <w:p w14:paraId="3514AEAB" w14:textId="77777777" w:rsidR="00A5533D" w:rsidRPr="00F569AE" w:rsidRDefault="00A5533D" w:rsidP="007E75A1">
      <w:pPr>
        <w:spacing w:line="276" w:lineRule="auto"/>
        <w:rPr>
          <w:rFonts w:ascii="Calibri" w:hAnsi="Calibri" w:cs="Calibri"/>
          <w:color w:val="000000" w:themeColor="text1"/>
          <w:lang w:val="en-US"/>
        </w:rPr>
      </w:pPr>
    </w:p>
    <w:p w14:paraId="3C90C3B3" w14:textId="77777777" w:rsidR="00A5533D" w:rsidRPr="00F569AE" w:rsidRDefault="00A5533D" w:rsidP="007E75A1">
      <w:pPr>
        <w:spacing w:line="276" w:lineRule="auto"/>
        <w:rPr>
          <w:rFonts w:ascii="Calibri" w:hAnsi="Calibri" w:cs="Calibri"/>
          <w:color w:val="000000" w:themeColor="text1"/>
          <w:lang w:val="en-US"/>
        </w:rPr>
      </w:pPr>
    </w:p>
    <w:p w14:paraId="78C8A131" w14:textId="77777777" w:rsidR="00A5533D" w:rsidRPr="00F569AE" w:rsidRDefault="00A5533D" w:rsidP="007E75A1">
      <w:pPr>
        <w:spacing w:line="276" w:lineRule="auto"/>
        <w:rPr>
          <w:rFonts w:ascii="Calibri" w:hAnsi="Calibri" w:cs="Calibri"/>
          <w:color w:val="000000" w:themeColor="text1"/>
          <w:lang w:val="en-US"/>
        </w:rPr>
      </w:pPr>
    </w:p>
    <w:p w14:paraId="3396A3C3" w14:textId="1C5204C0" w:rsidR="007E75A1" w:rsidRPr="00F569AE" w:rsidRDefault="000245A8" w:rsidP="001925BC">
      <w:pPr>
        <w:pStyle w:val="Heading1"/>
        <w:rPr>
          <w:rFonts w:ascii="Calibri" w:hAnsi="Calibri" w:cs="Calibri"/>
        </w:rPr>
      </w:pPr>
      <w:bookmarkStart w:id="129" w:name="_Toc197804692"/>
      <w:bookmarkStart w:id="130" w:name="_Toc197870975"/>
      <w:bookmarkStart w:id="131" w:name="_Toc197880850"/>
      <w:bookmarkStart w:id="132" w:name="_Toc197880883"/>
      <w:bookmarkStart w:id="133" w:name="_Toc197880905"/>
      <w:bookmarkStart w:id="134" w:name="_Toc197887867"/>
      <w:bookmarkStart w:id="135" w:name="_Toc197889593"/>
      <w:bookmarkStart w:id="136" w:name="_Toc198370985"/>
      <w:bookmarkStart w:id="137" w:name="_Toc198380172"/>
      <w:bookmarkStart w:id="138" w:name="_Toc198380250"/>
      <w:bookmarkStart w:id="139" w:name="_Toc198386613"/>
      <w:bookmarkStart w:id="140" w:name="_Toc198461112"/>
      <w:bookmarkStart w:id="141" w:name="_Toc198461442"/>
      <w:bookmarkStart w:id="142" w:name="_Toc198640462"/>
      <w:bookmarkStart w:id="143" w:name="_Toc198641739"/>
      <w:bookmarkStart w:id="144" w:name="_Toc198647913"/>
      <w:bookmarkStart w:id="145" w:name="_Toc198880604"/>
      <w:bookmarkStart w:id="146" w:name="_Toc200528790"/>
      <w:bookmarkStart w:id="147" w:name="_Toc200528832"/>
      <w:bookmarkStart w:id="148" w:name="_Toc203130390"/>
      <w:bookmarkStart w:id="149" w:name="_Toc203130711"/>
      <w:bookmarkStart w:id="150" w:name="_Toc203139155"/>
      <w:bookmarkStart w:id="151" w:name="_Toc204075578"/>
      <w:bookmarkStart w:id="152" w:name="_Toc204080405"/>
      <w:bookmarkStart w:id="153" w:name="_Toc204080428"/>
      <w:bookmarkStart w:id="154" w:name="_Toc204164237"/>
      <w:bookmarkStart w:id="155" w:name="_Toc204348546"/>
      <w:bookmarkStart w:id="156" w:name="_Toc204348585"/>
      <w:bookmarkStart w:id="157" w:name="_Toc204348665"/>
      <w:bookmarkStart w:id="158" w:name="_Toc204355557"/>
      <w:bookmarkStart w:id="159" w:name="_Toc204359571"/>
      <w:bookmarkStart w:id="160" w:name="_Toc204361851"/>
      <w:bookmarkStart w:id="161" w:name="_Toc204432478"/>
      <w:bookmarkStart w:id="162" w:name="_Toc204432504"/>
      <w:bookmarkStart w:id="163" w:name="_Toc204434112"/>
      <w:bookmarkStart w:id="164" w:name="_Toc204446743"/>
      <w:bookmarkStart w:id="165" w:name="_Toc204537823"/>
      <w:bookmarkStart w:id="166" w:name="_Toc204591701"/>
      <w:bookmarkStart w:id="167" w:name="_Toc204593240"/>
      <w:bookmarkStart w:id="168" w:name="_Toc204593285"/>
      <w:bookmarkStart w:id="169" w:name="_Toc204593321"/>
      <w:bookmarkStart w:id="170" w:name="_Toc204593355"/>
      <w:bookmarkStart w:id="171" w:name="_Toc204593406"/>
      <w:bookmarkStart w:id="172" w:name="_Toc204593460"/>
      <w:bookmarkStart w:id="173" w:name="_Toc204598770"/>
      <w:bookmarkStart w:id="174" w:name="_Toc204610808"/>
      <w:bookmarkStart w:id="175" w:name="_Toc204701964"/>
      <w:bookmarkStart w:id="176" w:name="_Toc204716677"/>
      <w:bookmarkStart w:id="177" w:name="_Toc204763116"/>
      <w:bookmarkStart w:id="178" w:name="_Toc204763172"/>
      <w:bookmarkStart w:id="179" w:name="_Toc204763296"/>
      <w:bookmarkStart w:id="180" w:name="_Toc204763332"/>
      <w:bookmarkStart w:id="181" w:name="_Toc204763654"/>
      <w:bookmarkStart w:id="182" w:name="_Toc208824422"/>
      <w:bookmarkStart w:id="183" w:name="_Toc208919030"/>
      <w:bookmarkStart w:id="184" w:name="_Toc210048355"/>
      <w:bookmarkStart w:id="185" w:name="_Toc210058524"/>
      <w:r w:rsidRPr="00F569AE">
        <w:rPr>
          <w:rFonts w:ascii="Calibri" w:hAnsi="Calibri" w:cs="Calibri"/>
        </w:rPr>
        <w:lastRenderedPageBreak/>
        <w:t>Tables of Contexts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00B8099C" w:rsidRPr="00F569AE">
        <w:rPr>
          <w:rFonts w:ascii="Calibri" w:hAnsi="Calibri" w:cs="Calibri"/>
        </w:rPr>
        <w:t>:</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20CAC76B" w14:textId="27D8C653" w:rsidR="00256BDB" w:rsidRDefault="00CD3B8F" w:rsidP="00256BDB">
      <w:pPr>
        <w:pStyle w:val="TOC1"/>
        <w:tabs>
          <w:tab w:val="right" w:leader="dot" w:pos="9010"/>
        </w:tabs>
        <w:rPr>
          <w:rFonts w:asciiTheme="minorHAnsi" w:eastAsiaTheme="minorEastAsia" w:hAnsiTheme="minorHAnsi" w:cstheme="minorBidi"/>
          <w:noProof/>
          <w:kern w:val="2"/>
          <w:lang w:val="en-NL"/>
          <w14:ligatures w14:val="standardContextual"/>
        </w:rPr>
      </w:pPr>
      <w:r w:rsidRPr="00F569AE">
        <w:rPr>
          <w:rFonts w:ascii="Calibri" w:hAnsi="Calibri" w:cs="Calibri"/>
          <w:color w:val="000000" w:themeColor="text1"/>
        </w:rPr>
        <w:fldChar w:fldCharType="begin"/>
      </w:r>
      <w:r w:rsidRPr="00F569AE">
        <w:rPr>
          <w:rFonts w:ascii="Calibri" w:hAnsi="Calibri" w:cs="Calibri"/>
          <w:color w:val="000000" w:themeColor="text1"/>
        </w:rPr>
        <w:instrText xml:space="preserve"> TOC \o "1-3" \h \z \u </w:instrText>
      </w:r>
      <w:r w:rsidRPr="00F569AE">
        <w:rPr>
          <w:rFonts w:ascii="Calibri" w:hAnsi="Calibri" w:cs="Calibri"/>
          <w:color w:val="000000" w:themeColor="text1"/>
        </w:rPr>
        <w:fldChar w:fldCharType="separate"/>
      </w:r>
    </w:p>
    <w:p w14:paraId="1E511A88" w14:textId="19E5DE37" w:rsidR="00256BDB" w:rsidRDefault="00256BDB">
      <w:pPr>
        <w:pStyle w:val="TOC1"/>
        <w:tabs>
          <w:tab w:val="right" w:leader="dot" w:pos="9010"/>
        </w:tabs>
        <w:rPr>
          <w:rFonts w:asciiTheme="minorHAnsi" w:eastAsiaTheme="minorEastAsia" w:hAnsiTheme="minorHAnsi" w:cstheme="minorBidi"/>
          <w:noProof/>
          <w:kern w:val="2"/>
          <w:lang w:val="en-NL"/>
          <w14:ligatures w14:val="standardContextual"/>
        </w:rPr>
      </w:pPr>
      <w:hyperlink w:anchor="_Toc210058525" w:history="1">
        <w:r w:rsidRPr="00A5309A">
          <w:rPr>
            <w:rStyle w:val="Hyperlink"/>
            <w:rFonts w:ascii="Calibri" w:hAnsi="Calibri" w:cs="Calibri"/>
            <w:noProof/>
          </w:rPr>
          <w:t>EXECUTIVE SUMMARY</w:t>
        </w:r>
        <w:r>
          <w:rPr>
            <w:noProof/>
            <w:webHidden/>
          </w:rPr>
          <w:tab/>
        </w:r>
        <w:r>
          <w:rPr>
            <w:noProof/>
            <w:webHidden/>
          </w:rPr>
          <w:fldChar w:fldCharType="begin"/>
        </w:r>
        <w:r>
          <w:rPr>
            <w:noProof/>
            <w:webHidden/>
          </w:rPr>
          <w:instrText xml:space="preserve"> PAGEREF _Toc210058525 \h </w:instrText>
        </w:r>
        <w:r>
          <w:rPr>
            <w:noProof/>
            <w:webHidden/>
          </w:rPr>
        </w:r>
        <w:r>
          <w:rPr>
            <w:noProof/>
            <w:webHidden/>
          </w:rPr>
          <w:fldChar w:fldCharType="separate"/>
        </w:r>
        <w:r>
          <w:rPr>
            <w:noProof/>
            <w:webHidden/>
          </w:rPr>
          <w:t>5</w:t>
        </w:r>
        <w:r>
          <w:rPr>
            <w:noProof/>
            <w:webHidden/>
          </w:rPr>
          <w:fldChar w:fldCharType="end"/>
        </w:r>
      </w:hyperlink>
    </w:p>
    <w:p w14:paraId="287391E6" w14:textId="28B9A7C8" w:rsidR="00256BDB" w:rsidRDefault="00256BDB">
      <w:pPr>
        <w:pStyle w:val="TOC1"/>
        <w:tabs>
          <w:tab w:val="left" w:pos="480"/>
          <w:tab w:val="right" w:leader="dot" w:pos="9010"/>
        </w:tabs>
        <w:rPr>
          <w:rFonts w:asciiTheme="minorHAnsi" w:eastAsiaTheme="minorEastAsia" w:hAnsiTheme="minorHAnsi" w:cstheme="minorBidi"/>
          <w:noProof/>
          <w:kern w:val="2"/>
          <w:lang w:val="en-NL"/>
          <w14:ligatures w14:val="standardContextual"/>
        </w:rPr>
      </w:pPr>
      <w:hyperlink w:anchor="_Toc210058526" w:history="1">
        <w:r w:rsidRPr="00A5309A">
          <w:rPr>
            <w:rStyle w:val="Hyperlink"/>
            <w:rFonts w:ascii="Calibri" w:hAnsi="Calibri" w:cs="Calibri"/>
            <w:noProof/>
          </w:rPr>
          <w:t>1.</w:t>
        </w:r>
        <w:r>
          <w:rPr>
            <w:rFonts w:asciiTheme="minorHAnsi" w:eastAsiaTheme="minorEastAsia" w:hAnsiTheme="minorHAnsi" w:cstheme="minorBidi"/>
            <w:noProof/>
            <w:kern w:val="2"/>
            <w:lang w:val="en-NL"/>
            <w14:ligatures w14:val="standardContextual"/>
          </w:rPr>
          <w:tab/>
        </w:r>
        <w:r w:rsidRPr="00A5309A">
          <w:rPr>
            <w:rStyle w:val="Hyperlink"/>
            <w:rFonts w:ascii="Calibri" w:hAnsi="Calibri" w:cs="Calibri"/>
            <w:noProof/>
          </w:rPr>
          <w:t>INTRODUCTION</w:t>
        </w:r>
        <w:r>
          <w:rPr>
            <w:noProof/>
            <w:webHidden/>
          </w:rPr>
          <w:tab/>
        </w:r>
        <w:r>
          <w:rPr>
            <w:noProof/>
            <w:webHidden/>
          </w:rPr>
          <w:fldChar w:fldCharType="begin"/>
        </w:r>
        <w:r>
          <w:rPr>
            <w:noProof/>
            <w:webHidden/>
          </w:rPr>
          <w:instrText xml:space="preserve"> PAGEREF _Toc210058526 \h </w:instrText>
        </w:r>
        <w:r>
          <w:rPr>
            <w:noProof/>
            <w:webHidden/>
          </w:rPr>
        </w:r>
        <w:r>
          <w:rPr>
            <w:noProof/>
            <w:webHidden/>
          </w:rPr>
          <w:fldChar w:fldCharType="separate"/>
        </w:r>
        <w:r>
          <w:rPr>
            <w:noProof/>
            <w:webHidden/>
          </w:rPr>
          <w:t>10</w:t>
        </w:r>
        <w:r>
          <w:rPr>
            <w:noProof/>
            <w:webHidden/>
          </w:rPr>
          <w:fldChar w:fldCharType="end"/>
        </w:r>
      </w:hyperlink>
    </w:p>
    <w:p w14:paraId="74B0EAC2" w14:textId="5C6E6EC6" w:rsidR="00256BDB" w:rsidRDefault="00256BDB">
      <w:pPr>
        <w:pStyle w:val="TOC1"/>
        <w:tabs>
          <w:tab w:val="left" w:pos="480"/>
          <w:tab w:val="right" w:leader="dot" w:pos="9010"/>
        </w:tabs>
        <w:rPr>
          <w:rFonts w:asciiTheme="minorHAnsi" w:eastAsiaTheme="minorEastAsia" w:hAnsiTheme="minorHAnsi" w:cstheme="minorBidi"/>
          <w:noProof/>
          <w:kern w:val="2"/>
          <w:lang w:val="en-NL"/>
          <w14:ligatures w14:val="standardContextual"/>
        </w:rPr>
      </w:pPr>
      <w:hyperlink w:anchor="_Toc210058527" w:history="1">
        <w:r w:rsidRPr="00A5309A">
          <w:rPr>
            <w:rStyle w:val="Hyperlink"/>
            <w:rFonts w:ascii="Calibri" w:hAnsi="Calibri" w:cs="Calibri"/>
            <w:noProof/>
          </w:rPr>
          <w:t>2.</w:t>
        </w:r>
        <w:r>
          <w:rPr>
            <w:rFonts w:asciiTheme="minorHAnsi" w:eastAsiaTheme="minorEastAsia" w:hAnsiTheme="minorHAnsi" w:cstheme="minorBidi"/>
            <w:noProof/>
            <w:kern w:val="2"/>
            <w:lang w:val="en-NL"/>
            <w14:ligatures w14:val="standardContextual"/>
          </w:rPr>
          <w:tab/>
        </w:r>
        <w:r w:rsidRPr="00A5309A">
          <w:rPr>
            <w:rStyle w:val="Hyperlink"/>
            <w:rFonts w:ascii="Calibri" w:hAnsi="Calibri" w:cs="Calibri"/>
            <w:noProof/>
          </w:rPr>
          <w:t>DESCRIPTION OF THE INTERVENTION</w:t>
        </w:r>
        <w:r>
          <w:rPr>
            <w:noProof/>
            <w:webHidden/>
          </w:rPr>
          <w:tab/>
        </w:r>
        <w:r>
          <w:rPr>
            <w:noProof/>
            <w:webHidden/>
          </w:rPr>
          <w:fldChar w:fldCharType="begin"/>
        </w:r>
        <w:r>
          <w:rPr>
            <w:noProof/>
            <w:webHidden/>
          </w:rPr>
          <w:instrText xml:space="preserve"> PAGEREF _Toc210058527 \h </w:instrText>
        </w:r>
        <w:r>
          <w:rPr>
            <w:noProof/>
            <w:webHidden/>
          </w:rPr>
        </w:r>
        <w:r>
          <w:rPr>
            <w:noProof/>
            <w:webHidden/>
          </w:rPr>
          <w:fldChar w:fldCharType="separate"/>
        </w:r>
        <w:r>
          <w:rPr>
            <w:noProof/>
            <w:webHidden/>
          </w:rPr>
          <w:t>10</w:t>
        </w:r>
        <w:r>
          <w:rPr>
            <w:noProof/>
            <w:webHidden/>
          </w:rPr>
          <w:fldChar w:fldCharType="end"/>
        </w:r>
      </w:hyperlink>
    </w:p>
    <w:p w14:paraId="422B1C3F" w14:textId="05E5DEC5" w:rsidR="00256BDB" w:rsidRDefault="00256BDB">
      <w:pPr>
        <w:pStyle w:val="TOC1"/>
        <w:tabs>
          <w:tab w:val="left" w:pos="480"/>
          <w:tab w:val="right" w:leader="dot" w:pos="9010"/>
        </w:tabs>
        <w:rPr>
          <w:rFonts w:asciiTheme="minorHAnsi" w:eastAsiaTheme="minorEastAsia" w:hAnsiTheme="minorHAnsi" w:cstheme="minorBidi"/>
          <w:noProof/>
          <w:kern w:val="2"/>
          <w:lang w:val="en-NL"/>
          <w14:ligatures w14:val="standardContextual"/>
        </w:rPr>
      </w:pPr>
      <w:hyperlink w:anchor="_Toc210058528" w:history="1">
        <w:r w:rsidRPr="00A5309A">
          <w:rPr>
            <w:rStyle w:val="Hyperlink"/>
            <w:rFonts w:ascii="Calibri" w:hAnsi="Calibri" w:cs="Calibri"/>
            <w:noProof/>
          </w:rPr>
          <w:t>3.</w:t>
        </w:r>
        <w:r>
          <w:rPr>
            <w:rFonts w:asciiTheme="minorHAnsi" w:eastAsiaTheme="minorEastAsia" w:hAnsiTheme="minorHAnsi" w:cstheme="minorBidi"/>
            <w:noProof/>
            <w:kern w:val="2"/>
            <w:lang w:val="en-NL"/>
            <w14:ligatures w14:val="standardContextual"/>
          </w:rPr>
          <w:tab/>
        </w:r>
        <w:r w:rsidRPr="00A5309A">
          <w:rPr>
            <w:rStyle w:val="Hyperlink"/>
            <w:rFonts w:ascii="Calibri" w:hAnsi="Calibri" w:cs="Calibri"/>
            <w:noProof/>
          </w:rPr>
          <w:t>EVALUATION SCOPE AND OBJECTIVES</w:t>
        </w:r>
        <w:r>
          <w:rPr>
            <w:noProof/>
            <w:webHidden/>
          </w:rPr>
          <w:tab/>
        </w:r>
        <w:r>
          <w:rPr>
            <w:noProof/>
            <w:webHidden/>
          </w:rPr>
          <w:fldChar w:fldCharType="begin"/>
        </w:r>
        <w:r>
          <w:rPr>
            <w:noProof/>
            <w:webHidden/>
          </w:rPr>
          <w:instrText xml:space="preserve"> PAGEREF _Toc210058528 \h </w:instrText>
        </w:r>
        <w:r>
          <w:rPr>
            <w:noProof/>
            <w:webHidden/>
          </w:rPr>
        </w:r>
        <w:r>
          <w:rPr>
            <w:noProof/>
            <w:webHidden/>
          </w:rPr>
          <w:fldChar w:fldCharType="separate"/>
        </w:r>
        <w:r>
          <w:rPr>
            <w:noProof/>
            <w:webHidden/>
          </w:rPr>
          <w:t>18</w:t>
        </w:r>
        <w:r>
          <w:rPr>
            <w:noProof/>
            <w:webHidden/>
          </w:rPr>
          <w:fldChar w:fldCharType="end"/>
        </w:r>
      </w:hyperlink>
    </w:p>
    <w:p w14:paraId="0AE77BD3" w14:textId="58EE6073" w:rsidR="00256BDB" w:rsidRDefault="00256BDB">
      <w:pPr>
        <w:pStyle w:val="TOC1"/>
        <w:tabs>
          <w:tab w:val="left" w:pos="480"/>
          <w:tab w:val="right" w:leader="dot" w:pos="9010"/>
        </w:tabs>
        <w:rPr>
          <w:rFonts w:asciiTheme="minorHAnsi" w:eastAsiaTheme="minorEastAsia" w:hAnsiTheme="minorHAnsi" w:cstheme="minorBidi"/>
          <w:noProof/>
          <w:kern w:val="2"/>
          <w:lang w:val="en-NL"/>
          <w14:ligatures w14:val="standardContextual"/>
        </w:rPr>
      </w:pPr>
      <w:hyperlink w:anchor="_Toc210058529" w:history="1">
        <w:r w:rsidRPr="00A5309A">
          <w:rPr>
            <w:rStyle w:val="Hyperlink"/>
            <w:rFonts w:ascii="Calibri" w:hAnsi="Calibri" w:cs="Calibri"/>
            <w:noProof/>
          </w:rPr>
          <w:t>4.</w:t>
        </w:r>
        <w:r>
          <w:rPr>
            <w:rFonts w:asciiTheme="minorHAnsi" w:eastAsiaTheme="minorEastAsia" w:hAnsiTheme="minorHAnsi" w:cstheme="minorBidi"/>
            <w:noProof/>
            <w:kern w:val="2"/>
            <w:lang w:val="en-NL"/>
            <w14:ligatures w14:val="standardContextual"/>
          </w:rPr>
          <w:tab/>
        </w:r>
        <w:r w:rsidRPr="00A5309A">
          <w:rPr>
            <w:rStyle w:val="Hyperlink"/>
            <w:rFonts w:ascii="Calibri" w:hAnsi="Calibri" w:cs="Calibri"/>
            <w:noProof/>
          </w:rPr>
          <w:t>EVALUATION APPROACH AND METHODS</w:t>
        </w:r>
        <w:r>
          <w:rPr>
            <w:noProof/>
            <w:webHidden/>
          </w:rPr>
          <w:tab/>
        </w:r>
        <w:r>
          <w:rPr>
            <w:noProof/>
            <w:webHidden/>
          </w:rPr>
          <w:fldChar w:fldCharType="begin"/>
        </w:r>
        <w:r>
          <w:rPr>
            <w:noProof/>
            <w:webHidden/>
          </w:rPr>
          <w:instrText xml:space="preserve"> PAGEREF _Toc210058529 \h </w:instrText>
        </w:r>
        <w:r>
          <w:rPr>
            <w:noProof/>
            <w:webHidden/>
          </w:rPr>
        </w:r>
        <w:r>
          <w:rPr>
            <w:noProof/>
            <w:webHidden/>
          </w:rPr>
          <w:fldChar w:fldCharType="separate"/>
        </w:r>
        <w:r>
          <w:rPr>
            <w:noProof/>
            <w:webHidden/>
          </w:rPr>
          <w:t>20</w:t>
        </w:r>
        <w:r>
          <w:rPr>
            <w:noProof/>
            <w:webHidden/>
          </w:rPr>
          <w:fldChar w:fldCharType="end"/>
        </w:r>
      </w:hyperlink>
    </w:p>
    <w:p w14:paraId="6D860672" w14:textId="2ED2D792" w:rsidR="00256BDB" w:rsidRDefault="00256BDB">
      <w:pPr>
        <w:pStyle w:val="TOC1"/>
        <w:tabs>
          <w:tab w:val="left" w:pos="480"/>
          <w:tab w:val="right" w:leader="dot" w:pos="9010"/>
        </w:tabs>
        <w:rPr>
          <w:rFonts w:asciiTheme="minorHAnsi" w:eastAsiaTheme="minorEastAsia" w:hAnsiTheme="minorHAnsi" w:cstheme="minorBidi"/>
          <w:noProof/>
          <w:kern w:val="2"/>
          <w:lang w:val="en-NL"/>
          <w14:ligatures w14:val="standardContextual"/>
        </w:rPr>
      </w:pPr>
      <w:hyperlink w:anchor="_Toc210058530" w:history="1">
        <w:r w:rsidRPr="00A5309A">
          <w:rPr>
            <w:rStyle w:val="Hyperlink"/>
            <w:rFonts w:ascii="Calibri" w:hAnsi="Calibri" w:cs="Calibri"/>
            <w:noProof/>
          </w:rPr>
          <w:t>5.</w:t>
        </w:r>
        <w:r>
          <w:rPr>
            <w:rFonts w:asciiTheme="minorHAnsi" w:eastAsiaTheme="minorEastAsia" w:hAnsiTheme="minorHAnsi" w:cstheme="minorBidi"/>
            <w:noProof/>
            <w:kern w:val="2"/>
            <w:lang w:val="en-NL"/>
            <w14:ligatures w14:val="standardContextual"/>
          </w:rPr>
          <w:tab/>
        </w:r>
        <w:r w:rsidRPr="00A5309A">
          <w:rPr>
            <w:rStyle w:val="Hyperlink"/>
            <w:rFonts w:ascii="Calibri" w:hAnsi="Calibri" w:cs="Calibri"/>
            <w:noProof/>
          </w:rPr>
          <w:t>DATA ANALYSIS</w:t>
        </w:r>
        <w:r>
          <w:rPr>
            <w:noProof/>
            <w:webHidden/>
          </w:rPr>
          <w:tab/>
        </w:r>
        <w:r>
          <w:rPr>
            <w:noProof/>
            <w:webHidden/>
          </w:rPr>
          <w:fldChar w:fldCharType="begin"/>
        </w:r>
        <w:r>
          <w:rPr>
            <w:noProof/>
            <w:webHidden/>
          </w:rPr>
          <w:instrText xml:space="preserve"> PAGEREF _Toc210058530 \h </w:instrText>
        </w:r>
        <w:r>
          <w:rPr>
            <w:noProof/>
            <w:webHidden/>
          </w:rPr>
        </w:r>
        <w:r>
          <w:rPr>
            <w:noProof/>
            <w:webHidden/>
          </w:rPr>
          <w:fldChar w:fldCharType="separate"/>
        </w:r>
        <w:r>
          <w:rPr>
            <w:noProof/>
            <w:webHidden/>
          </w:rPr>
          <w:t>23</w:t>
        </w:r>
        <w:r>
          <w:rPr>
            <w:noProof/>
            <w:webHidden/>
          </w:rPr>
          <w:fldChar w:fldCharType="end"/>
        </w:r>
      </w:hyperlink>
    </w:p>
    <w:p w14:paraId="49B2377A" w14:textId="5EC374AE" w:rsidR="00256BDB" w:rsidRDefault="00256BDB">
      <w:pPr>
        <w:pStyle w:val="TOC1"/>
        <w:tabs>
          <w:tab w:val="left" w:pos="480"/>
          <w:tab w:val="right" w:leader="dot" w:pos="9010"/>
        </w:tabs>
        <w:rPr>
          <w:rFonts w:asciiTheme="minorHAnsi" w:eastAsiaTheme="minorEastAsia" w:hAnsiTheme="minorHAnsi" w:cstheme="minorBidi"/>
          <w:noProof/>
          <w:kern w:val="2"/>
          <w:lang w:val="en-NL"/>
          <w14:ligatures w14:val="standardContextual"/>
        </w:rPr>
      </w:pPr>
      <w:hyperlink w:anchor="_Toc210058531" w:history="1">
        <w:r w:rsidRPr="00A5309A">
          <w:rPr>
            <w:rStyle w:val="Hyperlink"/>
            <w:rFonts w:ascii="Calibri" w:hAnsi="Calibri" w:cs="Calibri"/>
            <w:noProof/>
          </w:rPr>
          <w:t>6.</w:t>
        </w:r>
        <w:r>
          <w:rPr>
            <w:rFonts w:asciiTheme="minorHAnsi" w:eastAsiaTheme="minorEastAsia" w:hAnsiTheme="minorHAnsi" w:cstheme="minorBidi"/>
            <w:noProof/>
            <w:kern w:val="2"/>
            <w:lang w:val="en-NL"/>
            <w14:ligatures w14:val="standardContextual"/>
          </w:rPr>
          <w:tab/>
        </w:r>
        <w:r w:rsidRPr="00A5309A">
          <w:rPr>
            <w:rStyle w:val="Hyperlink"/>
            <w:rFonts w:ascii="Calibri" w:hAnsi="Calibri" w:cs="Calibri"/>
            <w:noProof/>
          </w:rPr>
          <w:t>FINDINGS</w:t>
        </w:r>
        <w:r>
          <w:rPr>
            <w:noProof/>
            <w:webHidden/>
          </w:rPr>
          <w:tab/>
        </w:r>
        <w:r>
          <w:rPr>
            <w:noProof/>
            <w:webHidden/>
          </w:rPr>
          <w:fldChar w:fldCharType="begin"/>
        </w:r>
        <w:r>
          <w:rPr>
            <w:noProof/>
            <w:webHidden/>
          </w:rPr>
          <w:instrText xml:space="preserve"> PAGEREF _Toc210058531 \h </w:instrText>
        </w:r>
        <w:r>
          <w:rPr>
            <w:noProof/>
            <w:webHidden/>
          </w:rPr>
        </w:r>
        <w:r>
          <w:rPr>
            <w:noProof/>
            <w:webHidden/>
          </w:rPr>
          <w:fldChar w:fldCharType="separate"/>
        </w:r>
        <w:r>
          <w:rPr>
            <w:noProof/>
            <w:webHidden/>
          </w:rPr>
          <w:t>25</w:t>
        </w:r>
        <w:r>
          <w:rPr>
            <w:noProof/>
            <w:webHidden/>
          </w:rPr>
          <w:fldChar w:fldCharType="end"/>
        </w:r>
      </w:hyperlink>
    </w:p>
    <w:p w14:paraId="55072B18" w14:textId="1A5B7FB8" w:rsidR="00256BDB" w:rsidRDefault="00256BDB">
      <w:pPr>
        <w:pStyle w:val="TOC1"/>
        <w:tabs>
          <w:tab w:val="left" w:pos="480"/>
          <w:tab w:val="right" w:leader="dot" w:pos="9010"/>
        </w:tabs>
        <w:rPr>
          <w:rFonts w:asciiTheme="minorHAnsi" w:eastAsiaTheme="minorEastAsia" w:hAnsiTheme="minorHAnsi" w:cstheme="minorBidi"/>
          <w:noProof/>
          <w:kern w:val="2"/>
          <w:lang w:val="en-NL"/>
          <w14:ligatures w14:val="standardContextual"/>
        </w:rPr>
      </w:pPr>
      <w:hyperlink w:anchor="_Toc210058532" w:history="1">
        <w:r w:rsidRPr="00A5309A">
          <w:rPr>
            <w:rStyle w:val="Hyperlink"/>
            <w:rFonts w:ascii="Calibri" w:hAnsi="Calibri" w:cs="Calibri"/>
            <w:noProof/>
          </w:rPr>
          <w:t>7.</w:t>
        </w:r>
        <w:r>
          <w:rPr>
            <w:rFonts w:asciiTheme="minorHAnsi" w:eastAsiaTheme="minorEastAsia" w:hAnsiTheme="minorHAnsi" w:cstheme="minorBidi"/>
            <w:noProof/>
            <w:kern w:val="2"/>
            <w:lang w:val="en-NL"/>
            <w14:ligatures w14:val="standardContextual"/>
          </w:rPr>
          <w:tab/>
        </w:r>
        <w:r w:rsidRPr="00A5309A">
          <w:rPr>
            <w:rStyle w:val="Hyperlink"/>
            <w:rFonts w:ascii="Calibri" w:hAnsi="Calibri" w:cs="Calibri"/>
            <w:noProof/>
          </w:rPr>
          <w:t>CONCLUSIONS</w:t>
        </w:r>
        <w:r>
          <w:rPr>
            <w:noProof/>
            <w:webHidden/>
          </w:rPr>
          <w:tab/>
        </w:r>
        <w:r>
          <w:rPr>
            <w:noProof/>
            <w:webHidden/>
          </w:rPr>
          <w:fldChar w:fldCharType="begin"/>
        </w:r>
        <w:r>
          <w:rPr>
            <w:noProof/>
            <w:webHidden/>
          </w:rPr>
          <w:instrText xml:space="preserve"> PAGEREF _Toc210058532 \h </w:instrText>
        </w:r>
        <w:r>
          <w:rPr>
            <w:noProof/>
            <w:webHidden/>
          </w:rPr>
        </w:r>
        <w:r>
          <w:rPr>
            <w:noProof/>
            <w:webHidden/>
          </w:rPr>
          <w:fldChar w:fldCharType="separate"/>
        </w:r>
        <w:r>
          <w:rPr>
            <w:noProof/>
            <w:webHidden/>
          </w:rPr>
          <w:t>60</w:t>
        </w:r>
        <w:r>
          <w:rPr>
            <w:noProof/>
            <w:webHidden/>
          </w:rPr>
          <w:fldChar w:fldCharType="end"/>
        </w:r>
      </w:hyperlink>
    </w:p>
    <w:p w14:paraId="0F0D2784" w14:textId="75C664A1" w:rsidR="00256BDB" w:rsidRDefault="00256BDB">
      <w:pPr>
        <w:pStyle w:val="TOC1"/>
        <w:tabs>
          <w:tab w:val="left" w:pos="480"/>
          <w:tab w:val="right" w:leader="dot" w:pos="9010"/>
        </w:tabs>
        <w:rPr>
          <w:rFonts w:asciiTheme="minorHAnsi" w:eastAsiaTheme="minorEastAsia" w:hAnsiTheme="minorHAnsi" w:cstheme="minorBidi"/>
          <w:noProof/>
          <w:kern w:val="2"/>
          <w:lang w:val="en-NL"/>
          <w14:ligatures w14:val="standardContextual"/>
        </w:rPr>
      </w:pPr>
      <w:hyperlink w:anchor="_Toc210058533" w:history="1">
        <w:r w:rsidRPr="00A5309A">
          <w:rPr>
            <w:rStyle w:val="Hyperlink"/>
            <w:rFonts w:ascii="Calibri" w:hAnsi="Calibri" w:cs="Calibri"/>
            <w:noProof/>
          </w:rPr>
          <w:t>8.</w:t>
        </w:r>
        <w:r>
          <w:rPr>
            <w:rFonts w:asciiTheme="minorHAnsi" w:eastAsiaTheme="minorEastAsia" w:hAnsiTheme="minorHAnsi" w:cstheme="minorBidi"/>
            <w:noProof/>
            <w:kern w:val="2"/>
            <w:lang w:val="en-NL"/>
            <w14:ligatures w14:val="standardContextual"/>
          </w:rPr>
          <w:tab/>
        </w:r>
        <w:r w:rsidRPr="00A5309A">
          <w:rPr>
            <w:rStyle w:val="Hyperlink"/>
            <w:rFonts w:ascii="Calibri" w:hAnsi="Calibri" w:cs="Calibri"/>
            <w:noProof/>
          </w:rPr>
          <w:t>RECOMMENDATIONS</w:t>
        </w:r>
        <w:r>
          <w:rPr>
            <w:noProof/>
            <w:webHidden/>
          </w:rPr>
          <w:tab/>
        </w:r>
        <w:r>
          <w:rPr>
            <w:noProof/>
            <w:webHidden/>
          </w:rPr>
          <w:fldChar w:fldCharType="begin"/>
        </w:r>
        <w:r>
          <w:rPr>
            <w:noProof/>
            <w:webHidden/>
          </w:rPr>
          <w:instrText xml:space="preserve"> PAGEREF _Toc210058533 \h </w:instrText>
        </w:r>
        <w:r>
          <w:rPr>
            <w:noProof/>
            <w:webHidden/>
          </w:rPr>
        </w:r>
        <w:r>
          <w:rPr>
            <w:noProof/>
            <w:webHidden/>
          </w:rPr>
          <w:fldChar w:fldCharType="separate"/>
        </w:r>
        <w:r>
          <w:rPr>
            <w:noProof/>
            <w:webHidden/>
          </w:rPr>
          <w:t>61</w:t>
        </w:r>
        <w:r>
          <w:rPr>
            <w:noProof/>
            <w:webHidden/>
          </w:rPr>
          <w:fldChar w:fldCharType="end"/>
        </w:r>
      </w:hyperlink>
    </w:p>
    <w:p w14:paraId="06B1A6BB" w14:textId="19B946BE" w:rsidR="00256BDB" w:rsidRDefault="00256BDB">
      <w:pPr>
        <w:pStyle w:val="TOC1"/>
        <w:tabs>
          <w:tab w:val="left" w:pos="480"/>
          <w:tab w:val="right" w:leader="dot" w:pos="9010"/>
        </w:tabs>
        <w:rPr>
          <w:rFonts w:asciiTheme="minorHAnsi" w:eastAsiaTheme="minorEastAsia" w:hAnsiTheme="minorHAnsi" w:cstheme="minorBidi"/>
          <w:noProof/>
          <w:kern w:val="2"/>
          <w:lang w:val="en-NL"/>
          <w14:ligatures w14:val="standardContextual"/>
        </w:rPr>
      </w:pPr>
      <w:hyperlink w:anchor="_Toc210058534" w:history="1">
        <w:r w:rsidRPr="00A5309A">
          <w:rPr>
            <w:rStyle w:val="Hyperlink"/>
            <w:rFonts w:ascii="Calibri" w:hAnsi="Calibri" w:cs="Calibri"/>
            <w:noProof/>
          </w:rPr>
          <w:t>9.</w:t>
        </w:r>
        <w:r>
          <w:rPr>
            <w:rFonts w:asciiTheme="minorHAnsi" w:eastAsiaTheme="minorEastAsia" w:hAnsiTheme="minorHAnsi" w:cstheme="minorBidi"/>
            <w:noProof/>
            <w:kern w:val="2"/>
            <w:lang w:val="en-NL"/>
            <w14:ligatures w14:val="standardContextual"/>
          </w:rPr>
          <w:tab/>
        </w:r>
        <w:r w:rsidRPr="00A5309A">
          <w:rPr>
            <w:rStyle w:val="Hyperlink"/>
            <w:rFonts w:ascii="Calibri" w:hAnsi="Calibri" w:cs="Calibri"/>
            <w:noProof/>
          </w:rPr>
          <w:t>LESSONS LEARNED</w:t>
        </w:r>
        <w:r>
          <w:rPr>
            <w:noProof/>
            <w:webHidden/>
          </w:rPr>
          <w:tab/>
        </w:r>
        <w:r>
          <w:rPr>
            <w:noProof/>
            <w:webHidden/>
          </w:rPr>
          <w:fldChar w:fldCharType="begin"/>
        </w:r>
        <w:r>
          <w:rPr>
            <w:noProof/>
            <w:webHidden/>
          </w:rPr>
          <w:instrText xml:space="preserve"> PAGEREF _Toc210058534 \h </w:instrText>
        </w:r>
        <w:r>
          <w:rPr>
            <w:noProof/>
            <w:webHidden/>
          </w:rPr>
        </w:r>
        <w:r>
          <w:rPr>
            <w:noProof/>
            <w:webHidden/>
          </w:rPr>
          <w:fldChar w:fldCharType="separate"/>
        </w:r>
        <w:r>
          <w:rPr>
            <w:noProof/>
            <w:webHidden/>
          </w:rPr>
          <w:t>63</w:t>
        </w:r>
        <w:r>
          <w:rPr>
            <w:noProof/>
            <w:webHidden/>
          </w:rPr>
          <w:fldChar w:fldCharType="end"/>
        </w:r>
      </w:hyperlink>
    </w:p>
    <w:p w14:paraId="68561B1D" w14:textId="49399C81" w:rsidR="00256BDB" w:rsidRDefault="00256BDB">
      <w:pPr>
        <w:pStyle w:val="TOC1"/>
        <w:tabs>
          <w:tab w:val="left" w:pos="720"/>
          <w:tab w:val="right" w:leader="dot" w:pos="9010"/>
        </w:tabs>
        <w:rPr>
          <w:rFonts w:asciiTheme="minorHAnsi" w:eastAsiaTheme="minorEastAsia" w:hAnsiTheme="minorHAnsi" w:cstheme="minorBidi"/>
          <w:noProof/>
          <w:kern w:val="2"/>
          <w:lang w:val="en-NL"/>
          <w14:ligatures w14:val="standardContextual"/>
        </w:rPr>
      </w:pPr>
      <w:hyperlink w:anchor="_Toc210058535" w:history="1">
        <w:r w:rsidRPr="00A5309A">
          <w:rPr>
            <w:rStyle w:val="Hyperlink"/>
            <w:rFonts w:ascii="Calibri" w:hAnsi="Calibri" w:cs="Calibri"/>
            <w:noProof/>
          </w:rPr>
          <w:t>10.</w:t>
        </w:r>
        <w:r>
          <w:rPr>
            <w:rFonts w:asciiTheme="minorHAnsi" w:eastAsiaTheme="minorEastAsia" w:hAnsiTheme="minorHAnsi" w:cstheme="minorBidi"/>
            <w:noProof/>
            <w:kern w:val="2"/>
            <w:lang w:val="en-NL"/>
            <w14:ligatures w14:val="standardContextual"/>
          </w:rPr>
          <w:tab/>
        </w:r>
        <w:r w:rsidRPr="00A5309A">
          <w:rPr>
            <w:rStyle w:val="Hyperlink"/>
            <w:rFonts w:ascii="Calibri" w:hAnsi="Calibri" w:cs="Calibri"/>
            <w:noProof/>
          </w:rPr>
          <w:t>ANNEXES</w:t>
        </w:r>
        <w:r>
          <w:rPr>
            <w:noProof/>
            <w:webHidden/>
          </w:rPr>
          <w:tab/>
        </w:r>
        <w:r>
          <w:rPr>
            <w:noProof/>
            <w:webHidden/>
          </w:rPr>
          <w:fldChar w:fldCharType="begin"/>
        </w:r>
        <w:r>
          <w:rPr>
            <w:noProof/>
            <w:webHidden/>
          </w:rPr>
          <w:instrText xml:space="preserve"> PAGEREF _Toc210058535 \h </w:instrText>
        </w:r>
        <w:r>
          <w:rPr>
            <w:noProof/>
            <w:webHidden/>
          </w:rPr>
        </w:r>
        <w:r>
          <w:rPr>
            <w:noProof/>
            <w:webHidden/>
          </w:rPr>
          <w:fldChar w:fldCharType="separate"/>
        </w:r>
        <w:r>
          <w:rPr>
            <w:noProof/>
            <w:webHidden/>
          </w:rPr>
          <w:t>65</w:t>
        </w:r>
        <w:r>
          <w:rPr>
            <w:noProof/>
            <w:webHidden/>
          </w:rPr>
          <w:fldChar w:fldCharType="end"/>
        </w:r>
      </w:hyperlink>
    </w:p>
    <w:p w14:paraId="4A5B16CE" w14:textId="5E7388C7"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36" w:history="1">
        <w:r w:rsidRPr="00A5309A">
          <w:rPr>
            <w:rStyle w:val="Hyperlink"/>
            <w:rFonts w:ascii="Calibri" w:hAnsi="Calibri" w:cs="Calibri"/>
            <w:i/>
            <w:noProof/>
          </w:rPr>
          <w:t>Annex 1: TOR of the Evaluation</w:t>
        </w:r>
        <w:r>
          <w:rPr>
            <w:noProof/>
            <w:webHidden/>
          </w:rPr>
          <w:tab/>
        </w:r>
        <w:r>
          <w:rPr>
            <w:noProof/>
            <w:webHidden/>
          </w:rPr>
          <w:fldChar w:fldCharType="begin"/>
        </w:r>
        <w:r>
          <w:rPr>
            <w:noProof/>
            <w:webHidden/>
          </w:rPr>
          <w:instrText xml:space="preserve"> PAGEREF _Toc210058536 \h </w:instrText>
        </w:r>
        <w:r>
          <w:rPr>
            <w:noProof/>
            <w:webHidden/>
          </w:rPr>
        </w:r>
        <w:r>
          <w:rPr>
            <w:noProof/>
            <w:webHidden/>
          </w:rPr>
          <w:fldChar w:fldCharType="separate"/>
        </w:r>
        <w:r>
          <w:rPr>
            <w:noProof/>
            <w:webHidden/>
          </w:rPr>
          <w:t>65</w:t>
        </w:r>
        <w:r>
          <w:rPr>
            <w:noProof/>
            <w:webHidden/>
          </w:rPr>
          <w:fldChar w:fldCharType="end"/>
        </w:r>
      </w:hyperlink>
    </w:p>
    <w:p w14:paraId="2386AC90" w14:textId="3D5D036E"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37" w:history="1">
        <w:r w:rsidRPr="00A5309A">
          <w:rPr>
            <w:rStyle w:val="Hyperlink"/>
            <w:rFonts w:ascii="Calibri" w:hAnsi="Calibri" w:cs="Calibri"/>
            <w:i/>
            <w:noProof/>
          </w:rPr>
          <w:t>Annex 2:</w:t>
        </w:r>
        <w:r w:rsidRPr="00A5309A">
          <w:rPr>
            <w:rStyle w:val="Hyperlink"/>
            <w:rFonts w:ascii="Calibri" w:hAnsi="Calibri" w:cs="Calibri"/>
            <w:noProof/>
          </w:rPr>
          <w:t xml:space="preserve"> </w:t>
        </w:r>
        <w:r w:rsidRPr="00A5309A">
          <w:rPr>
            <w:rStyle w:val="Hyperlink"/>
            <w:rFonts w:ascii="Calibri" w:hAnsi="Calibri" w:cs="Calibri"/>
            <w:i/>
            <w:noProof/>
          </w:rPr>
          <w:t>Project results framework with indication of progress</w:t>
        </w:r>
        <w:r>
          <w:rPr>
            <w:noProof/>
            <w:webHidden/>
          </w:rPr>
          <w:tab/>
        </w:r>
        <w:r>
          <w:rPr>
            <w:noProof/>
            <w:webHidden/>
          </w:rPr>
          <w:fldChar w:fldCharType="begin"/>
        </w:r>
        <w:r>
          <w:rPr>
            <w:noProof/>
            <w:webHidden/>
          </w:rPr>
          <w:instrText xml:space="preserve"> PAGEREF _Toc210058537 \h </w:instrText>
        </w:r>
        <w:r>
          <w:rPr>
            <w:noProof/>
            <w:webHidden/>
          </w:rPr>
        </w:r>
        <w:r>
          <w:rPr>
            <w:noProof/>
            <w:webHidden/>
          </w:rPr>
          <w:fldChar w:fldCharType="separate"/>
        </w:r>
        <w:r>
          <w:rPr>
            <w:noProof/>
            <w:webHidden/>
          </w:rPr>
          <w:t>66</w:t>
        </w:r>
        <w:r>
          <w:rPr>
            <w:noProof/>
            <w:webHidden/>
          </w:rPr>
          <w:fldChar w:fldCharType="end"/>
        </w:r>
      </w:hyperlink>
    </w:p>
    <w:p w14:paraId="0096CDFC" w14:textId="13BCDB01"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38" w:history="1">
        <w:r w:rsidRPr="00A5309A">
          <w:rPr>
            <w:rStyle w:val="Hyperlink"/>
            <w:rFonts w:ascii="Calibri" w:hAnsi="Calibri" w:cs="Calibri"/>
            <w:i/>
            <w:noProof/>
          </w:rPr>
          <w:t>Annex 3: Description of project progress and results</w:t>
        </w:r>
        <w:r>
          <w:rPr>
            <w:noProof/>
            <w:webHidden/>
          </w:rPr>
          <w:tab/>
        </w:r>
        <w:r>
          <w:rPr>
            <w:noProof/>
            <w:webHidden/>
          </w:rPr>
          <w:fldChar w:fldCharType="begin"/>
        </w:r>
        <w:r>
          <w:rPr>
            <w:noProof/>
            <w:webHidden/>
          </w:rPr>
          <w:instrText xml:space="preserve"> PAGEREF _Toc210058538 \h </w:instrText>
        </w:r>
        <w:r>
          <w:rPr>
            <w:noProof/>
            <w:webHidden/>
          </w:rPr>
        </w:r>
        <w:r>
          <w:rPr>
            <w:noProof/>
            <w:webHidden/>
          </w:rPr>
          <w:fldChar w:fldCharType="separate"/>
        </w:r>
        <w:r>
          <w:rPr>
            <w:noProof/>
            <w:webHidden/>
          </w:rPr>
          <w:t>73</w:t>
        </w:r>
        <w:r>
          <w:rPr>
            <w:noProof/>
            <w:webHidden/>
          </w:rPr>
          <w:fldChar w:fldCharType="end"/>
        </w:r>
      </w:hyperlink>
    </w:p>
    <w:p w14:paraId="3468DC78" w14:textId="333BEC7E"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39" w:history="1">
        <w:r w:rsidRPr="00A5309A">
          <w:rPr>
            <w:rStyle w:val="Hyperlink"/>
            <w:rFonts w:ascii="Calibri" w:hAnsi="Calibri" w:cs="Calibri"/>
            <w:i/>
            <w:noProof/>
          </w:rPr>
          <w:t>Annex 4:</w:t>
        </w:r>
        <w:r w:rsidRPr="00A5309A">
          <w:rPr>
            <w:rStyle w:val="Hyperlink"/>
            <w:rFonts w:ascii="Calibri" w:hAnsi="Calibri" w:cs="Calibri"/>
            <w:noProof/>
          </w:rPr>
          <w:t xml:space="preserve"> </w:t>
        </w:r>
        <w:r w:rsidRPr="00A5309A">
          <w:rPr>
            <w:rStyle w:val="Hyperlink"/>
            <w:rFonts w:ascii="Calibri" w:hAnsi="Calibri" w:cs="Calibri"/>
            <w:i/>
            <w:noProof/>
          </w:rPr>
          <w:t xml:space="preserve"> List of interviewed stakeholders</w:t>
        </w:r>
        <w:r>
          <w:rPr>
            <w:noProof/>
            <w:webHidden/>
          </w:rPr>
          <w:tab/>
        </w:r>
        <w:r>
          <w:rPr>
            <w:noProof/>
            <w:webHidden/>
          </w:rPr>
          <w:fldChar w:fldCharType="begin"/>
        </w:r>
        <w:r>
          <w:rPr>
            <w:noProof/>
            <w:webHidden/>
          </w:rPr>
          <w:instrText xml:space="preserve"> PAGEREF _Toc210058539 \h </w:instrText>
        </w:r>
        <w:r>
          <w:rPr>
            <w:noProof/>
            <w:webHidden/>
          </w:rPr>
        </w:r>
        <w:r>
          <w:rPr>
            <w:noProof/>
            <w:webHidden/>
          </w:rPr>
          <w:fldChar w:fldCharType="separate"/>
        </w:r>
        <w:r>
          <w:rPr>
            <w:noProof/>
            <w:webHidden/>
          </w:rPr>
          <w:t>80</w:t>
        </w:r>
        <w:r>
          <w:rPr>
            <w:noProof/>
            <w:webHidden/>
          </w:rPr>
          <w:fldChar w:fldCharType="end"/>
        </w:r>
      </w:hyperlink>
    </w:p>
    <w:p w14:paraId="35DEA99C" w14:textId="1A9AAE28"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40" w:history="1">
        <w:r w:rsidRPr="00A5309A">
          <w:rPr>
            <w:rStyle w:val="Hyperlink"/>
            <w:rFonts w:ascii="Calibri" w:hAnsi="Calibri" w:cs="Calibri"/>
            <w:i/>
            <w:noProof/>
          </w:rPr>
          <w:t>Annex 5: List of literature reviewed</w:t>
        </w:r>
        <w:r>
          <w:rPr>
            <w:noProof/>
            <w:webHidden/>
          </w:rPr>
          <w:tab/>
        </w:r>
        <w:r>
          <w:rPr>
            <w:noProof/>
            <w:webHidden/>
          </w:rPr>
          <w:fldChar w:fldCharType="begin"/>
        </w:r>
        <w:r>
          <w:rPr>
            <w:noProof/>
            <w:webHidden/>
          </w:rPr>
          <w:instrText xml:space="preserve"> PAGEREF _Toc210058540 \h </w:instrText>
        </w:r>
        <w:r>
          <w:rPr>
            <w:noProof/>
            <w:webHidden/>
          </w:rPr>
        </w:r>
        <w:r>
          <w:rPr>
            <w:noProof/>
            <w:webHidden/>
          </w:rPr>
          <w:fldChar w:fldCharType="separate"/>
        </w:r>
        <w:r>
          <w:rPr>
            <w:noProof/>
            <w:webHidden/>
          </w:rPr>
          <w:t>84</w:t>
        </w:r>
        <w:r>
          <w:rPr>
            <w:noProof/>
            <w:webHidden/>
          </w:rPr>
          <w:fldChar w:fldCharType="end"/>
        </w:r>
      </w:hyperlink>
    </w:p>
    <w:p w14:paraId="3A1D85A0" w14:textId="34BA297A"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41" w:history="1">
        <w:r w:rsidRPr="00A5309A">
          <w:rPr>
            <w:rStyle w:val="Hyperlink"/>
            <w:rFonts w:ascii="Calibri" w:hAnsi="Calibri" w:cs="Calibri"/>
            <w:i/>
            <w:noProof/>
          </w:rPr>
          <w:t>Annex 6: System analysis</w:t>
        </w:r>
        <w:r>
          <w:rPr>
            <w:noProof/>
            <w:webHidden/>
          </w:rPr>
          <w:tab/>
        </w:r>
        <w:r>
          <w:rPr>
            <w:noProof/>
            <w:webHidden/>
          </w:rPr>
          <w:fldChar w:fldCharType="begin"/>
        </w:r>
        <w:r>
          <w:rPr>
            <w:noProof/>
            <w:webHidden/>
          </w:rPr>
          <w:instrText xml:space="preserve"> PAGEREF _Toc210058541 \h </w:instrText>
        </w:r>
        <w:r>
          <w:rPr>
            <w:noProof/>
            <w:webHidden/>
          </w:rPr>
        </w:r>
        <w:r>
          <w:rPr>
            <w:noProof/>
            <w:webHidden/>
          </w:rPr>
          <w:fldChar w:fldCharType="separate"/>
        </w:r>
        <w:r>
          <w:rPr>
            <w:noProof/>
            <w:webHidden/>
          </w:rPr>
          <w:t>86</w:t>
        </w:r>
        <w:r>
          <w:rPr>
            <w:noProof/>
            <w:webHidden/>
          </w:rPr>
          <w:fldChar w:fldCharType="end"/>
        </w:r>
      </w:hyperlink>
    </w:p>
    <w:p w14:paraId="199C12FC" w14:textId="51DB3129"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42" w:history="1">
        <w:r w:rsidRPr="00A5309A">
          <w:rPr>
            <w:rStyle w:val="Hyperlink"/>
            <w:rFonts w:ascii="Calibri" w:hAnsi="Calibri" w:cs="Calibri"/>
            <w:i/>
            <w:noProof/>
          </w:rPr>
          <w:t>Annex 7: Annual progress of citizens participation in municipal decision-making</w:t>
        </w:r>
        <w:r>
          <w:rPr>
            <w:noProof/>
            <w:webHidden/>
          </w:rPr>
          <w:tab/>
        </w:r>
        <w:r>
          <w:rPr>
            <w:noProof/>
            <w:webHidden/>
          </w:rPr>
          <w:fldChar w:fldCharType="begin"/>
        </w:r>
        <w:r>
          <w:rPr>
            <w:noProof/>
            <w:webHidden/>
          </w:rPr>
          <w:instrText xml:space="preserve"> PAGEREF _Toc210058542 \h </w:instrText>
        </w:r>
        <w:r>
          <w:rPr>
            <w:noProof/>
            <w:webHidden/>
          </w:rPr>
        </w:r>
        <w:r>
          <w:rPr>
            <w:noProof/>
            <w:webHidden/>
          </w:rPr>
          <w:fldChar w:fldCharType="separate"/>
        </w:r>
        <w:r>
          <w:rPr>
            <w:noProof/>
            <w:webHidden/>
          </w:rPr>
          <w:t>89</w:t>
        </w:r>
        <w:r>
          <w:rPr>
            <w:noProof/>
            <w:webHidden/>
          </w:rPr>
          <w:fldChar w:fldCharType="end"/>
        </w:r>
      </w:hyperlink>
    </w:p>
    <w:p w14:paraId="13910872" w14:textId="49D612FB"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43" w:history="1">
        <w:r w:rsidRPr="00A5309A">
          <w:rPr>
            <w:rStyle w:val="Hyperlink"/>
            <w:rFonts w:ascii="Calibri" w:hAnsi="Calibri" w:cs="Calibri"/>
            <w:i/>
            <w:noProof/>
          </w:rPr>
          <w:t>Annex 8: Findings from Surveys among LGs and WUCs</w:t>
        </w:r>
        <w:r>
          <w:rPr>
            <w:noProof/>
            <w:webHidden/>
          </w:rPr>
          <w:tab/>
        </w:r>
        <w:r>
          <w:rPr>
            <w:noProof/>
            <w:webHidden/>
          </w:rPr>
          <w:fldChar w:fldCharType="begin"/>
        </w:r>
        <w:r>
          <w:rPr>
            <w:noProof/>
            <w:webHidden/>
          </w:rPr>
          <w:instrText xml:space="preserve"> PAGEREF _Toc210058543 \h </w:instrText>
        </w:r>
        <w:r>
          <w:rPr>
            <w:noProof/>
            <w:webHidden/>
          </w:rPr>
        </w:r>
        <w:r>
          <w:rPr>
            <w:noProof/>
            <w:webHidden/>
          </w:rPr>
          <w:fldChar w:fldCharType="separate"/>
        </w:r>
        <w:r>
          <w:rPr>
            <w:noProof/>
            <w:webHidden/>
          </w:rPr>
          <w:t>90</w:t>
        </w:r>
        <w:r>
          <w:rPr>
            <w:noProof/>
            <w:webHidden/>
          </w:rPr>
          <w:fldChar w:fldCharType="end"/>
        </w:r>
      </w:hyperlink>
    </w:p>
    <w:p w14:paraId="3DFDA80C" w14:textId="3F3B450C"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44" w:history="1">
        <w:r w:rsidRPr="00A5309A">
          <w:rPr>
            <w:rStyle w:val="Hyperlink"/>
            <w:rFonts w:ascii="Calibri" w:hAnsi="Calibri" w:cs="Calibri"/>
            <w:i/>
            <w:noProof/>
          </w:rPr>
          <w:t>Annex 9: Case studies</w:t>
        </w:r>
        <w:r>
          <w:rPr>
            <w:noProof/>
            <w:webHidden/>
          </w:rPr>
          <w:tab/>
        </w:r>
        <w:r>
          <w:rPr>
            <w:noProof/>
            <w:webHidden/>
          </w:rPr>
          <w:fldChar w:fldCharType="begin"/>
        </w:r>
        <w:r>
          <w:rPr>
            <w:noProof/>
            <w:webHidden/>
          </w:rPr>
          <w:instrText xml:space="preserve"> PAGEREF _Toc210058544 \h </w:instrText>
        </w:r>
        <w:r>
          <w:rPr>
            <w:noProof/>
            <w:webHidden/>
          </w:rPr>
        </w:r>
        <w:r>
          <w:rPr>
            <w:noProof/>
            <w:webHidden/>
          </w:rPr>
          <w:fldChar w:fldCharType="separate"/>
        </w:r>
        <w:r>
          <w:rPr>
            <w:noProof/>
            <w:webHidden/>
          </w:rPr>
          <w:t>107</w:t>
        </w:r>
        <w:r>
          <w:rPr>
            <w:noProof/>
            <w:webHidden/>
          </w:rPr>
          <w:fldChar w:fldCharType="end"/>
        </w:r>
      </w:hyperlink>
    </w:p>
    <w:p w14:paraId="4724BBC3" w14:textId="3BC9CC21"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45" w:history="1">
        <w:r w:rsidRPr="00A5309A">
          <w:rPr>
            <w:rStyle w:val="Hyperlink"/>
            <w:rFonts w:ascii="Calibri" w:hAnsi="Calibri" w:cs="Calibri"/>
            <w:i/>
            <w:noProof/>
          </w:rPr>
          <w:t>Annex 10:  Pledge of Ethical code of conduct</w:t>
        </w:r>
        <w:r>
          <w:rPr>
            <w:noProof/>
            <w:webHidden/>
          </w:rPr>
          <w:tab/>
        </w:r>
        <w:r>
          <w:rPr>
            <w:noProof/>
            <w:webHidden/>
          </w:rPr>
          <w:fldChar w:fldCharType="begin"/>
        </w:r>
        <w:r>
          <w:rPr>
            <w:noProof/>
            <w:webHidden/>
          </w:rPr>
          <w:instrText xml:space="preserve"> PAGEREF _Toc210058545 \h </w:instrText>
        </w:r>
        <w:r>
          <w:rPr>
            <w:noProof/>
            <w:webHidden/>
          </w:rPr>
        </w:r>
        <w:r>
          <w:rPr>
            <w:noProof/>
            <w:webHidden/>
          </w:rPr>
          <w:fldChar w:fldCharType="separate"/>
        </w:r>
        <w:r>
          <w:rPr>
            <w:noProof/>
            <w:webHidden/>
          </w:rPr>
          <w:t>116</w:t>
        </w:r>
        <w:r>
          <w:rPr>
            <w:noProof/>
            <w:webHidden/>
          </w:rPr>
          <w:fldChar w:fldCharType="end"/>
        </w:r>
      </w:hyperlink>
    </w:p>
    <w:p w14:paraId="6743F4CA" w14:textId="5444B942"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46" w:history="1">
        <w:r w:rsidRPr="00A5309A">
          <w:rPr>
            <w:rStyle w:val="Hyperlink"/>
            <w:rFonts w:ascii="Calibri" w:hAnsi="Calibri" w:cs="Calibri"/>
            <w:i/>
            <w:noProof/>
          </w:rPr>
          <w:t>Annex 11: Inception report</w:t>
        </w:r>
        <w:r>
          <w:rPr>
            <w:noProof/>
            <w:webHidden/>
          </w:rPr>
          <w:tab/>
        </w:r>
        <w:r>
          <w:rPr>
            <w:noProof/>
            <w:webHidden/>
          </w:rPr>
          <w:fldChar w:fldCharType="begin"/>
        </w:r>
        <w:r>
          <w:rPr>
            <w:noProof/>
            <w:webHidden/>
          </w:rPr>
          <w:instrText xml:space="preserve"> PAGEREF _Toc210058546 \h </w:instrText>
        </w:r>
        <w:r>
          <w:rPr>
            <w:noProof/>
            <w:webHidden/>
          </w:rPr>
        </w:r>
        <w:r>
          <w:rPr>
            <w:noProof/>
            <w:webHidden/>
          </w:rPr>
          <w:fldChar w:fldCharType="separate"/>
        </w:r>
        <w:r>
          <w:rPr>
            <w:noProof/>
            <w:webHidden/>
          </w:rPr>
          <w:t>116</w:t>
        </w:r>
        <w:r>
          <w:rPr>
            <w:noProof/>
            <w:webHidden/>
          </w:rPr>
          <w:fldChar w:fldCharType="end"/>
        </w:r>
      </w:hyperlink>
    </w:p>
    <w:p w14:paraId="3512D821" w14:textId="5D2021B3"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47" w:history="1">
        <w:r w:rsidRPr="00A5309A">
          <w:rPr>
            <w:rStyle w:val="Hyperlink"/>
            <w:rFonts w:ascii="Calibri" w:hAnsi="Calibri" w:cs="Calibri"/>
            <w:i/>
            <w:noProof/>
          </w:rPr>
          <w:t>Annex 12: Project organigram</w:t>
        </w:r>
        <w:r>
          <w:rPr>
            <w:noProof/>
            <w:webHidden/>
          </w:rPr>
          <w:tab/>
        </w:r>
        <w:r>
          <w:rPr>
            <w:noProof/>
            <w:webHidden/>
          </w:rPr>
          <w:fldChar w:fldCharType="begin"/>
        </w:r>
        <w:r>
          <w:rPr>
            <w:noProof/>
            <w:webHidden/>
          </w:rPr>
          <w:instrText xml:space="preserve"> PAGEREF _Toc210058547 \h </w:instrText>
        </w:r>
        <w:r>
          <w:rPr>
            <w:noProof/>
            <w:webHidden/>
          </w:rPr>
        </w:r>
        <w:r>
          <w:rPr>
            <w:noProof/>
            <w:webHidden/>
          </w:rPr>
          <w:fldChar w:fldCharType="separate"/>
        </w:r>
        <w:r>
          <w:rPr>
            <w:noProof/>
            <w:webHidden/>
          </w:rPr>
          <w:t>117</w:t>
        </w:r>
        <w:r>
          <w:rPr>
            <w:noProof/>
            <w:webHidden/>
          </w:rPr>
          <w:fldChar w:fldCharType="end"/>
        </w:r>
      </w:hyperlink>
    </w:p>
    <w:p w14:paraId="2EFA2F4C" w14:textId="4695FD2C" w:rsidR="00256BDB" w:rsidRDefault="00256BDB">
      <w:pPr>
        <w:pStyle w:val="TOC2"/>
        <w:tabs>
          <w:tab w:val="right" w:leader="dot" w:pos="9010"/>
        </w:tabs>
        <w:rPr>
          <w:rFonts w:asciiTheme="minorHAnsi" w:eastAsiaTheme="minorEastAsia" w:hAnsiTheme="minorHAnsi" w:cstheme="minorBidi"/>
          <w:noProof/>
          <w:kern w:val="2"/>
          <w:lang w:val="en-NL"/>
          <w14:ligatures w14:val="standardContextual"/>
        </w:rPr>
      </w:pPr>
      <w:hyperlink w:anchor="_Toc210058548" w:history="1">
        <w:r w:rsidRPr="00A5309A">
          <w:rPr>
            <w:rStyle w:val="Hyperlink"/>
            <w:rFonts w:ascii="Calibri" w:hAnsi="Calibri" w:cs="Calibri"/>
            <w:i/>
            <w:noProof/>
          </w:rPr>
          <w:t>Annex 13: Micro narratives</w:t>
        </w:r>
        <w:r>
          <w:rPr>
            <w:noProof/>
            <w:webHidden/>
          </w:rPr>
          <w:tab/>
        </w:r>
        <w:r>
          <w:rPr>
            <w:noProof/>
            <w:webHidden/>
          </w:rPr>
          <w:fldChar w:fldCharType="begin"/>
        </w:r>
        <w:r>
          <w:rPr>
            <w:noProof/>
            <w:webHidden/>
          </w:rPr>
          <w:instrText xml:space="preserve"> PAGEREF _Toc210058548 \h </w:instrText>
        </w:r>
        <w:r>
          <w:rPr>
            <w:noProof/>
            <w:webHidden/>
          </w:rPr>
        </w:r>
        <w:r>
          <w:rPr>
            <w:noProof/>
            <w:webHidden/>
          </w:rPr>
          <w:fldChar w:fldCharType="separate"/>
        </w:r>
        <w:r>
          <w:rPr>
            <w:noProof/>
            <w:webHidden/>
          </w:rPr>
          <w:t>118</w:t>
        </w:r>
        <w:r>
          <w:rPr>
            <w:noProof/>
            <w:webHidden/>
          </w:rPr>
          <w:fldChar w:fldCharType="end"/>
        </w:r>
      </w:hyperlink>
    </w:p>
    <w:p w14:paraId="0A5FB73F" w14:textId="4EF5511F" w:rsidR="00C95B98" w:rsidRPr="00F569AE" w:rsidRDefault="00CD3B8F" w:rsidP="007E75A1">
      <w:pPr>
        <w:spacing w:line="276" w:lineRule="auto"/>
        <w:rPr>
          <w:rFonts w:ascii="Calibri" w:hAnsi="Calibri" w:cs="Calibri"/>
          <w:color w:val="000000" w:themeColor="text1"/>
          <w:lang w:val="en-US"/>
        </w:rPr>
      </w:pPr>
      <w:r w:rsidRPr="00F569AE">
        <w:rPr>
          <w:rFonts w:ascii="Calibri" w:hAnsi="Calibri" w:cs="Calibri"/>
          <w:color w:val="000000" w:themeColor="text1"/>
          <w:lang w:val="en-US"/>
        </w:rPr>
        <w:fldChar w:fldCharType="end"/>
      </w:r>
    </w:p>
    <w:p w14:paraId="158E4FA3" w14:textId="77777777" w:rsidR="00C95B98" w:rsidRPr="00F569AE" w:rsidRDefault="00C95B98" w:rsidP="007E75A1">
      <w:pPr>
        <w:spacing w:line="276" w:lineRule="auto"/>
        <w:rPr>
          <w:rFonts w:ascii="Calibri" w:hAnsi="Calibri" w:cs="Calibri"/>
          <w:color w:val="000000" w:themeColor="text1"/>
          <w:lang w:val="en-US"/>
        </w:rPr>
      </w:pPr>
    </w:p>
    <w:p w14:paraId="6976F5A0" w14:textId="77777777" w:rsidR="00C95B98" w:rsidRPr="00F569AE" w:rsidRDefault="00C95B98" w:rsidP="007E75A1">
      <w:pPr>
        <w:spacing w:line="276" w:lineRule="auto"/>
        <w:rPr>
          <w:rFonts w:ascii="Calibri" w:hAnsi="Calibri" w:cs="Calibri"/>
          <w:color w:val="000000" w:themeColor="text1"/>
          <w:lang w:val="en-US"/>
        </w:rPr>
      </w:pPr>
    </w:p>
    <w:p w14:paraId="24C03923" w14:textId="77777777" w:rsidR="00C95B98" w:rsidRPr="00F569AE" w:rsidRDefault="00C95B98" w:rsidP="007E75A1">
      <w:pPr>
        <w:spacing w:line="276" w:lineRule="auto"/>
        <w:rPr>
          <w:rFonts w:ascii="Calibri" w:hAnsi="Calibri" w:cs="Calibri"/>
          <w:color w:val="000000" w:themeColor="text1"/>
          <w:lang w:val="en-US"/>
        </w:rPr>
      </w:pPr>
    </w:p>
    <w:p w14:paraId="08F55D45" w14:textId="77777777" w:rsidR="00C95B98" w:rsidRPr="00F569AE" w:rsidRDefault="00C95B98" w:rsidP="007E75A1">
      <w:pPr>
        <w:spacing w:line="276" w:lineRule="auto"/>
        <w:rPr>
          <w:rFonts w:ascii="Calibri" w:hAnsi="Calibri" w:cs="Calibri"/>
          <w:color w:val="000000" w:themeColor="text1"/>
          <w:lang w:val="en-US"/>
        </w:rPr>
      </w:pPr>
    </w:p>
    <w:p w14:paraId="06A0CFE5" w14:textId="77777777" w:rsidR="00C95B98" w:rsidRPr="00F569AE" w:rsidRDefault="00C95B98" w:rsidP="007E75A1">
      <w:pPr>
        <w:spacing w:line="276" w:lineRule="auto"/>
        <w:rPr>
          <w:rFonts w:ascii="Calibri" w:hAnsi="Calibri" w:cs="Calibri"/>
          <w:color w:val="000000" w:themeColor="text1"/>
          <w:lang w:val="en-US"/>
        </w:rPr>
      </w:pPr>
    </w:p>
    <w:p w14:paraId="520EF44C" w14:textId="77777777" w:rsidR="00C95B98" w:rsidRPr="00F569AE" w:rsidRDefault="00C95B98" w:rsidP="007E75A1">
      <w:pPr>
        <w:spacing w:line="276" w:lineRule="auto"/>
        <w:rPr>
          <w:rFonts w:ascii="Calibri" w:hAnsi="Calibri" w:cs="Calibri"/>
          <w:color w:val="000000" w:themeColor="text1"/>
          <w:lang w:val="en-US"/>
        </w:rPr>
      </w:pPr>
    </w:p>
    <w:p w14:paraId="2D6CC0D8" w14:textId="77777777" w:rsidR="00C95B98" w:rsidRPr="00F569AE" w:rsidRDefault="00C95B98" w:rsidP="007E75A1">
      <w:pPr>
        <w:spacing w:line="276" w:lineRule="auto"/>
        <w:rPr>
          <w:rFonts w:ascii="Calibri" w:hAnsi="Calibri" w:cs="Calibri"/>
          <w:color w:val="000000" w:themeColor="text1"/>
          <w:lang w:val="en-US"/>
        </w:rPr>
      </w:pPr>
    </w:p>
    <w:p w14:paraId="03729D81" w14:textId="77777777" w:rsidR="00C95B98" w:rsidRPr="00F569AE" w:rsidRDefault="00C95B98" w:rsidP="007E75A1">
      <w:pPr>
        <w:spacing w:line="276" w:lineRule="auto"/>
        <w:rPr>
          <w:rFonts w:ascii="Calibri" w:hAnsi="Calibri" w:cs="Calibri"/>
          <w:color w:val="000000" w:themeColor="text1"/>
          <w:lang w:val="en-US"/>
        </w:rPr>
      </w:pPr>
    </w:p>
    <w:p w14:paraId="0A1054B7" w14:textId="73C25C42" w:rsidR="00FA168B" w:rsidRPr="00F569AE" w:rsidRDefault="00FA168B" w:rsidP="00FA168B">
      <w:pPr>
        <w:pStyle w:val="Heading1"/>
        <w:spacing w:line="276" w:lineRule="auto"/>
        <w:jc w:val="both"/>
        <w:rPr>
          <w:rFonts w:ascii="Calibri" w:hAnsi="Calibri" w:cs="Calibri"/>
        </w:rPr>
      </w:pPr>
      <w:bookmarkStart w:id="186" w:name="_Toc210058525"/>
      <w:bookmarkStart w:id="187" w:name="_Toc200528833"/>
      <w:r w:rsidRPr="00F569AE">
        <w:rPr>
          <w:rFonts w:ascii="Calibri" w:hAnsi="Calibri" w:cs="Calibri"/>
        </w:rPr>
        <w:lastRenderedPageBreak/>
        <w:t>EXECUTIVE SUMMARY</w:t>
      </w:r>
      <w:bookmarkEnd w:id="186"/>
    </w:p>
    <w:p w14:paraId="69F12E01" w14:textId="77777777" w:rsidR="001E1C7B" w:rsidRPr="00F569AE" w:rsidRDefault="001E1C7B" w:rsidP="001E1C7B">
      <w:pPr>
        <w:spacing w:line="276" w:lineRule="auto"/>
        <w:jc w:val="both"/>
        <w:rPr>
          <w:rFonts w:ascii="Calibri" w:eastAsia="Calibri" w:hAnsi="Calibri" w:cs="Calibri"/>
          <w:b/>
          <w:color w:val="215E99" w:themeColor="text2" w:themeTint="BF"/>
          <w:sz w:val="28"/>
          <w:szCs w:val="28"/>
          <w:lang w:val="en-US"/>
        </w:rPr>
      </w:pPr>
      <w:r w:rsidRPr="00F569AE">
        <w:rPr>
          <w:rFonts w:ascii="Calibri" w:eastAsia="Calibri" w:hAnsi="Calibri" w:cs="Calibri"/>
          <w:b/>
          <w:color w:val="215E99" w:themeColor="text2" w:themeTint="BF"/>
          <w:sz w:val="28"/>
          <w:szCs w:val="28"/>
          <w:lang w:val="en-US"/>
        </w:rPr>
        <w:t>Introduction</w:t>
      </w:r>
    </w:p>
    <w:p w14:paraId="647EC1F7" w14:textId="035EB350" w:rsidR="001E1C7B" w:rsidRPr="00F569AE" w:rsidRDefault="001E1C7B" w:rsidP="001E1C7B">
      <w:pPr>
        <w:spacing w:line="276" w:lineRule="auto"/>
        <w:jc w:val="both"/>
        <w:rPr>
          <w:rFonts w:ascii="Calibri" w:hAnsi="Calibri" w:cs="Calibri"/>
          <w:color w:val="000000"/>
          <w:lang w:val="en-US"/>
        </w:rPr>
      </w:pPr>
      <w:r w:rsidRPr="00F569AE">
        <w:rPr>
          <w:rFonts w:ascii="Calibri" w:eastAsia="Calibri" w:hAnsi="Calibri" w:cs="Calibri"/>
          <w:color w:val="000000"/>
          <w:lang w:val="en-US"/>
        </w:rPr>
        <w:t xml:space="preserve">This document presents the Report of the Final Evaluation of the </w:t>
      </w:r>
      <w:r w:rsidRPr="00F569AE">
        <w:rPr>
          <w:rFonts w:ascii="Calibri" w:hAnsi="Calibri" w:cs="Calibri"/>
          <w:i/>
          <w:color w:val="000000"/>
          <w:lang w:val="en-US"/>
        </w:rPr>
        <w:t>“Municipal Environmental Governance (MEG) Phase II (2021-2025)”</w:t>
      </w:r>
      <w:r w:rsidRPr="00F569AE">
        <w:rPr>
          <w:rFonts w:ascii="Calibri" w:hAnsi="Calibri" w:cs="Calibri"/>
          <w:color w:val="000000"/>
          <w:lang w:val="en-US"/>
        </w:rPr>
        <w:t xml:space="preserve"> project and its integral part, the EU-funded project </w:t>
      </w:r>
      <w:r w:rsidRPr="00F569AE">
        <w:rPr>
          <w:rFonts w:ascii="Calibri" w:hAnsi="Calibri" w:cs="Calibri"/>
          <w:i/>
          <w:color w:val="000000"/>
          <w:lang w:val="en-US"/>
        </w:rPr>
        <w:t>“European Union Support to Sustainable Management of Water Services in Bosnia and Herzegovina (EU4MEG) (2022-2025)”.</w:t>
      </w:r>
      <w:r w:rsidRPr="00F569AE">
        <w:rPr>
          <w:rFonts w:ascii="Calibri" w:hAnsi="Calibri" w:cs="Calibri"/>
          <w:color w:val="000000"/>
          <w:lang w:val="en-US"/>
        </w:rPr>
        <w:t xml:space="preserve"> Hereafter, the MEG/EU4MEG project.</w:t>
      </w:r>
      <w:r w:rsidR="00220392">
        <w:rPr>
          <w:rStyle w:val="FootnoteReference"/>
          <w:rFonts w:ascii="Calibri" w:hAnsi="Calibri" w:cs="Calibri"/>
          <w:color w:val="000000"/>
          <w:lang w:val="en-US"/>
        </w:rPr>
        <w:footnoteReference w:id="2"/>
      </w:r>
    </w:p>
    <w:p w14:paraId="6DE40641" w14:textId="77777777" w:rsidR="001E1C7B" w:rsidRPr="00F569AE" w:rsidRDefault="001E1C7B" w:rsidP="001E1C7B">
      <w:pPr>
        <w:spacing w:line="276" w:lineRule="auto"/>
        <w:jc w:val="both"/>
        <w:rPr>
          <w:rFonts w:ascii="Calibri" w:hAnsi="Calibri" w:cs="Calibri"/>
          <w:color w:val="000000"/>
          <w:lang w:val="en-US"/>
        </w:rPr>
      </w:pPr>
    </w:p>
    <w:p w14:paraId="5FD0F089" w14:textId="2889D164" w:rsidR="001E1C7B" w:rsidRPr="00F569AE" w:rsidRDefault="001E1C7B" w:rsidP="001E1C7B">
      <w:pPr>
        <w:spacing w:line="276" w:lineRule="auto"/>
        <w:jc w:val="both"/>
        <w:rPr>
          <w:rFonts w:ascii="Calibri" w:hAnsi="Calibri" w:cs="Calibri"/>
          <w:color w:val="000000"/>
          <w:lang w:val="en-US"/>
        </w:rPr>
      </w:pPr>
      <w:r w:rsidRPr="00F569AE">
        <w:rPr>
          <w:rFonts w:ascii="Calibri" w:hAnsi="Calibri" w:cs="Calibri"/>
          <w:lang w:val="en-US"/>
        </w:rPr>
        <w:t xml:space="preserve">The project was implemented </w:t>
      </w:r>
      <w:r w:rsidRPr="00F569AE">
        <w:rPr>
          <w:rFonts w:ascii="Calibri" w:hAnsi="Calibri" w:cs="Calibri"/>
          <w:color w:val="000000"/>
          <w:lang w:val="en-US"/>
        </w:rPr>
        <w:t xml:space="preserve">by the UNDP Bosnia and Herzegovina (BiH) </w:t>
      </w:r>
      <w:r w:rsidRPr="00F569AE">
        <w:rPr>
          <w:rFonts w:ascii="Calibri" w:hAnsi="Calibri" w:cs="Calibri"/>
          <w:lang w:val="en-US"/>
        </w:rPr>
        <w:t xml:space="preserve">during </w:t>
      </w:r>
      <w:r w:rsidRPr="00F569AE">
        <w:rPr>
          <w:rFonts w:ascii="Calibri" w:hAnsi="Calibri" w:cs="Calibri"/>
          <w:color w:val="000000"/>
          <w:lang w:val="en-US"/>
        </w:rPr>
        <w:t xml:space="preserve">the period of April 2021 – March 2025, extended till December 2025 by no cost-extension agreement. The project was funded by the Government of Switzerland, Government of Sweden, Embassy of the Czech Republic in BiH, </w:t>
      </w:r>
      <w:r w:rsidR="004168F6">
        <w:rPr>
          <w:rFonts w:ascii="Calibri" w:hAnsi="Calibri" w:cs="Calibri"/>
          <w:color w:val="000000"/>
          <w:lang w:val="en-US"/>
        </w:rPr>
        <w:t xml:space="preserve">and the </w:t>
      </w:r>
      <w:r w:rsidRPr="00F569AE">
        <w:rPr>
          <w:rFonts w:ascii="Calibri" w:hAnsi="Calibri" w:cs="Calibri"/>
          <w:color w:val="000000"/>
          <w:lang w:val="en-US"/>
        </w:rPr>
        <w:t>European Delegation in BiH.</w:t>
      </w:r>
    </w:p>
    <w:p w14:paraId="6DA89A73" w14:textId="77777777" w:rsidR="001E1C7B" w:rsidRPr="00F569AE" w:rsidRDefault="001E1C7B" w:rsidP="001E1C7B">
      <w:pPr>
        <w:rPr>
          <w:rFonts w:ascii="Calibri" w:hAnsi="Calibri" w:cs="Calibri"/>
          <w:color w:val="000000"/>
          <w:lang w:val="en-US"/>
        </w:rPr>
      </w:pPr>
    </w:p>
    <w:p w14:paraId="783A1015" w14:textId="77777777" w:rsidR="001E1C7B" w:rsidRPr="00F569AE" w:rsidRDefault="001E1C7B" w:rsidP="001E1C7B">
      <w:pPr>
        <w:spacing w:line="276" w:lineRule="auto"/>
        <w:jc w:val="both"/>
        <w:rPr>
          <w:rFonts w:ascii="Calibri" w:eastAsia="Calibri" w:hAnsi="Calibri" w:cs="Calibri"/>
          <w:b/>
          <w:color w:val="215E99" w:themeColor="text2" w:themeTint="BF"/>
          <w:sz w:val="28"/>
          <w:szCs w:val="28"/>
          <w:lang w:val="en-US"/>
        </w:rPr>
      </w:pPr>
      <w:r w:rsidRPr="00F569AE">
        <w:rPr>
          <w:rFonts w:ascii="Calibri" w:eastAsia="Calibri" w:hAnsi="Calibri" w:cs="Calibri"/>
          <w:b/>
          <w:color w:val="215E99" w:themeColor="text2" w:themeTint="BF"/>
          <w:sz w:val="28"/>
          <w:szCs w:val="28"/>
          <w:lang w:val="en-US"/>
        </w:rPr>
        <w:t>Project background</w:t>
      </w:r>
    </w:p>
    <w:p w14:paraId="04FAEBA7" w14:textId="533EAC81" w:rsidR="001E1C7B" w:rsidRPr="00F57BAB" w:rsidRDefault="00294459" w:rsidP="001E1C7B">
      <w:pPr>
        <w:spacing w:line="276" w:lineRule="auto"/>
        <w:jc w:val="both"/>
        <w:rPr>
          <w:rFonts w:ascii="Calibri" w:hAnsi="Calibri" w:cs="Calibri"/>
          <w:lang w:val="en-US" w:eastAsia="en-US"/>
        </w:rPr>
      </w:pPr>
      <w:r>
        <w:rPr>
          <w:rFonts w:ascii="Calibri" w:hAnsi="Calibri" w:cs="Calibri"/>
          <w:lang w:val="en-US"/>
        </w:rPr>
        <w:t xml:space="preserve">The </w:t>
      </w:r>
      <w:r w:rsidRPr="00F569AE">
        <w:rPr>
          <w:rFonts w:ascii="Calibri" w:hAnsi="Calibri" w:cs="Calibri"/>
          <w:color w:val="000000"/>
          <w:lang w:val="en-US"/>
        </w:rPr>
        <w:t>MEG/EU4MEG project</w:t>
      </w:r>
      <w:r w:rsidR="001E1C7B" w:rsidRPr="00F569AE">
        <w:rPr>
          <w:rFonts w:ascii="Calibri" w:hAnsi="Calibri" w:cs="Calibri"/>
          <w:lang w:val="en-US"/>
        </w:rPr>
        <w:t xml:space="preserve"> was highly </w:t>
      </w:r>
      <w:r w:rsidR="009B0432" w:rsidRPr="00F569AE">
        <w:rPr>
          <w:rFonts w:ascii="Calibri" w:hAnsi="Calibri" w:cs="Calibri"/>
          <w:lang w:val="en-US"/>
        </w:rPr>
        <w:t>ambitious</w:t>
      </w:r>
      <w:r w:rsidR="001E1C7B" w:rsidRPr="00F569AE">
        <w:rPr>
          <w:rFonts w:ascii="Calibri" w:hAnsi="Calibri" w:cs="Calibri"/>
          <w:lang w:val="en-US"/>
        </w:rPr>
        <w:t xml:space="preserve"> </w:t>
      </w:r>
      <w:r>
        <w:rPr>
          <w:rFonts w:ascii="Calibri" w:hAnsi="Calibri" w:cs="Calibri"/>
          <w:lang w:val="en-US"/>
        </w:rPr>
        <w:t>one,</w:t>
      </w:r>
      <w:r w:rsidR="001E1C7B" w:rsidRPr="00F569AE">
        <w:rPr>
          <w:rFonts w:ascii="Calibri" w:hAnsi="Calibri" w:cs="Calibri"/>
          <w:lang w:val="en-US"/>
        </w:rPr>
        <w:t xml:space="preserve"> operating in extremely complex governance context of BiH, in the nexus of local governance and water </w:t>
      </w:r>
      <w:r w:rsidR="009B0432" w:rsidRPr="00F569AE">
        <w:rPr>
          <w:rFonts w:ascii="Calibri" w:hAnsi="Calibri" w:cs="Calibri"/>
          <w:lang w:val="en-US"/>
        </w:rPr>
        <w:t>services</w:t>
      </w:r>
      <w:r w:rsidR="001E1C7B" w:rsidRPr="00F569AE">
        <w:rPr>
          <w:rFonts w:ascii="Calibri" w:hAnsi="Calibri" w:cs="Calibri"/>
          <w:lang w:val="en-US"/>
        </w:rPr>
        <w:t xml:space="preserve"> provision. The </w:t>
      </w:r>
      <w:r w:rsidR="001E1C7B" w:rsidRPr="001E2C6D">
        <w:rPr>
          <w:rFonts w:ascii="Calibri" w:hAnsi="Calibri" w:cs="Calibri"/>
          <w:b/>
          <w:i/>
          <w:lang w:val="en-US"/>
        </w:rPr>
        <w:t>goal</w:t>
      </w:r>
      <w:r w:rsidR="001E1C7B" w:rsidRPr="00F569AE">
        <w:rPr>
          <w:rFonts w:ascii="Calibri" w:hAnsi="Calibri" w:cs="Calibri"/>
          <w:lang w:val="en-US"/>
        </w:rPr>
        <w:t xml:space="preserve"> of the project was to </w:t>
      </w:r>
      <w:r w:rsidR="001E1C7B" w:rsidRPr="00F569AE">
        <w:rPr>
          <w:rFonts w:ascii="Calibri" w:hAnsi="Calibri" w:cs="Calibri"/>
          <w:i/>
          <w:color w:val="000000"/>
          <w:lang w:val="en-US" w:eastAsia="hr-HR"/>
        </w:rPr>
        <w:t>contribute to the democratization of local governance in BiH and more equitable, effective and efficient public services for the citizens, particularly water supply and wastewater management services</w:t>
      </w:r>
      <w:r w:rsidR="001E1C7B" w:rsidRPr="00F569AE">
        <w:rPr>
          <w:rFonts w:ascii="Calibri" w:hAnsi="Calibri" w:cs="Calibri"/>
          <w:b/>
          <w:color w:val="000000"/>
          <w:lang w:val="en-US" w:eastAsia="hr-HR"/>
        </w:rPr>
        <w:t xml:space="preserve"> </w:t>
      </w:r>
      <w:r w:rsidR="001E1C7B" w:rsidRPr="00F569AE">
        <w:rPr>
          <w:rFonts w:ascii="Calibri" w:hAnsi="Calibri" w:cs="Calibri"/>
          <w:b/>
          <w:color w:val="215E99" w:themeColor="text2" w:themeTint="BF"/>
          <w:lang w:val="en-US" w:eastAsia="hr-HR"/>
        </w:rPr>
        <w:t>(</w:t>
      </w:r>
      <w:r w:rsidR="001E1C7B" w:rsidRPr="00F569AE">
        <w:rPr>
          <w:rFonts w:ascii="Calibri" w:hAnsi="Calibri" w:cs="Calibri"/>
          <w:b/>
          <w:color w:val="215E99" w:themeColor="text2" w:themeTint="BF"/>
          <w:u w:val="single"/>
          <w:lang w:val="en-US" w:eastAsia="hr-HR"/>
        </w:rPr>
        <w:t>MEGII</w:t>
      </w:r>
      <w:r w:rsidR="001E2C6D">
        <w:rPr>
          <w:rFonts w:ascii="Calibri" w:hAnsi="Calibri" w:cs="Calibri"/>
          <w:b/>
          <w:color w:val="215E99" w:themeColor="text2" w:themeTint="BF"/>
          <w:u w:val="single"/>
          <w:lang w:val="en-US" w:eastAsia="hr-HR"/>
        </w:rPr>
        <w:t xml:space="preserve"> project</w:t>
      </w:r>
      <w:r w:rsidR="001E1C7B" w:rsidRPr="00F569AE">
        <w:rPr>
          <w:rFonts w:ascii="Calibri" w:hAnsi="Calibri" w:cs="Calibri"/>
          <w:b/>
          <w:color w:val="215E99" w:themeColor="text2" w:themeTint="BF"/>
          <w:u w:val="single"/>
          <w:lang w:val="en-US" w:eastAsia="hr-HR"/>
        </w:rPr>
        <w:t xml:space="preserve">) </w:t>
      </w:r>
      <w:r w:rsidR="001E1C7B" w:rsidRPr="00F569AE">
        <w:rPr>
          <w:rFonts w:ascii="Calibri" w:hAnsi="Calibri" w:cs="Calibri"/>
          <w:color w:val="000000"/>
          <w:lang w:val="en-US" w:eastAsia="hr-HR"/>
        </w:rPr>
        <w:t xml:space="preserve">and more specifically, to zoom in on </w:t>
      </w:r>
      <w:r w:rsidR="001E1C7B" w:rsidRPr="00F569AE">
        <w:rPr>
          <w:rFonts w:ascii="Calibri" w:hAnsi="Calibri" w:cs="Calibri"/>
          <w:i/>
          <w:spacing w:val="-2"/>
          <w:lang w:val="en-US"/>
        </w:rPr>
        <w:t>enhancement of administrative capacities in the field of water management in line with the environmental acquis and improve environmental infrastructure</w:t>
      </w:r>
      <w:r w:rsidR="001E1C7B" w:rsidRPr="00F569AE">
        <w:rPr>
          <w:rFonts w:ascii="Calibri" w:hAnsi="Calibri" w:cs="Calibri"/>
          <w:lang w:val="en-US"/>
        </w:rPr>
        <w:t xml:space="preserve"> </w:t>
      </w:r>
      <w:r w:rsidR="001E1C7B" w:rsidRPr="00F569AE">
        <w:rPr>
          <w:rFonts w:ascii="Calibri" w:hAnsi="Calibri" w:cs="Calibri"/>
          <w:color w:val="215E99" w:themeColor="text2" w:themeTint="BF"/>
          <w:lang w:val="en-US"/>
        </w:rPr>
        <w:t>(</w:t>
      </w:r>
      <w:r w:rsidR="001E1C7B" w:rsidRPr="00F569AE">
        <w:rPr>
          <w:rFonts w:ascii="Calibri" w:hAnsi="Calibri" w:cs="Calibri"/>
          <w:b/>
          <w:i/>
          <w:color w:val="215E99" w:themeColor="text2" w:themeTint="BF"/>
          <w:spacing w:val="-2"/>
          <w:u w:val="single"/>
          <w:lang w:val="en-US"/>
        </w:rPr>
        <w:t>EU4MEG</w:t>
      </w:r>
      <w:r w:rsidR="001E2C6D">
        <w:rPr>
          <w:rFonts w:ascii="Calibri" w:hAnsi="Calibri" w:cs="Calibri"/>
          <w:b/>
          <w:i/>
          <w:color w:val="215E99" w:themeColor="text2" w:themeTint="BF"/>
          <w:spacing w:val="-2"/>
          <w:u w:val="single"/>
          <w:lang w:val="en-US"/>
        </w:rPr>
        <w:t xml:space="preserve"> action</w:t>
      </w:r>
      <w:r w:rsidR="001E1C7B" w:rsidRPr="00F569AE">
        <w:rPr>
          <w:rFonts w:ascii="Calibri" w:hAnsi="Calibri" w:cs="Calibri"/>
          <w:b/>
          <w:i/>
          <w:color w:val="215E99" w:themeColor="text2" w:themeTint="BF"/>
          <w:spacing w:val="-2"/>
          <w:u w:val="single"/>
          <w:lang w:val="en-US"/>
        </w:rPr>
        <w:t xml:space="preserve">). </w:t>
      </w:r>
    </w:p>
    <w:p w14:paraId="292F1879" w14:textId="77777777" w:rsidR="001E1C7B" w:rsidRPr="00F569AE" w:rsidRDefault="001E1C7B" w:rsidP="001E1C7B">
      <w:pPr>
        <w:spacing w:line="276" w:lineRule="auto"/>
        <w:jc w:val="both"/>
        <w:rPr>
          <w:rFonts w:ascii="Calibri" w:hAnsi="Calibri" w:cs="Calibri"/>
          <w:b/>
          <w:i/>
          <w:color w:val="215E99" w:themeColor="text2" w:themeTint="BF"/>
          <w:spacing w:val="-2"/>
          <w:u w:val="single"/>
          <w:lang w:val="en-US"/>
        </w:rPr>
      </w:pPr>
    </w:p>
    <w:p w14:paraId="0ECA9348" w14:textId="77777777" w:rsidR="001E1C7B" w:rsidRPr="00F569AE" w:rsidRDefault="001E1C7B" w:rsidP="001E1C7B">
      <w:pPr>
        <w:spacing w:line="276" w:lineRule="auto"/>
        <w:jc w:val="both"/>
        <w:rPr>
          <w:rFonts w:ascii="Calibri" w:eastAsia="Calibri" w:hAnsi="Calibri" w:cs="Calibri"/>
          <w:b/>
          <w:color w:val="215E99" w:themeColor="text2" w:themeTint="BF"/>
          <w:sz w:val="28"/>
          <w:szCs w:val="28"/>
          <w:lang w:val="en-US"/>
        </w:rPr>
      </w:pPr>
      <w:r w:rsidRPr="00F569AE">
        <w:rPr>
          <w:rFonts w:ascii="Calibri" w:eastAsia="Calibri" w:hAnsi="Calibri" w:cs="Calibri"/>
          <w:b/>
          <w:color w:val="215E99" w:themeColor="text2" w:themeTint="BF"/>
          <w:sz w:val="28"/>
          <w:szCs w:val="28"/>
          <w:lang w:val="en-US"/>
        </w:rPr>
        <w:t xml:space="preserve">Evaluation purpose and methodology </w:t>
      </w:r>
    </w:p>
    <w:p w14:paraId="0C80E2E9" w14:textId="77777777" w:rsidR="001E1C7B" w:rsidRPr="00F569AE" w:rsidRDefault="001E1C7B" w:rsidP="001E1C7B">
      <w:pPr>
        <w:spacing w:line="276" w:lineRule="auto"/>
        <w:jc w:val="both"/>
        <w:rPr>
          <w:rFonts w:ascii="Calibri" w:eastAsia="Calibri" w:hAnsi="Calibri" w:cs="Calibri"/>
          <w:i/>
          <w:lang w:val="en-US"/>
        </w:rPr>
      </w:pPr>
      <w:r w:rsidRPr="00F569AE">
        <w:rPr>
          <w:rFonts w:ascii="Calibri" w:hAnsi="Calibri" w:cs="Calibri"/>
          <w:color w:val="000000" w:themeColor="text1"/>
          <w:spacing w:val="-2"/>
          <w:lang w:val="en-US"/>
        </w:rPr>
        <w:t xml:space="preserve">The purpose of the evaluation was to ensure accountability, foster learning and inform the next programming cycle.  The evaluation explored a mixed method approach by applying various data collection tools: </w:t>
      </w:r>
      <w:r w:rsidRPr="00F569AE">
        <w:rPr>
          <w:rFonts w:ascii="Calibri" w:eastAsia="Calibri" w:hAnsi="Calibri" w:cs="Calibri"/>
          <w:lang w:val="en-US"/>
        </w:rPr>
        <w:t xml:space="preserve">the </w:t>
      </w:r>
      <w:r w:rsidRPr="00F569AE">
        <w:rPr>
          <w:rFonts w:ascii="Calibri" w:eastAsia="Calibri" w:hAnsi="Calibri" w:cs="Calibri"/>
          <w:i/>
          <w:lang w:val="en-US"/>
        </w:rPr>
        <w:t>desk review, semi-structured stakeholder interviews (individual and group), focus group discussions (FGDs), surveys among local authorities and water utilities, micro-narratives, and case study.</w:t>
      </w:r>
      <w:r w:rsidRPr="00F569AE">
        <w:rPr>
          <w:rFonts w:ascii="Calibri" w:hAnsi="Calibri" w:cs="Calibri"/>
          <w:color w:val="000000" w:themeColor="text1"/>
          <w:spacing w:val="-2"/>
          <w:lang w:val="en-US"/>
        </w:rPr>
        <w:t xml:space="preserve"> </w:t>
      </w:r>
      <w:r w:rsidRPr="00F569AE">
        <w:rPr>
          <w:rFonts w:ascii="Calibri" w:eastAsia="Calibri" w:hAnsi="Calibri" w:cs="Calibri"/>
          <w:lang w:val="en-US"/>
        </w:rPr>
        <w:t>The evaluation</w:t>
      </w:r>
      <w:r w:rsidRPr="00F569AE">
        <w:rPr>
          <w:rFonts w:ascii="Calibri" w:eastAsia="Calibri" w:hAnsi="Calibri" w:cs="Calibri"/>
          <w:b/>
          <w:i/>
          <w:lang w:val="en-US"/>
        </w:rPr>
        <w:t xml:space="preserve"> </w:t>
      </w:r>
      <w:r w:rsidRPr="00F569AE">
        <w:rPr>
          <w:rFonts w:ascii="Calibri" w:eastAsia="Calibri" w:hAnsi="Calibri" w:cs="Calibri"/>
          <w:lang w:val="en-US"/>
        </w:rPr>
        <w:t>was guided by the OECD DAC evaluation criteria</w:t>
      </w:r>
      <w:r w:rsidRPr="00F569AE">
        <w:rPr>
          <w:rFonts w:ascii="Calibri" w:eastAsia="Calibri" w:hAnsi="Calibri" w:cs="Calibri"/>
          <w:vertAlign w:val="superscript"/>
          <w:lang w:val="en-US"/>
        </w:rPr>
        <w:t xml:space="preserve"> </w:t>
      </w:r>
      <w:r w:rsidRPr="00F569AE">
        <w:rPr>
          <w:rFonts w:ascii="Calibri" w:eastAsia="Calibri" w:hAnsi="Calibri" w:cs="Calibri"/>
          <w:lang w:val="en-US"/>
        </w:rPr>
        <w:t xml:space="preserve">and includes the following: </w:t>
      </w:r>
      <w:r w:rsidRPr="00F569AE">
        <w:rPr>
          <w:rFonts w:ascii="Calibri" w:eastAsia="Calibri" w:hAnsi="Calibri" w:cs="Calibri"/>
          <w:i/>
          <w:lang w:val="en-US"/>
        </w:rPr>
        <w:t>relevance and adaptability, coherence, effectiveness, efficiency, sustainability</w:t>
      </w:r>
      <w:r w:rsidRPr="00F569AE">
        <w:rPr>
          <w:rFonts w:ascii="Calibri" w:eastAsia="Calibri" w:hAnsi="Calibri" w:cs="Calibri"/>
          <w:lang w:val="en-US"/>
        </w:rPr>
        <w:t xml:space="preserve">, and </w:t>
      </w:r>
      <w:r w:rsidRPr="00F569AE">
        <w:rPr>
          <w:rFonts w:ascii="Calibri" w:eastAsia="Calibri" w:hAnsi="Calibri" w:cs="Calibri"/>
          <w:i/>
          <w:lang w:val="en-US"/>
        </w:rPr>
        <w:t>impact orientation.</w:t>
      </w:r>
    </w:p>
    <w:p w14:paraId="478DCF7F" w14:textId="77777777" w:rsidR="001E1C7B" w:rsidRPr="00F569AE" w:rsidRDefault="001E1C7B" w:rsidP="001E1C7B">
      <w:pPr>
        <w:spacing w:line="276" w:lineRule="auto"/>
        <w:rPr>
          <w:rFonts w:ascii="Calibri" w:eastAsia="Calibri" w:hAnsi="Calibri" w:cs="Calibri"/>
          <w:i/>
          <w:lang w:val="en-US"/>
        </w:rPr>
      </w:pPr>
    </w:p>
    <w:p w14:paraId="6B47039D" w14:textId="33828034" w:rsidR="001E1C7B" w:rsidRPr="00F569AE" w:rsidRDefault="001E1C7B" w:rsidP="001E1C7B">
      <w:pPr>
        <w:spacing w:line="276" w:lineRule="auto"/>
        <w:rPr>
          <w:rFonts w:ascii="Calibri" w:eastAsia="Calibri" w:hAnsi="Calibri" w:cs="Calibri"/>
          <w:b/>
          <w:color w:val="215E99" w:themeColor="text2" w:themeTint="BF"/>
          <w:sz w:val="28"/>
          <w:szCs w:val="28"/>
          <w:lang w:val="en-US"/>
        </w:rPr>
      </w:pPr>
      <w:r w:rsidRPr="00F569AE">
        <w:rPr>
          <w:rFonts w:ascii="Calibri" w:eastAsia="Calibri" w:hAnsi="Calibri" w:cs="Calibri"/>
          <w:b/>
          <w:color w:val="215E99" w:themeColor="text2" w:themeTint="BF"/>
          <w:sz w:val="28"/>
          <w:szCs w:val="28"/>
          <w:lang w:val="en-US"/>
        </w:rPr>
        <w:t>Findings</w:t>
      </w:r>
    </w:p>
    <w:p w14:paraId="350BCC84" w14:textId="34D2CBCD" w:rsidR="001E1C7B" w:rsidRPr="0081789E" w:rsidRDefault="0081789E" w:rsidP="006C530E">
      <w:pPr>
        <w:pStyle w:val="ListParagraph"/>
        <w:numPr>
          <w:ilvl w:val="0"/>
          <w:numId w:val="43"/>
        </w:numPr>
        <w:rPr>
          <w:rFonts w:ascii="Calibri" w:eastAsiaTheme="majorEastAsia" w:hAnsi="Calibri" w:cs="Calibri"/>
          <w:b/>
          <w:i/>
        </w:rPr>
      </w:pPr>
      <w:r w:rsidRPr="0081789E">
        <w:rPr>
          <w:rFonts w:ascii="Calibri" w:eastAsiaTheme="majorEastAsia" w:hAnsi="Calibri" w:cs="Calibri"/>
          <w:b/>
          <w:i/>
        </w:rPr>
        <w:t>Relevance</w:t>
      </w:r>
    </w:p>
    <w:p w14:paraId="55E77265" w14:textId="22C19A07" w:rsidR="00F24212" w:rsidRPr="00F24212" w:rsidRDefault="00F24212" w:rsidP="00F24212">
      <w:pPr>
        <w:spacing w:line="276" w:lineRule="auto"/>
        <w:jc w:val="both"/>
        <w:rPr>
          <w:rFonts w:ascii="Calibri" w:eastAsia="Calibri" w:hAnsi="Calibri" w:cs="Calibri"/>
          <w:color w:val="000000" w:themeColor="text1"/>
        </w:rPr>
      </w:pPr>
      <w:r w:rsidRPr="00F24212">
        <w:rPr>
          <w:rFonts w:ascii="Calibri" w:hAnsi="Calibri" w:cs="Calibri"/>
        </w:rPr>
        <w:t xml:space="preserve">The project’s ambition and its results were fully in line with the high-level priority within BiH to harmonize its legislation with the EU Water Aquis as well as with the priorities set in the entity-level Water Management Strategies. The recalibration of the project ambition to focus only on drinking water was fully justified to optimize its focus. The integrative approach of the project design facilitated the alignment of sectoral (water sector) and governance </w:t>
      </w:r>
      <w:r w:rsidRPr="00F24212">
        <w:rPr>
          <w:rFonts w:ascii="Calibri" w:hAnsi="Calibri" w:cs="Calibri"/>
        </w:rPr>
        <w:lastRenderedPageBreak/>
        <w:t xml:space="preserve">objectives to make meaningful strides toward sustainable service delivery and institutional modernization in BiH. The project design </w:t>
      </w:r>
      <w:r w:rsidRPr="00F24212">
        <w:rPr>
          <w:rFonts w:ascii="Calibri" w:eastAsiaTheme="minorHAnsi" w:hAnsi="Calibri" w:cs="Calibri"/>
          <w:lang w:eastAsia="en-US"/>
          <w14:ligatures w14:val="standardContextual"/>
        </w:rPr>
        <w:t>captured the key systemic bottlenecks in water services governance, and some of the key bottlenecks related to drinking water infrastructure</w:t>
      </w:r>
      <w:r w:rsidRPr="00F24212">
        <w:rPr>
          <w:rFonts w:ascii="Calibri" w:hAnsi="Calibri" w:cs="Calibri"/>
        </w:rPr>
        <w:t xml:space="preserve">. The </w:t>
      </w:r>
      <w:r w:rsidRPr="00F24212">
        <w:rPr>
          <w:rFonts w:ascii="Calibri" w:eastAsia="Calibri" w:hAnsi="Calibri" w:cs="Calibri"/>
          <w:color w:val="000000" w:themeColor="text1"/>
        </w:rPr>
        <w:t>MEG/EU4MEG project design introduced ‘MEG standardization’ as quality mark for all LGs in BiH.</w:t>
      </w:r>
      <w:r>
        <w:rPr>
          <w:rFonts w:ascii="Calibri" w:eastAsia="Calibri" w:hAnsi="Calibri" w:cs="Calibri"/>
          <w:color w:val="000000" w:themeColor="text1"/>
        </w:rPr>
        <w:t xml:space="preserve"> </w:t>
      </w:r>
      <w:r w:rsidRPr="00F24212">
        <w:rPr>
          <w:rFonts w:ascii="Calibri" w:hAnsi="Calibri" w:cs="Calibri"/>
        </w:rPr>
        <w:t>The project design indicated high relevance to the needs of the vulnerable population, yet missed the opportunity to stronger engage with the CSOs to build their public oversight function and civic scrutiny role.</w:t>
      </w:r>
    </w:p>
    <w:p w14:paraId="7B055C8E" w14:textId="77777777" w:rsidR="00772C5F" w:rsidRPr="00F24212" w:rsidRDefault="00772C5F" w:rsidP="00877DCD">
      <w:pPr>
        <w:rPr>
          <w:rFonts w:ascii="Calibri" w:eastAsiaTheme="majorEastAsia" w:hAnsi="Calibri" w:cs="Calibri"/>
          <w:lang w:val="en-US"/>
        </w:rPr>
      </w:pPr>
    </w:p>
    <w:p w14:paraId="3AD20B2E" w14:textId="6DD551C2" w:rsidR="009B0432" w:rsidRPr="009B3A5D" w:rsidRDefault="009B3A5D" w:rsidP="006C530E">
      <w:pPr>
        <w:pStyle w:val="ListParagraph"/>
        <w:numPr>
          <w:ilvl w:val="0"/>
          <w:numId w:val="43"/>
        </w:numPr>
        <w:rPr>
          <w:rFonts w:ascii="Calibri" w:eastAsiaTheme="majorEastAsia" w:hAnsi="Calibri" w:cs="Calibri"/>
          <w:b/>
          <w:i/>
        </w:rPr>
      </w:pPr>
      <w:r w:rsidRPr="009B3A5D">
        <w:rPr>
          <w:rFonts w:ascii="Calibri" w:eastAsiaTheme="majorEastAsia" w:hAnsi="Calibri" w:cs="Calibri"/>
          <w:b/>
          <w:i/>
        </w:rPr>
        <w:t>Coherence</w:t>
      </w:r>
    </w:p>
    <w:p w14:paraId="665A5921" w14:textId="47051F8B" w:rsidR="00F24212" w:rsidRPr="00F24212" w:rsidRDefault="00F24212" w:rsidP="00F24212">
      <w:pPr>
        <w:spacing w:line="276" w:lineRule="auto"/>
        <w:jc w:val="both"/>
        <w:rPr>
          <w:rFonts w:ascii="Calibri" w:hAnsi="Calibri" w:cs="Calibri"/>
        </w:rPr>
      </w:pPr>
      <w:r w:rsidRPr="00F24212">
        <w:rPr>
          <w:rFonts w:ascii="Calibri" w:hAnsi="Calibri" w:cs="Calibri"/>
        </w:rPr>
        <w:t>The MEG project demonstrated solid external and internal coherence. Since its inception in 2016, the MEG programme has become a flagship initiative driving the modernization of water service sector in BiH. The MEG process and the MEG solutions received traction from all key large donors engaged in water sector modernization in BiH and showcased the value of conditioning large water infrastructure investments with evidence that the municipal partner underwent MEG process as a quality sign. This requires a steadfast commitment from Water Alliance (WA) partners to tie infrastructure grants to MEG standardization - as exemplified by the Czech Embassy in BiH - to generate significant momentum and far-reaching positive effects throughout the water sector and local governance system in BiH.</w:t>
      </w:r>
      <w:r>
        <w:rPr>
          <w:rFonts w:ascii="Calibri" w:hAnsi="Calibri" w:cs="Calibri"/>
        </w:rPr>
        <w:t xml:space="preserve"> </w:t>
      </w:r>
      <w:r w:rsidRPr="00F24212">
        <w:rPr>
          <w:rFonts w:ascii="Calibri" w:hAnsi="Calibri" w:cs="Calibri"/>
        </w:rPr>
        <w:t>It remains important to operationalize the UNDP BiH’s adherence to portfolio approach within Governance portfolio, to ensure that the next programming envelops would be hinged on the results delivered within the MEG/EU4MEG project and MEG programme, in general</w:t>
      </w:r>
      <w:r w:rsidRPr="00F24212">
        <w:t>.</w:t>
      </w:r>
    </w:p>
    <w:p w14:paraId="55F3173D" w14:textId="77777777" w:rsidR="009B0432" w:rsidRPr="00F569AE" w:rsidRDefault="009B0432" w:rsidP="001E1C7B">
      <w:pPr>
        <w:rPr>
          <w:rFonts w:ascii="Calibri" w:eastAsiaTheme="majorEastAsia" w:hAnsi="Calibri" w:cs="Calibri"/>
          <w:lang w:val="en-US"/>
        </w:rPr>
      </w:pPr>
    </w:p>
    <w:p w14:paraId="45EB469D" w14:textId="15A2C55D" w:rsidR="00FC0D6B" w:rsidRPr="00F24212" w:rsidRDefault="00A8111E" w:rsidP="00F24212">
      <w:pPr>
        <w:pStyle w:val="ListParagraph"/>
        <w:numPr>
          <w:ilvl w:val="0"/>
          <w:numId w:val="43"/>
        </w:numPr>
        <w:rPr>
          <w:rFonts w:ascii="Calibri" w:eastAsiaTheme="majorEastAsia" w:hAnsi="Calibri" w:cs="Calibri"/>
          <w:b/>
        </w:rPr>
      </w:pPr>
      <w:r>
        <w:rPr>
          <w:rFonts w:ascii="Calibri" w:eastAsiaTheme="majorEastAsia" w:hAnsi="Calibri" w:cs="Calibri"/>
          <w:b/>
        </w:rPr>
        <w:t>Effectiveness</w:t>
      </w:r>
    </w:p>
    <w:p w14:paraId="05A74ADD" w14:textId="77777777" w:rsidR="00F24212" w:rsidRDefault="00F24212" w:rsidP="00F24212">
      <w:pPr>
        <w:spacing w:line="276" w:lineRule="auto"/>
        <w:jc w:val="both"/>
        <w:rPr>
          <w:rFonts w:ascii="Calibri" w:hAnsi="Calibri" w:cs="Calibri"/>
          <w:lang w:val="en-US"/>
        </w:rPr>
      </w:pPr>
      <w:r w:rsidRPr="00F569AE">
        <w:rPr>
          <w:rFonts w:ascii="Calibri" w:hAnsi="Calibri" w:cs="Calibri"/>
          <w:lang w:val="en-US"/>
        </w:rPr>
        <w:t xml:space="preserve">The MEG/MEG4EU project demonstrated remarkable systemic achievements and solid effectiveness towards the realization of its outcomes. </w:t>
      </w:r>
      <w:r>
        <w:rPr>
          <w:rFonts w:ascii="Calibri" w:hAnsi="Calibri" w:cs="Calibri"/>
          <w:lang w:val="en-US"/>
        </w:rPr>
        <w:t>T</w:t>
      </w:r>
      <w:r w:rsidRPr="00293B59">
        <w:rPr>
          <w:rFonts w:ascii="Calibri" w:hAnsi="Calibri" w:cs="Calibri"/>
          <w:lang w:val="en-US"/>
        </w:rPr>
        <w:t xml:space="preserve">he project supported the LGs and WUCs to </w:t>
      </w:r>
      <w:r w:rsidRPr="00D075CF">
        <w:rPr>
          <w:rFonts w:ascii="Calibri" w:hAnsi="Calibri" w:cs="Calibri"/>
          <w:lang w:val="en-US"/>
        </w:rPr>
        <w:t>significantly improve their effectiveness across various areas of their performance. More specifically, the project reached its target of 25% LGs reaching good local governance benchmark thus ensuring democratic governance and effective service delivery.</w:t>
      </w:r>
      <w:r>
        <w:rPr>
          <w:rFonts w:ascii="Calibri" w:hAnsi="Calibri" w:cs="Calibri"/>
          <w:lang w:val="en-US"/>
        </w:rPr>
        <w:t xml:space="preserve"> </w:t>
      </w:r>
      <w:r w:rsidRPr="00F569AE">
        <w:rPr>
          <w:rFonts w:ascii="Calibri" w:hAnsi="Calibri" w:cs="Calibri"/>
          <w:lang w:val="en-US"/>
        </w:rPr>
        <w:t xml:space="preserve">The project resulted in multiple critical systemic achievements for the BiH including (i) facilitation and design of harmonized legal frameworks in water services sector aligned with the EU Water Directive; (ii) broadening the repositorium of capacities and tools acquired by the LGs and WUCs to improve their performance in </w:t>
      </w:r>
      <w:r w:rsidRPr="00240695">
        <w:rPr>
          <w:rFonts w:ascii="Calibri" w:hAnsi="Calibri" w:cs="Calibri"/>
          <w:lang w:val="en-US"/>
        </w:rPr>
        <w:t>in both public services provision and water services sector and beyond,</w:t>
      </w:r>
      <w:r w:rsidRPr="00F569AE">
        <w:rPr>
          <w:rFonts w:ascii="Calibri" w:hAnsi="Calibri" w:cs="Calibri"/>
          <w:lang w:val="en-US"/>
        </w:rPr>
        <w:t xml:space="preserve"> (iii) establishing system of peer support across the partner LGs </w:t>
      </w:r>
      <w:r w:rsidRPr="00240695">
        <w:rPr>
          <w:rFonts w:ascii="Calibri" w:hAnsi="Calibri" w:cs="Calibri"/>
          <w:lang w:val="en-US"/>
        </w:rPr>
        <w:t xml:space="preserve">LGs and WUCs to ensure cross-municipal learning </w:t>
      </w:r>
      <w:r w:rsidRPr="00F569AE">
        <w:rPr>
          <w:rFonts w:ascii="Calibri" w:hAnsi="Calibri" w:cs="Calibri"/>
          <w:lang w:val="en-US"/>
        </w:rPr>
        <w:t xml:space="preserve">and knowledge sharing, and (iv) broadening avenues for citizens’ participation in local decision-making. </w:t>
      </w:r>
    </w:p>
    <w:p w14:paraId="7DEFA85E" w14:textId="77777777" w:rsidR="00F24212" w:rsidRDefault="00F24212" w:rsidP="00F24212">
      <w:pPr>
        <w:spacing w:line="276" w:lineRule="auto"/>
        <w:jc w:val="both"/>
        <w:rPr>
          <w:rFonts w:ascii="Calibri" w:hAnsi="Calibri" w:cs="Calibri"/>
          <w:lang w:val="en-US"/>
        </w:rPr>
      </w:pPr>
    </w:p>
    <w:p w14:paraId="6E1B252B" w14:textId="77777777" w:rsidR="00F24212" w:rsidRDefault="00F24212" w:rsidP="00F24212">
      <w:pPr>
        <w:spacing w:line="276" w:lineRule="auto"/>
        <w:jc w:val="both"/>
        <w:rPr>
          <w:rFonts w:ascii="Calibri" w:hAnsi="Calibri" w:cs="Calibri"/>
          <w:lang w:val="en-US"/>
        </w:rPr>
      </w:pPr>
      <w:r>
        <w:rPr>
          <w:rFonts w:ascii="Calibri" w:hAnsi="Calibri" w:cs="Calibri"/>
          <w:lang w:val="en-US"/>
        </w:rPr>
        <w:t xml:space="preserve">The project supported </w:t>
      </w:r>
      <w:r w:rsidRPr="00F569AE">
        <w:rPr>
          <w:rFonts w:ascii="Calibri" w:hAnsi="Calibri" w:cs="Calibri"/>
          <w:lang w:val="en-US"/>
        </w:rPr>
        <w:t xml:space="preserve">pre-emptive implementation of the water services laws in the FBiH and RS, </w:t>
      </w:r>
      <w:r>
        <w:rPr>
          <w:rFonts w:ascii="Calibri" w:hAnsi="Calibri" w:cs="Calibri"/>
          <w:lang w:val="en-US"/>
        </w:rPr>
        <w:t xml:space="preserve">leading to </w:t>
      </w:r>
      <w:r w:rsidRPr="0047260B">
        <w:rPr>
          <w:rFonts w:ascii="Calibri" w:hAnsi="Calibri" w:cs="Calibri"/>
          <w:i/>
          <w:lang w:val="en-US"/>
        </w:rPr>
        <w:t>inter alia</w:t>
      </w:r>
      <w:r>
        <w:rPr>
          <w:rFonts w:ascii="Calibri" w:hAnsi="Calibri" w:cs="Calibri"/>
          <w:lang w:val="en-US"/>
        </w:rPr>
        <w:t xml:space="preserve"> </w:t>
      </w:r>
      <w:r w:rsidRPr="00F569AE">
        <w:rPr>
          <w:rFonts w:ascii="Calibri" w:hAnsi="Calibri" w:cs="Calibri"/>
          <w:lang w:val="en-US"/>
        </w:rPr>
        <w:t xml:space="preserve">improved performance of the partner LGs as more accountable and inclusive, </w:t>
      </w:r>
      <w:r>
        <w:rPr>
          <w:rFonts w:ascii="Calibri" w:hAnsi="Calibri" w:cs="Calibri"/>
          <w:lang w:val="en-US"/>
        </w:rPr>
        <w:t>expanding access to drinking</w:t>
      </w:r>
      <w:r w:rsidRPr="00F569AE">
        <w:rPr>
          <w:rFonts w:ascii="Calibri" w:hAnsi="Calibri" w:cs="Calibri"/>
          <w:lang w:val="en-US"/>
        </w:rPr>
        <w:t xml:space="preserve"> water </w:t>
      </w:r>
      <w:r>
        <w:rPr>
          <w:rFonts w:ascii="Calibri" w:hAnsi="Calibri" w:cs="Calibri"/>
          <w:lang w:val="en-US"/>
        </w:rPr>
        <w:t xml:space="preserve">to </w:t>
      </w:r>
      <w:r w:rsidRPr="00F569AE">
        <w:rPr>
          <w:rFonts w:ascii="Calibri" w:hAnsi="Calibri" w:cs="Calibri"/>
          <w:lang w:val="en-US"/>
        </w:rPr>
        <w:t xml:space="preserve">782,080 people, </w:t>
      </w:r>
      <w:r>
        <w:rPr>
          <w:rFonts w:ascii="Calibri" w:hAnsi="Calibri" w:cs="Calibri"/>
          <w:lang w:val="en-US"/>
        </w:rPr>
        <w:t>supporting the</w:t>
      </w:r>
      <w:r w:rsidRPr="00F569AE">
        <w:rPr>
          <w:rFonts w:ascii="Calibri" w:hAnsi="Calibri" w:cs="Calibri"/>
          <w:lang w:val="en-US"/>
        </w:rPr>
        <w:t xml:space="preserve"> most vulnerable </w:t>
      </w:r>
      <w:r>
        <w:rPr>
          <w:rFonts w:ascii="Calibri" w:hAnsi="Calibri" w:cs="Calibri"/>
          <w:lang w:val="en-US"/>
        </w:rPr>
        <w:t>to benefit</w:t>
      </w:r>
      <w:r w:rsidRPr="00F569AE">
        <w:rPr>
          <w:rFonts w:ascii="Calibri" w:hAnsi="Calibri" w:cs="Calibri"/>
          <w:lang w:val="en-US"/>
        </w:rPr>
        <w:t xml:space="preserve"> from water subsidy schemes. The project delivered truly innovative solutions advancing the modernization of the water sector in BiH</w:t>
      </w:r>
      <w:r>
        <w:rPr>
          <w:rFonts w:ascii="Calibri" w:hAnsi="Calibri" w:cs="Calibri"/>
          <w:lang w:val="en-US"/>
        </w:rPr>
        <w:t>.</w:t>
      </w:r>
      <w:r w:rsidRPr="00F569AE">
        <w:rPr>
          <w:rFonts w:ascii="Calibri" w:hAnsi="Calibri" w:cs="Calibri"/>
          <w:lang w:val="en-US"/>
        </w:rPr>
        <w:t xml:space="preserve"> </w:t>
      </w:r>
    </w:p>
    <w:p w14:paraId="226DC89A" w14:textId="77777777" w:rsidR="00F24212" w:rsidRDefault="00F24212" w:rsidP="00F24212">
      <w:pPr>
        <w:spacing w:line="276" w:lineRule="auto"/>
        <w:jc w:val="both"/>
        <w:rPr>
          <w:rFonts w:ascii="Calibri" w:hAnsi="Calibri" w:cs="Calibri"/>
          <w:lang w:val="en-US"/>
        </w:rPr>
      </w:pPr>
    </w:p>
    <w:p w14:paraId="737F08D5" w14:textId="33950529" w:rsidR="0047260B" w:rsidRPr="0047260B" w:rsidRDefault="00F24212" w:rsidP="0047260B">
      <w:pPr>
        <w:spacing w:line="276" w:lineRule="auto"/>
        <w:jc w:val="both"/>
        <w:rPr>
          <w:rFonts w:ascii="Calibri" w:hAnsi="Calibri" w:cs="Calibri"/>
        </w:rPr>
      </w:pPr>
      <w:r w:rsidRPr="00F569AE">
        <w:rPr>
          <w:rFonts w:ascii="Calibri" w:hAnsi="Calibri" w:cs="Calibri"/>
          <w:lang w:val="en-US"/>
        </w:rPr>
        <w:t xml:space="preserve">Along its implementation, effective cooperation and coordination was fostered with a range of stakeholders </w:t>
      </w:r>
      <w:r w:rsidRPr="0047260B">
        <w:rPr>
          <w:rFonts w:ascii="Calibri" w:hAnsi="Calibri" w:cs="Calibri"/>
          <w:i/>
          <w:lang w:val="en-US"/>
        </w:rPr>
        <w:t>inter alia</w:t>
      </w:r>
      <w:r w:rsidRPr="00F569AE">
        <w:rPr>
          <w:rFonts w:ascii="Calibri" w:hAnsi="Calibri" w:cs="Calibri"/>
          <w:lang w:val="en-US"/>
        </w:rPr>
        <w:t xml:space="preserve"> the partner LGs, WUCs, state authorities, as well as the Water Alliance partnership </w:t>
      </w:r>
      <w:r>
        <w:rPr>
          <w:rFonts w:ascii="Calibri" w:hAnsi="Calibri" w:cs="Calibri"/>
          <w:lang w:val="en-US"/>
        </w:rPr>
        <w:t>of</w:t>
      </w:r>
      <w:r w:rsidRPr="00F569AE">
        <w:rPr>
          <w:rFonts w:ascii="Calibri" w:hAnsi="Calibri" w:cs="Calibri"/>
          <w:lang w:val="en-US"/>
        </w:rPr>
        <w:t xml:space="preserve"> leading donors in </w:t>
      </w:r>
      <w:r>
        <w:rPr>
          <w:rFonts w:ascii="Calibri" w:hAnsi="Calibri" w:cs="Calibri"/>
          <w:lang w:val="en-US"/>
        </w:rPr>
        <w:t xml:space="preserve">the </w:t>
      </w:r>
      <w:r w:rsidRPr="00F569AE">
        <w:rPr>
          <w:rFonts w:ascii="Calibri" w:hAnsi="Calibri" w:cs="Calibri"/>
          <w:lang w:val="en-US"/>
        </w:rPr>
        <w:t xml:space="preserve">water sector in BiH. The project demonstrated various degree of adaptive management, maintaining main course of action towards persistent systemic challenges in water and local governance sectors, while employing highly agile management at the operational level. </w:t>
      </w:r>
      <w:r>
        <w:rPr>
          <w:rFonts w:ascii="Calibri" w:hAnsi="Calibri" w:cs="Calibri"/>
        </w:rPr>
        <w:t>The project kept distinct focus on addressing the needs of the most vulnerable population, including, women, youth, people wiht disabilities, etc.</w:t>
      </w:r>
    </w:p>
    <w:p w14:paraId="6E602DAE" w14:textId="77777777" w:rsidR="009B0432" w:rsidRPr="00F569AE" w:rsidRDefault="009B0432" w:rsidP="001E1C7B">
      <w:pPr>
        <w:rPr>
          <w:rFonts w:ascii="Calibri" w:eastAsiaTheme="majorEastAsia" w:hAnsi="Calibri" w:cs="Calibri"/>
          <w:lang w:val="en-US"/>
        </w:rPr>
      </w:pPr>
    </w:p>
    <w:p w14:paraId="6FC42F1C" w14:textId="1CC50447" w:rsidR="009B0432" w:rsidRPr="00A8111E" w:rsidRDefault="00A8111E" w:rsidP="006C530E">
      <w:pPr>
        <w:pStyle w:val="ListParagraph"/>
        <w:numPr>
          <w:ilvl w:val="0"/>
          <w:numId w:val="43"/>
        </w:numPr>
        <w:rPr>
          <w:rFonts w:ascii="Calibri" w:eastAsiaTheme="majorEastAsia" w:hAnsi="Calibri" w:cs="Calibri"/>
          <w:b/>
        </w:rPr>
      </w:pPr>
      <w:r>
        <w:rPr>
          <w:rFonts w:ascii="Calibri" w:eastAsiaTheme="majorEastAsia" w:hAnsi="Calibri" w:cs="Calibri"/>
          <w:b/>
        </w:rPr>
        <w:t>Efficiency</w:t>
      </w:r>
    </w:p>
    <w:p w14:paraId="4EDF40BA" w14:textId="77777777" w:rsidR="00E315E2" w:rsidRPr="00E315E2" w:rsidRDefault="00E315E2" w:rsidP="00E315E2">
      <w:pPr>
        <w:spacing w:line="276" w:lineRule="auto"/>
        <w:jc w:val="both"/>
        <w:rPr>
          <w:rFonts w:ascii="Calibri" w:eastAsiaTheme="majorEastAsia" w:hAnsi="Calibri" w:cs="Calibri"/>
          <w:color w:val="000000" w:themeColor="text1"/>
        </w:rPr>
      </w:pPr>
      <w:r w:rsidRPr="00E315E2">
        <w:rPr>
          <w:rFonts w:ascii="Calibri" w:eastAsiaTheme="majorEastAsia" w:hAnsi="Calibri" w:cs="Calibri"/>
          <w:color w:val="000000" w:themeColor="text1"/>
        </w:rPr>
        <w:t xml:space="preserve">The project mobilized various funding schemes, e.g. from the </w:t>
      </w:r>
      <w:r w:rsidRPr="00E315E2">
        <w:rPr>
          <w:rFonts w:ascii="Calibri" w:hAnsi="Calibri" w:cs="Calibri"/>
          <w:color w:val="000000" w:themeColor="text1"/>
        </w:rPr>
        <w:t>Government of Switzerland, the Government of Sweden, the Embassy of the Czech Republic in BiH, and the European Delegation in BiH.</w:t>
      </w:r>
      <w:r w:rsidRPr="00E315E2">
        <w:rPr>
          <w:rFonts w:ascii="Calibri" w:eastAsiaTheme="majorEastAsia" w:hAnsi="Calibri" w:cs="Calibri"/>
          <w:color w:val="000000" w:themeColor="text1"/>
        </w:rPr>
        <w:t xml:space="preserve"> The project demonstrated cost-effectiveness (i.e. the outcomes of the project were achieved) and adequate equity consideration in its benefits (i.e. project benefits were shared across various groups of stakeholders, especially, vulnerable ones). While the staffing was adequate for the project implementation, however, sub-optimal attention was paid to monitoring, risk management, and learning within the project. </w:t>
      </w:r>
    </w:p>
    <w:p w14:paraId="5AADA514" w14:textId="77777777" w:rsidR="00E315E2" w:rsidRDefault="00E315E2" w:rsidP="00E315E2">
      <w:pPr>
        <w:spacing w:line="276" w:lineRule="auto"/>
        <w:jc w:val="both"/>
        <w:rPr>
          <w:rFonts w:ascii="Calibri" w:hAnsi="Calibri" w:cs="Calibri"/>
        </w:rPr>
      </w:pPr>
    </w:p>
    <w:p w14:paraId="64BA0ED4" w14:textId="166D06D2" w:rsidR="00F43EC5" w:rsidRDefault="00E315E2" w:rsidP="001E2C6D">
      <w:pPr>
        <w:spacing w:line="276" w:lineRule="auto"/>
        <w:jc w:val="both"/>
        <w:rPr>
          <w:rFonts w:ascii="Calibri" w:hAnsi="Calibri" w:cs="Calibri"/>
        </w:rPr>
      </w:pPr>
      <w:r w:rsidRPr="00E315E2">
        <w:rPr>
          <w:rFonts w:ascii="Calibri" w:hAnsi="Calibri" w:cs="Calibri"/>
        </w:rPr>
        <w:t>The low budget delivery rate under Outcome 1 (policy and regulatory environment) had various reasons, however, a stronger role of the Project Board would be expected to anticipate and mitigate risks and find alternative solutions (e.g. invest in fostering policy dialogue on water sector needs, challenges, opportunities for reform, and such).</w:t>
      </w:r>
    </w:p>
    <w:p w14:paraId="7E1249AA" w14:textId="77777777" w:rsidR="009E2468" w:rsidRDefault="009E2468" w:rsidP="001E2C6D">
      <w:pPr>
        <w:spacing w:line="276" w:lineRule="auto"/>
        <w:jc w:val="both"/>
        <w:rPr>
          <w:rFonts w:ascii="Calibri" w:hAnsi="Calibri" w:cs="Calibri"/>
        </w:rPr>
      </w:pPr>
    </w:p>
    <w:p w14:paraId="1FB2C884" w14:textId="4D111438" w:rsidR="009E2468" w:rsidRPr="001E2C6D" w:rsidRDefault="009E2468" w:rsidP="001E2C6D">
      <w:pPr>
        <w:spacing w:line="276" w:lineRule="auto"/>
        <w:jc w:val="both"/>
        <w:rPr>
          <w:rFonts w:ascii="Calibri" w:eastAsiaTheme="majorEastAsia" w:hAnsi="Calibri" w:cs="Calibri"/>
        </w:rPr>
      </w:pPr>
      <w:r w:rsidRPr="0047260B">
        <w:rPr>
          <w:rFonts w:ascii="Calibri" w:hAnsi="Calibri" w:cs="Calibri"/>
        </w:rPr>
        <w:t>The project could benefit from more structured analytical function and learning, leveraging on monitoring and risk assessment, allowing thereby stronger strategic planning and expectations management of its external stakeholders, specifically, donors.</w:t>
      </w:r>
    </w:p>
    <w:p w14:paraId="03440D8E" w14:textId="77777777" w:rsidR="00F43EC5" w:rsidRPr="00F569AE" w:rsidRDefault="00F43EC5" w:rsidP="001E1C7B">
      <w:pPr>
        <w:rPr>
          <w:rFonts w:ascii="Calibri" w:eastAsiaTheme="majorEastAsia" w:hAnsi="Calibri" w:cs="Calibri"/>
          <w:lang w:val="en-US"/>
        </w:rPr>
      </w:pPr>
    </w:p>
    <w:p w14:paraId="0D3FCBBE" w14:textId="5C9D76AF" w:rsidR="009B0432" w:rsidRPr="00A8111E" w:rsidRDefault="00A8111E" w:rsidP="00F24212">
      <w:pPr>
        <w:pStyle w:val="ListParagraph"/>
        <w:numPr>
          <w:ilvl w:val="0"/>
          <w:numId w:val="43"/>
        </w:numPr>
        <w:spacing w:line="276" w:lineRule="auto"/>
        <w:jc w:val="both"/>
        <w:rPr>
          <w:rFonts w:ascii="Calibri" w:eastAsiaTheme="majorEastAsia" w:hAnsi="Calibri" w:cs="Calibri"/>
          <w:b/>
        </w:rPr>
      </w:pPr>
      <w:r>
        <w:rPr>
          <w:rFonts w:ascii="Calibri" w:eastAsiaTheme="majorEastAsia" w:hAnsi="Calibri" w:cs="Calibri"/>
          <w:b/>
        </w:rPr>
        <w:t>Sustainability</w:t>
      </w:r>
    </w:p>
    <w:p w14:paraId="27826797" w14:textId="5AF94076" w:rsidR="00184341" w:rsidRDefault="00F24212" w:rsidP="00834449">
      <w:pPr>
        <w:spacing w:line="276" w:lineRule="auto"/>
        <w:jc w:val="both"/>
        <w:rPr>
          <w:rFonts w:ascii="Calibri" w:hAnsi="Calibri" w:cs="Calibri"/>
          <w:color w:val="000000"/>
        </w:rPr>
      </w:pPr>
      <w:r w:rsidRPr="00F24212">
        <w:rPr>
          <w:rFonts w:ascii="Calibri" w:eastAsiaTheme="majorEastAsia" w:hAnsi="Calibri" w:cs="Calibri"/>
        </w:rPr>
        <w:t>The MEG/EU4MEG project has set the stage for long-term system transformation through</w:t>
      </w:r>
      <w:r w:rsidRPr="00F24212">
        <w:rPr>
          <w:rFonts w:eastAsiaTheme="majorEastAsia"/>
        </w:rPr>
        <w:t xml:space="preserve"> </w:t>
      </w:r>
      <w:r w:rsidRPr="00F24212">
        <w:rPr>
          <w:rFonts w:ascii="Calibri" w:hAnsi="Calibri" w:cs="Calibri"/>
          <w:color w:val="000000"/>
        </w:rPr>
        <w:t>very diverse benefits for different stakeholders, though the extremely high exposure of the governance to political influence poses significant limitations to the project sustainability.  To enhance its sustainability promise for the next cycle of the project implementation, it would be critical to ensure few steps: (i) continuous policy dialogue on water and governance sector issues, formalization of ‘MEG standardization’, and grassroot mobilization of LGs to undergo MEG standardization,; (ii) develop strategy how to institutionalize knowledge products designed within MEG/EU4MEG project and MEG programme, (iii) ensure platform for continuous exchange between LGs after the project live cycle, (iv) mobilize donor support to condition investments in water sector infrastructure development with MEG standardization process; (v) advocate for citizens’ participation in municipal decision-making across all avenues and future programmatic interventions within UN BiH</w:t>
      </w:r>
      <w:r>
        <w:rPr>
          <w:rFonts w:ascii="Calibri" w:hAnsi="Calibri" w:cs="Calibri"/>
          <w:color w:val="000000"/>
        </w:rPr>
        <w:t>.</w:t>
      </w:r>
    </w:p>
    <w:p w14:paraId="723FC4B6" w14:textId="77777777" w:rsidR="00AF3515" w:rsidRPr="00240A09" w:rsidRDefault="00AF3515" w:rsidP="00834449">
      <w:pPr>
        <w:spacing w:line="276" w:lineRule="auto"/>
        <w:jc w:val="both"/>
        <w:rPr>
          <w:rFonts w:ascii="Calibri" w:hAnsi="Calibri" w:cs="Calibri"/>
          <w:color w:val="000000"/>
        </w:rPr>
      </w:pPr>
    </w:p>
    <w:p w14:paraId="247ECA0A" w14:textId="04D0DF71" w:rsidR="00A8111E" w:rsidRPr="00A8111E" w:rsidRDefault="00A8111E" w:rsidP="006C530E">
      <w:pPr>
        <w:pStyle w:val="ListParagraph"/>
        <w:numPr>
          <w:ilvl w:val="0"/>
          <w:numId w:val="43"/>
        </w:numPr>
        <w:rPr>
          <w:rFonts w:ascii="Calibri" w:eastAsiaTheme="majorEastAsia" w:hAnsi="Calibri" w:cs="Calibri"/>
          <w:b/>
        </w:rPr>
      </w:pPr>
      <w:r>
        <w:rPr>
          <w:rFonts w:ascii="Calibri" w:eastAsiaTheme="majorEastAsia" w:hAnsi="Calibri" w:cs="Calibri"/>
          <w:b/>
        </w:rPr>
        <w:t>Impact</w:t>
      </w:r>
      <w:r w:rsidR="00184341">
        <w:rPr>
          <w:rFonts w:ascii="Calibri" w:eastAsiaTheme="majorEastAsia" w:hAnsi="Calibri" w:cs="Calibri"/>
          <w:b/>
        </w:rPr>
        <w:t xml:space="preserve"> orientation</w:t>
      </w:r>
    </w:p>
    <w:p w14:paraId="3ADA8AA5" w14:textId="421E7A6A" w:rsidR="00F24212" w:rsidRPr="00F24212" w:rsidRDefault="00F24212" w:rsidP="00F24212">
      <w:pPr>
        <w:spacing w:line="276" w:lineRule="auto"/>
        <w:jc w:val="both"/>
        <w:rPr>
          <w:rFonts w:ascii="Calibri" w:eastAsiaTheme="majorEastAsia" w:hAnsi="Calibri" w:cs="Calibri"/>
        </w:rPr>
      </w:pPr>
      <w:r w:rsidRPr="00F24212">
        <w:rPr>
          <w:rFonts w:ascii="Calibri" w:hAnsi="Calibri" w:cs="Calibri"/>
        </w:rPr>
        <w:t>There were multiple signs of transformative change in the water ecosystem that could be attributed to the actions and resources invested by the project. Most noticeable, the culture of collaboration and learning among LGs and WUCs; institutionalized performance-based management within the LGs and WUCs; fostered climate of good governance and accountability, whereby citizens’ participation is institutionalized and mainstreamed in the planning, monitoring and reporting of the LGs; opportunities of accessing water infrastructure funding from other sources in BiH. At its current stage, the project has demonstrated full ‘proof of concept’ by shaping and applying a model for improved water services performance linked to an improved local governance in BiH. However, for this model to became fully embedded within all LGs and WUCs, there is a need for its horizontal scale up and potential replication across the entire spectrum of water services. The project performance indicated strong potential for its replication and scale up.</w:t>
      </w:r>
    </w:p>
    <w:p w14:paraId="6CC03739" w14:textId="77777777" w:rsidR="00A8111E" w:rsidRDefault="00A8111E" w:rsidP="001E1C7B">
      <w:pPr>
        <w:rPr>
          <w:rFonts w:ascii="Calibri" w:eastAsiaTheme="majorEastAsia" w:hAnsi="Calibri" w:cs="Calibri"/>
          <w:lang w:val="en-US"/>
        </w:rPr>
      </w:pPr>
    </w:p>
    <w:p w14:paraId="75AC73ED" w14:textId="77777777" w:rsidR="00A8111E" w:rsidRPr="00F569AE" w:rsidRDefault="00A8111E" w:rsidP="001E1C7B">
      <w:pPr>
        <w:rPr>
          <w:rFonts w:ascii="Calibri" w:eastAsiaTheme="majorEastAsia" w:hAnsi="Calibri" w:cs="Calibri"/>
          <w:lang w:val="en-US"/>
        </w:rPr>
      </w:pPr>
    </w:p>
    <w:p w14:paraId="20B1AEA9" w14:textId="77777777" w:rsidR="001E1C7B" w:rsidRPr="00F569AE" w:rsidRDefault="001E1C7B" w:rsidP="001E1C7B">
      <w:pPr>
        <w:spacing w:line="276" w:lineRule="auto"/>
        <w:rPr>
          <w:rFonts w:ascii="Calibri" w:eastAsia="Calibri" w:hAnsi="Calibri" w:cs="Calibri"/>
          <w:b/>
          <w:color w:val="215E99" w:themeColor="text2" w:themeTint="BF"/>
          <w:sz w:val="28"/>
          <w:szCs w:val="28"/>
          <w:lang w:val="en-US"/>
        </w:rPr>
      </w:pPr>
      <w:r w:rsidRPr="00F569AE">
        <w:rPr>
          <w:rFonts w:ascii="Calibri" w:eastAsia="Calibri" w:hAnsi="Calibri" w:cs="Calibri"/>
          <w:b/>
          <w:color w:val="215E99" w:themeColor="text2" w:themeTint="BF"/>
          <w:sz w:val="28"/>
          <w:szCs w:val="28"/>
          <w:lang w:val="en-US"/>
        </w:rPr>
        <w:t>Conclusion</w:t>
      </w:r>
    </w:p>
    <w:p w14:paraId="201AB6F6" w14:textId="77777777" w:rsidR="003057F3" w:rsidRPr="00F569AE" w:rsidRDefault="003057F3" w:rsidP="003057F3">
      <w:pPr>
        <w:spacing w:line="276" w:lineRule="auto"/>
        <w:jc w:val="both"/>
        <w:rPr>
          <w:rFonts w:ascii="Calibri" w:hAnsi="Calibri" w:cs="Calibri"/>
          <w:lang w:val="en-US"/>
        </w:rPr>
      </w:pPr>
      <w:r w:rsidRPr="00F569AE">
        <w:rPr>
          <w:rFonts w:ascii="Calibri" w:hAnsi="Calibri" w:cs="Calibri"/>
          <w:lang w:val="en-US"/>
        </w:rPr>
        <w:t xml:space="preserve">While this evaluation was focused on MEG/EU4MEG project, the project performance was analyzed </w:t>
      </w:r>
      <w:r w:rsidRPr="00F569AE">
        <w:rPr>
          <w:rFonts w:ascii="Calibri" w:hAnsi="Calibri" w:cs="Calibri"/>
          <w:b/>
          <w:i/>
          <w:lang w:val="en-US"/>
        </w:rPr>
        <w:t xml:space="preserve">through the prism of the </w:t>
      </w:r>
      <w:r>
        <w:rPr>
          <w:rFonts w:ascii="Calibri" w:hAnsi="Calibri" w:cs="Calibri"/>
          <w:b/>
          <w:i/>
          <w:lang w:val="en-US"/>
        </w:rPr>
        <w:t xml:space="preserve">entire </w:t>
      </w:r>
      <w:r w:rsidRPr="00F569AE">
        <w:rPr>
          <w:rFonts w:ascii="Calibri" w:hAnsi="Calibri" w:cs="Calibri"/>
          <w:b/>
          <w:i/>
          <w:lang w:val="en-US"/>
        </w:rPr>
        <w:t>MEG programme</w:t>
      </w:r>
      <w:r w:rsidRPr="00F569AE">
        <w:rPr>
          <w:rFonts w:ascii="Calibri" w:hAnsi="Calibri" w:cs="Calibri"/>
          <w:lang w:val="en-US"/>
        </w:rPr>
        <w:t xml:space="preserve"> that covered the first cycle and was expected to be extended to its third and final cycle. Such time horizon allowed exploring continuity of the efforts and sharpening arguments and recommendations acknowledging that the project ambition – to modernize water sector in BiH – was beyond the time horizon of </w:t>
      </w:r>
      <w:r>
        <w:rPr>
          <w:rFonts w:ascii="Calibri" w:hAnsi="Calibri" w:cs="Calibri"/>
          <w:lang w:val="en-US"/>
        </w:rPr>
        <w:t>only one</w:t>
      </w:r>
      <w:r w:rsidRPr="00F569AE">
        <w:rPr>
          <w:rFonts w:ascii="Calibri" w:hAnsi="Calibri" w:cs="Calibri"/>
          <w:lang w:val="en-US"/>
        </w:rPr>
        <w:t xml:space="preserve"> project intervention. The project implementation was managed with </w:t>
      </w:r>
      <w:r>
        <w:rPr>
          <w:rFonts w:ascii="Calibri" w:hAnsi="Calibri" w:cs="Calibri"/>
          <w:lang w:val="en-US"/>
        </w:rPr>
        <w:t>the</w:t>
      </w:r>
      <w:r w:rsidRPr="00F569AE">
        <w:rPr>
          <w:rFonts w:ascii="Calibri" w:hAnsi="Calibri" w:cs="Calibri"/>
          <w:lang w:val="en-US"/>
        </w:rPr>
        <w:t xml:space="preserve"> focus on gender and inclusivity consideration, </w:t>
      </w:r>
      <w:r>
        <w:rPr>
          <w:rFonts w:ascii="Calibri" w:hAnsi="Calibri" w:cs="Calibri"/>
          <w:lang w:val="en-US"/>
        </w:rPr>
        <w:t>however, the project was not sufficiently tuned to capture its benefits for the vulnerable groups, e.g. gender, youth, people with disabilities.</w:t>
      </w:r>
      <w:r w:rsidRPr="00F569AE">
        <w:rPr>
          <w:rFonts w:ascii="Calibri" w:hAnsi="Calibri" w:cs="Calibri"/>
          <w:lang w:val="en-US"/>
        </w:rPr>
        <w:t xml:space="preserve"> </w:t>
      </w:r>
    </w:p>
    <w:p w14:paraId="71FE6460" w14:textId="77777777" w:rsidR="00075C7C" w:rsidRPr="00F569AE" w:rsidRDefault="00075C7C" w:rsidP="00075C7C">
      <w:pPr>
        <w:spacing w:line="276" w:lineRule="auto"/>
        <w:jc w:val="both"/>
        <w:rPr>
          <w:rFonts w:ascii="Calibri" w:hAnsi="Calibri" w:cs="Calibri"/>
          <w:lang w:val="en-US"/>
        </w:rPr>
      </w:pPr>
    </w:p>
    <w:p w14:paraId="475DA698" w14:textId="77777777" w:rsidR="00075C7C" w:rsidRPr="00F569AE" w:rsidRDefault="00075C7C" w:rsidP="00075C7C">
      <w:pPr>
        <w:spacing w:line="276" w:lineRule="auto"/>
        <w:jc w:val="both"/>
        <w:rPr>
          <w:rFonts w:ascii="Calibri" w:hAnsi="Calibri" w:cs="Calibri"/>
          <w:lang w:val="en-US"/>
        </w:rPr>
      </w:pPr>
      <w:r>
        <w:rPr>
          <w:rFonts w:ascii="Calibri" w:hAnsi="Calibri" w:cs="Calibri"/>
          <w:b/>
          <w:i/>
          <w:lang w:val="en-US"/>
        </w:rPr>
        <w:t xml:space="preserve">The </w:t>
      </w:r>
      <w:r w:rsidRPr="00F569AE">
        <w:rPr>
          <w:rFonts w:ascii="Calibri" w:hAnsi="Calibri" w:cs="Calibri"/>
          <w:b/>
          <w:i/>
          <w:lang w:val="en-US"/>
        </w:rPr>
        <w:t>MEG/EU4MEG project was unique and highly innovative project driving water sector modernization in BiH,</w:t>
      </w:r>
      <w:r w:rsidRPr="00F569AE">
        <w:rPr>
          <w:rFonts w:ascii="Calibri" w:hAnsi="Calibri" w:cs="Calibri"/>
          <w:lang w:val="en-US"/>
        </w:rPr>
        <w:t xml:space="preserve"> while creating ripple effects across local governance system and directly contributing towards building trust and cohesion at the local level. The project set high expectations across a wide range of stakeholders and delivered to its commitments despite highly complex governance context in BiH. The MEG/ EU4MEG project has laid critical foundations for more transparent, accountable, and performance-based governance in participating cities/municipalities and in the water sector.</w:t>
      </w:r>
    </w:p>
    <w:p w14:paraId="6ECCE876" w14:textId="77777777" w:rsidR="00075C7C" w:rsidRDefault="00075C7C" w:rsidP="00075C7C">
      <w:pPr>
        <w:spacing w:line="276" w:lineRule="auto"/>
        <w:jc w:val="both"/>
        <w:rPr>
          <w:rFonts w:ascii="Calibri" w:hAnsi="Calibri" w:cs="Calibri"/>
          <w:lang w:val="en-US"/>
        </w:rPr>
      </w:pPr>
    </w:p>
    <w:p w14:paraId="45FEEF80" w14:textId="77777777" w:rsidR="00075C7C" w:rsidRDefault="00075C7C" w:rsidP="00075C7C">
      <w:pPr>
        <w:spacing w:line="276" w:lineRule="auto"/>
        <w:jc w:val="both"/>
        <w:rPr>
          <w:rFonts w:ascii="Calibri" w:hAnsi="Calibri" w:cs="Calibri"/>
          <w:lang w:val="en-US"/>
        </w:rPr>
      </w:pPr>
      <w:r w:rsidRPr="00F569AE">
        <w:rPr>
          <w:rFonts w:ascii="Calibri" w:hAnsi="Calibri" w:cs="Calibri"/>
          <w:lang w:val="en-US"/>
        </w:rPr>
        <w:t>The range of solutions developed within the project provided solid foundation to trigger system level qualitative enhancement in water sector in BiH. Though, to ensure that the solutions would be sustained</w:t>
      </w:r>
      <w:r>
        <w:rPr>
          <w:rFonts w:ascii="Calibri" w:hAnsi="Calibri" w:cs="Calibri"/>
          <w:lang w:val="en-US"/>
        </w:rPr>
        <w:t xml:space="preserve"> and generate impact expected</w:t>
      </w:r>
      <w:r w:rsidRPr="00F569AE">
        <w:rPr>
          <w:rFonts w:ascii="Calibri" w:hAnsi="Calibri" w:cs="Calibri"/>
          <w:lang w:val="en-US"/>
        </w:rPr>
        <w:t>,</w:t>
      </w:r>
      <w:r>
        <w:rPr>
          <w:rFonts w:ascii="Calibri" w:hAnsi="Calibri" w:cs="Calibri"/>
          <w:lang w:val="en-US"/>
        </w:rPr>
        <w:t xml:space="preserve"> it remains critical to escalate the MEG programme from ‘proof of concept’ (completed at the current stage) to scale up and replication with explicit focus on ‘MEG standardization’.</w:t>
      </w:r>
    </w:p>
    <w:p w14:paraId="6036EC45" w14:textId="77777777" w:rsidR="00075C7C" w:rsidRDefault="00075C7C" w:rsidP="00075C7C">
      <w:pPr>
        <w:spacing w:line="276" w:lineRule="auto"/>
        <w:jc w:val="both"/>
        <w:rPr>
          <w:rFonts w:ascii="Calibri" w:hAnsi="Calibri" w:cs="Calibri"/>
          <w:lang w:val="en-US"/>
        </w:rPr>
      </w:pPr>
    </w:p>
    <w:p w14:paraId="36130D0D" w14:textId="77777777" w:rsidR="00075C7C" w:rsidRDefault="00075C7C" w:rsidP="00075C7C">
      <w:pPr>
        <w:spacing w:line="276" w:lineRule="auto"/>
        <w:jc w:val="both"/>
        <w:rPr>
          <w:rFonts w:ascii="Calibri" w:hAnsi="Calibri" w:cs="Calibri"/>
          <w:lang w:val="en-US"/>
        </w:rPr>
      </w:pPr>
      <w:r>
        <w:rPr>
          <w:rFonts w:ascii="Calibri" w:hAnsi="Calibri" w:cs="Calibri"/>
          <w:lang w:val="en-US"/>
        </w:rPr>
        <w:lastRenderedPageBreak/>
        <w:t>With the focus on replication and scale up, the final phase of the MEG programme could be seen as its</w:t>
      </w:r>
      <w:r w:rsidRPr="00F569AE">
        <w:rPr>
          <w:rFonts w:ascii="Calibri" w:hAnsi="Calibri" w:cs="Calibri"/>
          <w:lang w:val="en-US"/>
        </w:rPr>
        <w:t xml:space="preserve"> ‘reflexive phase’ </w:t>
      </w:r>
      <w:r>
        <w:rPr>
          <w:rFonts w:ascii="Calibri" w:hAnsi="Calibri" w:cs="Calibri"/>
          <w:lang w:val="en-US"/>
        </w:rPr>
        <w:t>with the focus on</w:t>
      </w:r>
      <w:r w:rsidRPr="00F569AE">
        <w:rPr>
          <w:rFonts w:ascii="Calibri" w:hAnsi="Calibri" w:cs="Calibri"/>
          <w:lang w:val="en-US"/>
        </w:rPr>
        <w:t xml:space="preserve"> gradual exit whereby the solutions generated by the project would be fully internalized and owned by a wide range of stakeholders to ensure system's capacity for self-governance</w:t>
      </w:r>
      <w:r>
        <w:rPr>
          <w:rFonts w:ascii="Calibri" w:hAnsi="Calibri" w:cs="Calibri"/>
          <w:lang w:val="en-US"/>
        </w:rPr>
        <w:t xml:space="preserve">.  In its reflexive phase, it remains critical to build the analytical function of the next phase of the project for </w:t>
      </w:r>
      <w:r w:rsidRPr="00F569AE">
        <w:rPr>
          <w:rFonts w:ascii="Calibri" w:hAnsi="Calibri" w:cs="Calibri"/>
          <w:lang w:val="en-US"/>
        </w:rPr>
        <w:t>anticipatory governance of risks, monitoring, and continuous learning</w:t>
      </w:r>
      <w:r>
        <w:rPr>
          <w:rFonts w:ascii="Calibri" w:hAnsi="Calibri" w:cs="Calibri"/>
          <w:lang w:val="en-US"/>
        </w:rPr>
        <w:t xml:space="preserve"> both for the project strategic decision-making.</w:t>
      </w:r>
    </w:p>
    <w:p w14:paraId="13E87A7A" w14:textId="77777777" w:rsidR="00075C7C" w:rsidRDefault="00075C7C" w:rsidP="00075C7C">
      <w:pPr>
        <w:spacing w:line="276" w:lineRule="auto"/>
        <w:jc w:val="both"/>
        <w:rPr>
          <w:rFonts w:ascii="Calibri" w:hAnsi="Calibri" w:cs="Calibri"/>
          <w:lang w:val="en-US"/>
        </w:rPr>
      </w:pPr>
    </w:p>
    <w:p w14:paraId="58AF4A20" w14:textId="77777777" w:rsidR="00075C7C" w:rsidRPr="00F569AE" w:rsidRDefault="00075C7C" w:rsidP="00075C7C">
      <w:pPr>
        <w:spacing w:line="276" w:lineRule="auto"/>
        <w:jc w:val="both"/>
        <w:rPr>
          <w:rFonts w:ascii="Calibri" w:hAnsi="Calibri" w:cs="Calibri"/>
          <w:lang w:val="en-US"/>
        </w:rPr>
      </w:pPr>
      <w:r>
        <w:rPr>
          <w:rFonts w:ascii="Calibri" w:hAnsi="Calibri" w:cs="Calibri"/>
          <w:lang w:val="en-US"/>
        </w:rPr>
        <w:t xml:space="preserve">This highly complex project has demonstrated the value for the UNDP’s commitment to contribute to </w:t>
      </w:r>
      <w:r w:rsidRPr="00075C7C">
        <w:rPr>
          <w:rFonts w:ascii="Calibri" w:hAnsi="Calibri" w:cs="Calibri"/>
          <w:lang w:val="en-US"/>
        </w:rPr>
        <w:t xml:space="preserve">sustainable and inclusive growth, people-centered governance, and social cohesion in BiH as well as to provide solid contribution towards the achievement of SDG-6: Clean water and sanitation, SDG-10: Reduced inequalities, SDG-11: Sustainable Cities and Communities, and SDG-16: People, Justice and Strong Institutions. </w:t>
      </w:r>
    </w:p>
    <w:p w14:paraId="077AE1E0" w14:textId="77777777" w:rsidR="001E1C7B" w:rsidRPr="00F569AE" w:rsidRDefault="001E1C7B" w:rsidP="009E2468">
      <w:pPr>
        <w:spacing w:line="276" w:lineRule="auto"/>
        <w:rPr>
          <w:rFonts w:ascii="Calibri" w:hAnsi="Calibri" w:cs="Calibri"/>
          <w:color w:val="000000" w:themeColor="text1"/>
          <w:spacing w:val="-2"/>
          <w:lang w:val="en-US"/>
        </w:rPr>
      </w:pPr>
    </w:p>
    <w:p w14:paraId="1037F198" w14:textId="0E10B7EE" w:rsidR="001E1C7B" w:rsidRPr="009E2468" w:rsidRDefault="001E1C7B" w:rsidP="009E2468">
      <w:pPr>
        <w:spacing w:line="276" w:lineRule="auto"/>
        <w:rPr>
          <w:rFonts w:ascii="Calibri" w:eastAsia="Calibri" w:hAnsi="Calibri" w:cs="Calibri"/>
          <w:b/>
          <w:color w:val="215E99" w:themeColor="text2" w:themeTint="BF"/>
          <w:sz w:val="28"/>
          <w:szCs w:val="28"/>
          <w:lang w:val="en-US"/>
        </w:rPr>
      </w:pPr>
      <w:r w:rsidRPr="009E2468">
        <w:rPr>
          <w:rFonts w:ascii="Calibri" w:eastAsia="Calibri" w:hAnsi="Calibri" w:cs="Calibri"/>
          <w:b/>
          <w:color w:val="215E99" w:themeColor="text2" w:themeTint="BF"/>
          <w:sz w:val="28"/>
          <w:szCs w:val="28"/>
          <w:lang w:val="en-US"/>
        </w:rPr>
        <w:t>Recommendations</w:t>
      </w:r>
    </w:p>
    <w:p w14:paraId="2A994B44" w14:textId="3F8527B7" w:rsidR="00EE15EB" w:rsidRPr="009E2468" w:rsidRDefault="00EE15EB" w:rsidP="009E2468">
      <w:pPr>
        <w:spacing w:line="276" w:lineRule="auto"/>
        <w:jc w:val="both"/>
        <w:rPr>
          <w:rFonts w:ascii="Calibri" w:hAnsi="Calibri" w:cs="Calibri"/>
          <w:color w:val="000000" w:themeColor="text1"/>
        </w:rPr>
      </w:pPr>
      <w:r w:rsidRPr="009E2468">
        <w:rPr>
          <w:rFonts w:ascii="Calibri" w:hAnsi="Calibri" w:cs="Calibri"/>
          <w:i/>
          <w:color w:val="000000" w:themeColor="text1"/>
          <w:lang w:val="en-US"/>
        </w:rPr>
        <w:t>1. (UNDP)</w:t>
      </w:r>
      <w:r w:rsidRPr="009E2468">
        <w:rPr>
          <w:rFonts w:ascii="Calibri" w:hAnsi="Calibri" w:cs="Calibri"/>
          <w:color w:val="000000" w:themeColor="text1"/>
          <w:lang w:val="en-US"/>
        </w:rPr>
        <w:t xml:space="preserve"> </w:t>
      </w:r>
      <w:r w:rsidRPr="009E2468">
        <w:rPr>
          <w:rFonts w:ascii="Calibri" w:hAnsi="Calibri" w:cs="Calibri"/>
          <w:color w:val="000000" w:themeColor="text1"/>
        </w:rPr>
        <w:t>Scale up and replicate MEG standardization across the LGs in BiH</w:t>
      </w:r>
    </w:p>
    <w:p w14:paraId="55E94712" w14:textId="06AD4037" w:rsidR="00EE15EB" w:rsidRPr="009E2468" w:rsidRDefault="00EE15EB" w:rsidP="009E2468">
      <w:pPr>
        <w:spacing w:line="276" w:lineRule="auto"/>
        <w:jc w:val="both"/>
        <w:rPr>
          <w:rFonts w:ascii="Calibri" w:hAnsi="Calibri" w:cs="Calibri"/>
          <w:color w:val="000000" w:themeColor="text1"/>
        </w:rPr>
      </w:pPr>
      <w:r w:rsidRPr="009E2468">
        <w:rPr>
          <w:rFonts w:ascii="Calibri" w:hAnsi="Calibri" w:cs="Calibri"/>
          <w:i/>
          <w:color w:val="000000" w:themeColor="text1"/>
          <w:lang w:val="en-US"/>
        </w:rPr>
        <w:t>2.</w:t>
      </w:r>
      <w:r w:rsidRPr="009E2468">
        <w:rPr>
          <w:rFonts w:ascii="Calibri" w:hAnsi="Calibri" w:cs="Calibri"/>
          <w:color w:val="000000" w:themeColor="text1"/>
        </w:rPr>
        <w:t xml:space="preserve"> </w:t>
      </w:r>
      <w:r w:rsidRPr="009E2468">
        <w:rPr>
          <w:rFonts w:ascii="Calibri" w:hAnsi="Calibri" w:cs="Calibri"/>
          <w:i/>
          <w:color w:val="000000" w:themeColor="text1"/>
        </w:rPr>
        <w:t>(UNDP)</w:t>
      </w:r>
      <w:r w:rsidRPr="009E2468">
        <w:rPr>
          <w:rFonts w:ascii="Calibri" w:hAnsi="Calibri" w:cs="Calibri"/>
          <w:color w:val="000000" w:themeColor="text1"/>
        </w:rPr>
        <w:t xml:space="preserve"> Tailore MEG support to the specific needs of the LGs</w:t>
      </w:r>
    </w:p>
    <w:p w14:paraId="71584F6F" w14:textId="5CF03850" w:rsidR="00EE15EB" w:rsidRPr="009E2468" w:rsidRDefault="00EE15EB" w:rsidP="009E2468">
      <w:pPr>
        <w:spacing w:line="276" w:lineRule="auto"/>
        <w:jc w:val="both"/>
        <w:rPr>
          <w:rFonts w:ascii="Calibri" w:hAnsi="Calibri" w:cs="Calibri"/>
          <w:color w:val="000000" w:themeColor="text1"/>
        </w:rPr>
      </w:pPr>
      <w:r w:rsidRPr="009E2468">
        <w:rPr>
          <w:rFonts w:ascii="Calibri" w:hAnsi="Calibri" w:cs="Calibri"/>
          <w:i/>
          <w:color w:val="000000" w:themeColor="text1"/>
          <w:lang w:val="en-US"/>
        </w:rPr>
        <w:t>3.</w:t>
      </w:r>
      <w:r w:rsidRPr="009E2468">
        <w:rPr>
          <w:rFonts w:ascii="Calibri" w:hAnsi="Calibri" w:cs="Calibri"/>
          <w:color w:val="000000" w:themeColor="text1"/>
        </w:rPr>
        <w:t xml:space="preserve"> </w:t>
      </w:r>
      <w:r w:rsidRPr="009E2468">
        <w:rPr>
          <w:rFonts w:ascii="Calibri" w:hAnsi="Calibri" w:cs="Calibri"/>
          <w:i/>
          <w:color w:val="000000" w:themeColor="text1"/>
          <w:lang w:val="en-US"/>
        </w:rPr>
        <w:t>(UNDP)</w:t>
      </w:r>
      <w:r w:rsidRPr="009E2468">
        <w:rPr>
          <w:rFonts w:ascii="Calibri" w:hAnsi="Calibri" w:cs="Calibri"/>
          <w:color w:val="000000" w:themeColor="text1"/>
          <w:lang w:val="en-US"/>
        </w:rPr>
        <w:t xml:space="preserve"> </w:t>
      </w:r>
      <w:r w:rsidR="00943736" w:rsidRPr="00943736">
        <w:rPr>
          <w:rFonts w:ascii="Calibri" w:hAnsi="Calibri" w:cs="Calibri"/>
          <w:bCs/>
          <w:color w:val="000000" w:themeColor="text1"/>
        </w:rPr>
        <w:t>Finalize and institutionalize MEG products and trasfer MEG knowledge to the local institutions</w:t>
      </w:r>
    </w:p>
    <w:p w14:paraId="63EC439E" w14:textId="77777777" w:rsidR="00EE15EB" w:rsidRPr="009E2468" w:rsidRDefault="00EE15EB" w:rsidP="009E2468">
      <w:pPr>
        <w:spacing w:line="276" w:lineRule="auto"/>
        <w:jc w:val="both"/>
        <w:rPr>
          <w:rFonts w:ascii="Calibri" w:hAnsi="Calibri" w:cs="Calibri"/>
          <w:color w:val="000000" w:themeColor="text1"/>
          <w:lang w:val="en-US"/>
        </w:rPr>
      </w:pPr>
      <w:r w:rsidRPr="009E2468">
        <w:rPr>
          <w:rFonts w:ascii="Calibri" w:hAnsi="Calibri" w:cs="Calibri"/>
          <w:color w:val="000000" w:themeColor="text1"/>
        </w:rPr>
        <w:t>4. (UNDP) Expand MEG programme focus on water infrastructure development and procurement as precondition for transparent and effective infrastructure investments</w:t>
      </w:r>
    </w:p>
    <w:p w14:paraId="79EAEC9F" w14:textId="77777777" w:rsidR="00EE15EB" w:rsidRPr="009E2468" w:rsidRDefault="00EE15EB" w:rsidP="009E2468">
      <w:pPr>
        <w:spacing w:line="276" w:lineRule="auto"/>
        <w:jc w:val="both"/>
        <w:rPr>
          <w:rFonts w:ascii="Calibri" w:hAnsi="Calibri" w:cs="Calibri"/>
          <w:color w:val="000000" w:themeColor="text1"/>
        </w:rPr>
      </w:pPr>
      <w:r w:rsidRPr="009E2468">
        <w:rPr>
          <w:rFonts w:ascii="Calibri" w:hAnsi="Calibri" w:cs="Calibri"/>
          <w:color w:val="000000" w:themeColor="text1"/>
        </w:rPr>
        <w:t>5. (UNDP) Strengthen the focus on gender mainstreaming and LNOB and strategically improve transparency and accountability of the local goverenance</w:t>
      </w:r>
    </w:p>
    <w:p w14:paraId="44848300" w14:textId="77777777" w:rsidR="00EE15EB" w:rsidRPr="009E2468" w:rsidRDefault="00EE15EB" w:rsidP="009E2468">
      <w:pPr>
        <w:spacing w:line="276" w:lineRule="auto"/>
        <w:jc w:val="both"/>
        <w:rPr>
          <w:rFonts w:ascii="Calibri" w:hAnsi="Calibri" w:cs="Calibri"/>
          <w:color w:val="000000" w:themeColor="text1"/>
        </w:rPr>
      </w:pPr>
      <w:r w:rsidRPr="009E2468">
        <w:rPr>
          <w:rFonts w:ascii="Calibri" w:hAnsi="Calibri" w:cs="Calibri"/>
          <w:color w:val="000000" w:themeColor="text1"/>
        </w:rPr>
        <w:t>6. (UNDP) Strengthen analytical function of the MEG programme</w:t>
      </w:r>
    </w:p>
    <w:p w14:paraId="2AA27EC7" w14:textId="77777777" w:rsidR="00EE15EB" w:rsidRPr="009E2468" w:rsidRDefault="00EE15EB" w:rsidP="009E2468">
      <w:pPr>
        <w:spacing w:line="276" w:lineRule="auto"/>
        <w:jc w:val="both"/>
        <w:rPr>
          <w:rFonts w:ascii="Calibri" w:hAnsi="Calibri" w:cs="Calibri"/>
          <w:color w:val="000000" w:themeColor="text1"/>
        </w:rPr>
      </w:pPr>
      <w:r w:rsidRPr="009E2468">
        <w:rPr>
          <w:rFonts w:ascii="Calibri" w:hAnsi="Calibri" w:cs="Calibri"/>
          <w:color w:val="000000" w:themeColor="text1"/>
        </w:rPr>
        <w:t xml:space="preserve">7. (UNDP) Strengthen focus on generational knowledge transfer </w:t>
      </w:r>
    </w:p>
    <w:p w14:paraId="36E661B9" w14:textId="77777777" w:rsidR="00EE15EB" w:rsidRPr="00CB2626" w:rsidRDefault="00EE15EB" w:rsidP="009E2468">
      <w:pPr>
        <w:spacing w:line="276" w:lineRule="auto"/>
        <w:jc w:val="both"/>
        <w:rPr>
          <w:rFonts w:ascii="Calibri" w:hAnsi="Calibri" w:cs="Calibri"/>
          <w:iCs/>
          <w:color w:val="000000" w:themeColor="text1"/>
        </w:rPr>
      </w:pPr>
      <w:r w:rsidRPr="00CB2626">
        <w:rPr>
          <w:rFonts w:ascii="Calibri" w:hAnsi="Calibri" w:cs="Calibri"/>
          <w:iCs/>
          <w:color w:val="000000" w:themeColor="text1"/>
          <w:lang w:val="en-US"/>
        </w:rPr>
        <w:t>8. (Project Board)</w:t>
      </w:r>
      <w:r w:rsidRPr="00CB2626">
        <w:rPr>
          <w:rFonts w:ascii="Calibri" w:hAnsi="Calibri" w:cs="Calibri"/>
          <w:iCs/>
          <w:color w:val="000000" w:themeColor="text1"/>
        </w:rPr>
        <w:t xml:space="preserve"> Strengthen the oversight function of the Project Board</w:t>
      </w:r>
    </w:p>
    <w:p w14:paraId="3F3FD059" w14:textId="77777777" w:rsidR="00EE15EB" w:rsidRPr="007D5757" w:rsidRDefault="00EE15EB" w:rsidP="009E2468">
      <w:pPr>
        <w:spacing w:line="276" w:lineRule="auto"/>
      </w:pPr>
    </w:p>
    <w:p w14:paraId="1E57B3D1" w14:textId="77777777" w:rsidR="00FA168B" w:rsidRPr="00EE15EB" w:rsidRDefault="00FA168B" w:rsidP="009E2468">
      <w:pPr>
        <w:spacing w:line="276" w:lineRule="auto"/>
        <w:rPr>
          <w:rFonts w:ascii="Calibri" w:hAnsi="Calibri" w:cs="Calibri"/>
        </w:rPr>
      </w:pPr>
    </w:p>
    <w:p w14:paraId="0CBCA58B" w14:textId="77777777" w:rsidR="00941DA6" w:rsidRPr="00F569AE" w:rsidRDefault="00941DA6" w:rsidP="009E2468">
      <w:pPr>
        <w:spacing w:line="276" w:lineRule="auto"/>
        <w:rPr>
          <w:rFonts w:ascii="Calibri" w:hAnsi="Calibri" w:cs="Calibri"/>
          <w:lang w:val="en-US"/>
        </w:rPr>
      </w:pPr>
    </w:p>
    <w:p w14:paraId="40FDC65A" w14:textId="77777777" w:rsidR="00941DA6" w:rsidRPr="00F569AE" w:rsidRDefault="00941DA6" w:rsidP="00FA168B">
      <w:pPr>
        <w:rPr>
          <w:rFonts w:ascii="Calibri" w:hAnsi="Calibri" w:cs="Calibri"/>
          <w:lang w:val="en-US"/>
        </w:rPr>
      </w:pPr>
    </w:p>
    <w:p w14:paraId="720816A0" w14:textId="77777777" w:rsidR="000C514C" w:rsidRDefault="000C514C" w:rsidP="00FA168B">
      <w:pPr>
        <w:rPr>
          <w:rFonts w:ascii="Calibri" w:hAnsi="Calibri" w:cs="Calibri"/>
          <w:lang w:val="en-US"/>
        </w:rPr>
      </w:pPr>
    </w:p>
    <w:p w14:paraId="55B558FE" w14:textId="77777777" w:rsidR="00294459" w:rsidRDefault="00294459" w:rsidP="00FA168B">
      <w:pPr>
        <w:rPr>
          <w:rFonts w:ascii="Calibri" w:hAnsi="Calibri" w:cs="Calibri"/>
          <w:lang w:val="en-US"/>
        </w:rPr>
      </w:pPr>
    </w:p>
    <w:p w14:paraId="6A796BBA" w14:textId="77777777" w:rsidR="00294459" w:rsidRDefault="00294459" w:rsidP="00FA168B">
      <w:pPr>
        <w:rPr>
          <w:rFonts w:ascii="Calibri" w:hAnsi="Calibri" w:cs="Calibri"/>
          <w:lang w:val="en-US"/>
        </w:rPr>
      </w:pPr>
    </w:p>
    <w:p w14:paraId="690906A1" w14:textId="77777777" w:rsidR="00294459" w:rsidRDefault="00294459" w:rsidP="00FA168B">
      <w:pPr>
        <w:rPr>
          <w:rFonts w:ascii="Calibri" w:hAnsi="Calibri" w:cs="Calibri"/>
          <w:lang w:val="en-US"/>
        </w:rPr>
      </w:pPr>
    </w:p>
    <w:p w14:paraId="2DBB9DCE" w14:textId="77777777" w:rsidR="00294459" w:rsidRDefault="00294459" w:rsidP="00FA168B">
      <w:pPr>
        <w:rPr>
          <w:rFonts w:ascii="Calibri" w:hAnsi="Calibri" w:cs="Calibri"/>
          <w:lang w:val="en-US"/>
        </w:rPr>
      </w:pPr>
    </w:p>
    <w:p w14:paraId="2F23C4B7" w14:textId="77777777" w:rsidR="00294459" w:rsidRDefault="00294459" w:rsidP="00FA168B">
      <w:pPr>
        <w:rPr>
          <w:rFonts w:ascii="Calibri" w:hAnsi="Calibri" w:cs="Calibri"/>
          <w:lang w:val="en-US"/>
        </w:rPr>
      </w:pPr>
    </w:p>
    <w:p w14:paraId="2BE53241" w14:textId="77777777" w:rsidR="00294459" w:rsidRDefault="00294459" w:rsidP="00FA168B">
      <w:pPr>
        <w:rPr>
          <w:rFonts w:ascii="Calibri" w:hAnsi="Calibri" w:cs="Calibri"/>
          <w:lang w:val="en-US"/>
        </w:rPr>
      </w:pPr>
    </w:p>
    <w:p w14:paraId="08CA7324" w14:textId="77777777" w:rsidR="00294459" w:rsidRDefault="00294459" w:rsidP="00FA168B">
      <w:pPr>
        <w:rPr>
          <w:rFonts w:ascii="Calibri" w:hAnsi="Calibri" w:cs="Calibri"/>
          <w:lang w:val="en-US"/>
        </w:rPr>
      </w:pPr>
    </w:p>
    <w:p w14:paraId="229B4FE2" w14:textId="77777777" w:rsidR="0009296C" w:rsidRDefault="0009296C" w:rsidP="00FA168B">
      <w:pPr>
        <w:rPr>
          <w:rFonts w:ascii="Calibri" w:hAnsi="Calibri" w:cs="Calibri"/>
          <w:lang w:val="en-US"/>
        </w:rPr>
      </w:pPr>
    </w:p>
    <w:p w14:paraId="2C86E00A" w14:textId="77777777" w:rsidR="0009296C" w:rsidRDefault="0009296C" w:rsidP="00FA168B">
      <w:pPr>
        <w:rPr>
          <w:rFonts w:ascii="Calibri" w:hAnsi="Calibri" w:cs="Calibri"/>
          <w:lang w:val="en-US"/>
        </w:rPr>
      </w:pPr>
    </w:p>
    <w:p w14:paraId="3D34DDDF" w14:textId="77777777" w:rsidR="00294459" w:rsidRDefault="00294459" w:rsidP="00FA168B">
      <w:pPr>
        <w:rPr>
          <w:rFonts w:ascii="Calibri" w:hAnsi="Calibri" w:cs="Calibri"/>
          <w:lang w:val="en-US"/>
        </w:rPr>
      </w:pPr>
    </w:p>
    <w:p w14:paraId="4B305760" w14:textId="77777777" w:rsidR="00E315E2" w:rsidRPr="00F569AE" w:rsidRDefault="00E315E2" w:rsidP="00FA168B">
      <w:pPr>
        <w:rPr>
          <w:rFonts w:ascii="Calibri" w:hAnsi="Calibri" w:cs="Calibri"/>
          <w:lang w:val="en-US"/>
        </w:rPr>
      </w:pPr>
    </w:p>
    <w:p w14:paraId="0BB2D5A8" w14:textId="4382CB49" w:rsidR="007E75A1" w:rsidRPr="00F569AE" w:rsidRDefault="007055B5" w:rsidP="0033780B">
      <w:pPr>
        <w:pStyle w:val="Heading1"/>
        <w:numPr>
          <w:ilvl w:val="0"/>
          <w:numId w:val="1"/>
        </w:numPr>
        <w:spacing w:line="276" w:lineRule="auto"/>
        <w:jc w:val="both"/>
        <w:rPr>
          <w:rFonts w:ascii="Calibri" w:hAnsi="Calibri" w:cs="Calibri"/>
        </w:rPr>
      </w:pPr>
      <w:bookmarkStart w:id="188" w:name="_Toc210058526"/>
      <w:bookmarkEnd w:id="187"/>
      <w:r w:rsidRPr="00F569AE">
        <w:rPr>
          <w:rFonts w:ascii="Calibri" w:hAnsi="Calibri" w:cs="Calibri"/>
        </w:rPr>
        <w:lastRenderedPageBreak/>
        <w:t>INTRODUCTION</w:t>
      </w:r>
      <w:bookmarkEnd w:id="188"/>
    </w:p>
    <w:p w14:paraId="22B2EF54" w14:textId="71C5F145" w:rsidR="00CC0F82" w:rsidRPr="00F569AE" w:rsidRDefault="00CC0F82" w:rsidP="00CC0F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color w:val="000000"/>
          <w:lang w:val="en-US"/>
        </w:rPr>
      </w:pPr>
      <w:r w:rsidRPr="00F569AE">
        <w:rPr>
          <w:rFonts w:ascii="Calibri" w:eastAsia="Calibri" w:hAnsi="Calibri" w:cs="Calibri"/>
          <w:color w:val="000000"/>
          <w:lang w:val="en-US"/>
        </w:rPr>
        <w:t xml:space="preserve">This document presents the Report of the Final Evaluation of the </w:t>
      </w:r>
      <w:r w:rsidRPr="00F569AE">
        <w:rPr>
          <w:rFonts w:ascii="Calibri" w:hAnsi="Calibri" w:cs="Calibri"/>
          <w:i/>
          <w:color w:val="000000"/>
          <w:lang w:val="en-US"/>
        </w:rPr>
        <w:t>“Municipal Environmental Governance (MEG) Phase II (2021-2025)”</w:t>
      </w:r>
      <w:r w:rsidRPr="00F569AE">
        <w:rPr>
          <w:rFonts w:ascii="Calibri" w:hAnsi="Calibri" w:cs="Calibri"/>
          <w:color w:val="000000"/>
          <w:lang w:val="en-US"/>
        </w:rPr>
        <w:t xml:space="preserve"> project and its integral part, the EU-funded project </w:t>
      </w:r>
      <w:r w:rsidRPr="00F569AE">
        <w:rPr>
          <w:rFonts w:ascii="Calibri" w:hAnsi="Calibri" w:cs="Calibri"/>
          <w:i/>
          <w:color w:val="000000"/>
          <w:lang w:val="en-US"/>
        </w:rPr>
        <w:t>“European Union Support to Sustainable Management of Water Services in Bosnia and Herzegovina (EU4MEG) (2022-2025)”.</w:t>
      </w:r>
      <w:r w:rsidRPr="00F569AE">
        <w:rPr>
          <w:rFonts w:ascii="Calibri" w:hAnsi="Calibri" w:cs="Calibri"/>
          <w:color w:val="000000"/>
          <w:lang w:val="en-US"/>
        </w:rPr>
        <w:t xml:space="preserve"> Hereafter, the MEG/EU4MEG project. The project </w:t>
      </w:r>
      <w:r w:rsidR="00071372" w:rsidRPr="00F569AE">
        <w:rPr>
          <w:rFonts w:ascii="Calibri" w:hAnsi="Calibri" w:cs="Calibri"/>
          <w:color w:val="000000"/>
          <w:lang w:val="en-US"/>
        </w:rPr>
        <w:t>wa</w:t>
      </w:r>
      <w:r w:rsidRPr="00F569AE">
        <w:rPr>
          <w:rFonts w:ascii="Calibri" w:hAnsi="Calibri" w:cs="Calibri"/>
          <w:color w:val="000000"/>
          <w:lang w:val="en-US"/>
        </w:rPr>
        <w:t xml:space="preserve">s in the second phase of its implementation following MEG </w:t>
      </w:r>
      <w:r w:rsidR="00E35152" w:rsidRPr="00F569AE">
        <w:rPr>
          <w:rFonts w:ascii="Calibri" w:hAnsi="Calibri" w:cs="Calibri"/>
          <w:color w:val="000000"/>
          <w:lang w:val="en-US"/>
        </w:rPr>
        <w:t xml:space="preserve">Phase </w:t>
      </w:r>
      <w:r w:rsidRPr="00F569AE">
        <w:rPr>
          <w:rFonts w:ascii="Calibri" w:hAnsi="Calibri" w:cs="Calibri"/>
          <w:color w:val="000000"/>
          <w:lang w:val="en-US"/>
        </w:rPr>
        <w:t xml:space="preserve">I (2016-2020) and spanning the period of April 2021 – March 2025, extended till December 2025 by </w:t>
      </w:r>
      <w:r w:rsidR="00E80765" w:rsidRPr="00F569AE">
        <w:rPr>
          <w:rFonts w:ascii="Calibri" w:hAnsi="Calibri" w:cs="Calibri"/>
          <w:color w:val="000000"/>
          <w:lang w:val="en-US"/>
        </w:rPr>
        <w:t>a no-cost extension</w:t>
      </w:r>
      <w:r w:rsidRPr="00F569AE">
        <w:rPr>
          <w:rFonts w:ascii="Calibri" w:hAnsi="Calibri" w:cs="Calibri"/>
          <w:color w:val="000000"/>
          <w:lang w:val="en-US"/>
        </w:rPr>
        <w:t xml:space="preserve"> agreement. The project </w:t>
      </w:r>
      <w:r w:rsidR="00071372" w:rsidRPr="00F569AE">
        <w:rPr>
          <w:rFonts w:ascii="Calibri" w:hAnsi="Calibri" w:cs="Calibri"/>
          <w:color w:val="000000"/>
          <w:lang w:val="en-US"/>
        </w:rPr>
        <w:t>wa</w:t>
      </w:r>
      <w:r w:rsidRPr="00F569AE">
        <w:rPr>
          <w:rFonts w:ascii="Calibri" w:hAnsi="Calibri" w:cs="Calibri"/>
          <w:color w:val="000000"/>
          <w:lang w:val="en-US"/>
        </w:rPr>
        <w:t xml:space="preserve">s implemented by </w:t>
      </w:r>
      <w:r w:rsidR="00A6026F">
        <w:rPr>
          <w:rFonts w:ascii="Calibri" w:hAnsi="Calibri" w:cs="Calibri"/>
          <w:color w:val="000000"/>
          <w:lang w:val="en-US"/>
        </w:rPr>
        <w:t xml:space="preserve">the </w:t>
      </w:r>
      <w:r w:rsidRPr="00F569AE">
        <w:rPr>
          <w:rFonts w:ascii="Calibri" w:hAnsi="Calibri" w:cs="Calibri"/>
          <w:color w:val="000000"/>
          <w:lang w:val="en-US"/>
        </w:rPr>
        <w:t xml:space="preserve">UNDP Bosnia and Herzegovina (BiH) and funded by the Government of Switzerland, </w:t>
      </w:r>
      <w:r w:rsidR="00E80765" w:rsidRPr="00F569AE">
        <w:rPr>
          <w:rFonts w:ascii="Calibri" w:hAnsi="Calibri" w:cs="Calibri"/>
          <w:color w:val="000000"/>
          <w:lang w:val="en-US"/>
        </w:rPr>
        <w:t xml:space="preserve">the </w:t>
      </w:r>
      <w:r w:rsidRPr="00F569AE">
        <w:rPr>
          <w:rFonts w:ascii="Calibri" w:hAnsi="Calibri" w:cs="Calibri"/>
          <w:color w:val="000000"/>
          <w:lang w:val="en-US"/>
        </w:rPr>
        <w:t xml:space="preserve">Government of Sweden, </w:t>
      </w:r>
      <w:r w:rsidR="00E80765" w:rsidRPr="00F569AE">
        <w:rPr>
          <w:rFonts w:ascii="Calibri" w:hAnsi="Calibri" w:cs="Calibri"/>
          <w:color w:val="000000"/>
          <w:lang w:val="en-US"/>
        </w:rPr>
        <w:t xml:space="preserve">the </w:t>
      </w:r>
      <w:r w:rsidRPr="00F569AE">
        <w:rPr>
          <w:rFonts w:ascii="Calibri" w:hAnsi="Calibri" w:cs="Calibri"/>
          <w:color w:val="000000"/>
          <w:lang w:val="en-US"/>
        </w:rPr>
        <w:t xml:space="preserve">Embassy of the Czech Republic in BiH, </w:t>
      </w:r>
      <w:r w:rsidR="00AF3515">
        <w:rPr>
          <w:rFonts w:ascii="Calibri" w:hAnsi="Calibri" w:cs="Calibri"/>
          <w:color w:val="000000"/>
          <w:lang w:val="en-US"/>
        </w:rPr>
        <w:t xml:space="preserve">and </w:t>
      </w:r>
      <w:r w:rsidR="00E80765" w:rsidRPr="00F569AE">
        <w:rPr>
          <w:rFonts w:ascii="Calibri" w:hAnsi="Calibri" w:cs="Calibri"/>
          <w:color w:val="000000"/>
          <w:lang w:val="en-US"/>
        </w:rPr>
        <w:t xml:space="preserve">the </w:t>
      </w:r>
      <w:r w:rsidRPr="00F569AE">
        <w:rPr>
          <w:rFonts w:ascii="Calibri" w:hAnsi="Calibri" w:cs="Calibri"/>
          <w:color w:val="000000"/>
          <w:lang w:val="en-US"/>
        </w:rPr>
        <w:t>European Delegation in BiH</w:t>
      </w:r>
      <w:r w:rsidR="00AF3515">
        <w:rPr>
          <w:rFonts w:ascii="Calibri" w:hAnsi="Calibri" w:cs="Calibri"/>
          <w:color w:val="000000"/>
          <w:lang w:val="en-US"/>
        </w:rPr>
        <w:t>.</w:t>
      </w:r>
      <w:r w:rsidRPr="00F569AE">
        <w:rPr>
          <w:rFonts w:ascii="Calibri" w:hAnsi="Calibri" w:cs="Calibri"/>
          <w:color w:val="000000"/>
          <w:lang w:val="en-US"/>
        </w:rPr>
        <w:t xml:space="preserve"> </w:t>
      </w:r>
    </w:p>
    <w:p w14:paraId="2C89BE53" w14:textId="77777777" w:rsidR="009F0149" w:rsidRPr="00F569AE" w:rsidRDefault="009F0149" w:rsidP="00CC0F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color w:val="000000"/>
          <w:lang w:val="en-US"/>
        </w:rPr>
      </w:pPr>
    </w:p>
    <w:p w14:paraId="44B46538" w14:textId="7022FB37" w:rsidR="00A6026F" w:rsidRDefault="009F0149" w:rsidP="00CC0F8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color w:val="000000"/>
          <w:lang w:val="en-US"/>
        </w:rPr>
      </w:pPr>
      <w:r w:rsidRPr="00F569AE">
        <w:rPr>
          <w:rFonts w:ascii="Calibri" w:hAnsi="Calibri" w:cs="Calibri"/>
          <w:color w:val="000000"/>
          <w:lang w:val="en-US"/>
        </w:rPr>
        <w:t xml:space="preserve">The evaluation </w:t>
      </w:r>
      <w:r w:rsidR="00A6026F">
        <w:rPr>
          <w:rFonts w:ascii="Calibri" w:hAnsi="Calibri" w:cs="Calibri"/>
          <w:color w:val="000000"/>
          <w:lang w:val="en-US"/>
        </w:rPr>
        <w:t xml:space="preserve">team revised the evaluation questions provided in the evaluation Terms of Reference (ToR) to provide framework </w:t>
      </w:r>
      <w:r w:rsidR="00A6026F" w:rsidRPr="00F569AE">
        <w:rPr>
          <w:rFonts w:ascii="Calibri" w:hAnsi="Calibri" w:cs="Calibri"/>
          <w:color w:val="000000"/>
          <w:lang w:val="en-US"/>
        </w:rPr>
        <w:t>to explore critical aspects of the project performance along the evaluation criteria and achieve the evaluation purpose.</w:t>
      </w:r>
    </w:p>
    <w:p w14:paraId="4594393D" w14:textId="77777777" w:rsidR="00CC0F82" w:rsidRPr="00A6026F" w:rsidRDefault="00CC0F82" w:rsidP="00A6026F">
      <w:pPr>
        <w:rPr>
          <w:rFonts w:ascii="Calibri" w:hAnsi="Calibri" w:cs="Calibri"/>
        </w:rPr>
      </w:pPr>
    </w:p>
    <w:p w14:paraId="134B63EA" w14:textId="118B412F" w:rsidR="009F0149" w:rsidRPr="00F569AE" w:rsidRDefault="009F0149" w:rsidP="009F0149">
      <w:pPr>
        <w:spacing w:line="276" w:lineRule="auto"/>
        <w:jc w:val="both"/>
        <w:rPr>
          <w:rFonts w:ascii="Calibri" w:eastAsia="Calibri" w:hAnsi="Calibri" w:cs="Calibri"/>
          <w:lang w:val="en-US"/>
        </w:rPr>
      </w:pPr>
      <w:r w:rsidRPr="00F569AE">
        <w:rPr>
          <w:rFonts w:ascii="Calibri" w:eastAsia="Calibri" w:hAnsi="Calibri" w:cs="Calibri"/>
          <w:lang w:val="en-US"/>
        </w:rPr>
        <w:t>The</w:t>
      </w:r>
      <w:r w:rsidRPr="00F569AE">
        <w:rPr>
          <w:rFonts w:ascii="Calibri" w:eastAsia="Calibri" w:hAnsi="Calibri" w:cs="Calibri"/>
          <w:i/>
          <w:lang w:val="en-US"/>
        </w:rPr>
        <w:t xml:space="preserve"> primary intended users</w:t>
      </w:r>
      <w:r w:rsidRPr="00F569AE">
        <w:rPr>
          <w:rFonts w:ascii="Calibri" w:eastAsia="Calibri" w:hAnsi="Calibri" w:cs="Calibri"/>
          <w:b/>
          <w:i/>
          <w:lang w:val="en-US"/>
        </w:rPr>
        <w:t xml:space="preserve"> </w:t>
      </w:r>
      <w:r w:rsidRPr="00F569AE">
        <w:rPr>
          <w:rFonts w:ascii="Calibri" w:eastAsia="Calibri" w:hAnsi="Calibri" w:cs="Calibri"/>
          <w:lang w:val="en-US"/>
        </w:rPr>
        <w:t xml:space="preserve">of this evaluation include </w:t>
      </w:r>
      <w:r w:rsidR="00A6026F">
        <w:rPr>
          <w:rFonts w:ascii="Calibri" w:eastAsia="Calibri" w:hAnsi="Calibri" w:cs="Calibri"/>
          <w:lang w:val="en-US"/>
        </w:rPr>
        <w:t xml:space="preserve">the </w:t>
      </w:r>
      <w:r w:rsidRPr="00F569AE">
        <w:rPr>
          <w:rFonts w:ascii="Calibri" w:eastAsia="Calibri" w:hAnsi="Calibri" w:cs="Calibri"/>
          <w:lang w:val="en-US"/>
        </w:rPr>
        <w:t>UNDP BiH, counterparts at the national and local levels, civil society organizations, academia as well as bilateral and multi-lateral donors, regional development partners, and the broader range of development actors and beneficiaries to strengthen their learning about specifics of the project, its implementation and results.</w:t>
      </w:r>
    </w:p>
    <w:p w14:paraId="7E90DF84" w14:textId="77777777" w:rsidR="007055B5" w:rsidRPr="00F569AE" w:rsidRDefault="007055B5" w:rsidP="007055B5">
      <w:pPr>
        <w:rPr>
          <w:rFonts w:ascii="Calibri" w:hAnsi="Calibri" w:cs="Calibri"/>
          <w:lang w:val="en-US"/>
        </w:rPr>
      </w:pPr>
    </w:p>
    <w:p w14:paraId="64F260B5" w14:textId="61120095" w:rsidR="004A1184" w:rsidRPr="00F569AE" w:rsidRDefault="00CC0F82" w:rsidP="00ED0452">
      <w:pPr>
        <w:spacing w:after="200" w:line="276" w:lineRule="auto"/>
        <w:jc w:val="both"/>
        <w:rPr>
          <w:rFonts w:ascii="Calibri" w:hAnsi="Calibri" w:cs="Calibri"/>
          <w:lang w:val="en-US"/>
        </w:rPr>
      </w:pPr>
      <w:r w:rsidRPr="00F569AE">
        <w:rPr>
          <w:rFonts w:ascii="Calibri" w:hAnsi="Calibri" w:cs="Calibri"/>
          <w:lang w:val="en-US"/>
        </w:rPr>
        <w:t xml:space="preserve">The report is designed in </w:t>
      </w:r>
      <w:r w:rsidR="00294459">
        <w:rPr>
          <w:rFonts w:ascii="Calibri" w:hAnsi="Calibri" w:cs="Calibri"/>
          <w:lang w:val="en-US"/>
        </w:rPr>
        <w:t>10</w:t>
      </w:r>
      <w:r w:rsidR="00BF4AC9" w:rsidRPr="00F569AE">
        <w:rPr>
          <w:rFonts w:ascii="Calibri" w:hAnsi="Calibri" w:cs="Calibri"/>
          <w:lang w:val="en-US"/>
        </w:rPr>
        <w:t xml:space="preserve"> </w:t>
      </w:r>
      <w:r w:rsidRPr="00F569AE">
        <w:rPr>
          <w:rFonts w:ascii="Calibri" w:hAnsi="Calibri" w:cs="Calibri"/>
          <w:lang w:val="en-US"/>
        </w:rPr>
        <w:t xml:space="preserve">sections </w:t>
      </w:r>
      <w:r w:rsidR="00294459">
        <w:rPr>
          <w:rFonts w:ascii="Calibri" w:hAnsi="Calibri" w:cs="Calibri"/>
          <w:lang w:val="en-US"/>
        </w:rPr>
        <w:t>including</w:t>
      </w:r>
      <w:r w:rsidRPr="00F569AE">
        <w:rPr>
          <w:rFonts w:ascii="Calibri" w:hAnsi="Calibri" w:cs="Calibri"/>
          <w:lang w:val="en-US"/>
        </w:rPr>
        <w:t xml:space="preserve"> annexes. The current section </w:t>
      </w:r>
      <w:r w:rsidR="00D06489" w:rsidRPr="00F569AE">
        <w:rPr>
          <w:rFonts w:ascii="Calibri" w:hAnsi="Calibri" w:cs="Calibri"/>
          <w:lang w:val="en-US"/>
        </w:rPr>
        <w:t>introduces</w:t>
      </w:r>
      <w:r w:rsidRPr="00F569AE">
        <w:rPr>
          <w:rFonts w:ascii="Calibri" w:hAnsi="Calibri" w:cs="Calibri"/>
          <w:lang w:val="en-US"/>
        </w:rPr>
        <w:t xml:space="preserve"> the report. The second section provides a detailed description of the project. Section three explains the evaluation scope and objectives. Section four </w:t>
      </w:r>
      <w:r w:rsidR="00941DA6" w:rsidRPr="00F569AE">
        <w:rPr>
          <w:rFonts w:ascii="Calibri" w:hAnsi="Calibri" w:cs="Calibri"/>
          <w:lang w:val="en-US"/>
        </w:rPr>
        <w:t>outlines</w:t>
      </w:r>
      <w:r w:rsidRPr="00F569AE">
        <w:rPr>
          <w:rFonts w:ascii="Calibri" w:hAnsi="Calibri" w:cs="Calibri"/>
          <w:lang w:val="en-US"/>
        </w:rPr>
        <w:t xml:space="preserve"> the evaluation approach and methodology. Section five explains the da</w:t>
      </w:r>
      <w:r w:rsidR="00941DA6" w:rsidRPr="00F569AE">
        <w:rPr>
          <w:rFonts w:ascii="Calibri" w:hAnsi="Calibri" w:cs="Calibri"/>
          <w:lang w:val="en-US"/>
        </w:rPr>
        <w:t>t</w:t>
      </w:r>
      <w:r w:rsidRPr="00F569AE">
        <w:rPr>
          <w:rFonts w:ascii="Calibri" w:hAnsi="Calibri" w:cs="Calibri"/>
          <w:lang w:val="en-US"/>
        </w:rPr>
        <w:t xml:space="preserve">a analysis. </w:t>
      </w:r>
      <w:r w:rsidR="00E80765" w:rsidRPr="00F569AE">
        <w:rPr>
          <w:rFonts w:ascii="Calibri" w:hAnsi="Calibri" w:cs="Calibri"/>
          <w:lang w:val="en-US"/>
        </w:rPr>
        <w:t>Section</w:t>
      </w:r>
      <w:r w:rsidRPr="00F569AE">
        <w:rPr>
          <w:rFonts w:ascii="Calibri" w:hAnsi="Calibri" w:cs="Calibri"/>
          <w:lang w:val="en-US"/>
        </w:rPr>
        <w:t xml:space="preserve"> six provides findings per </w:t>
      </w:r>
      <w:r w:rsidR="00DB4E58" w:rsidRPr="00F569AE">
        <w:rPr>
          <w:rFonts w:ascii="Calibri" w:hAnsi="Calibri" w:cs="Calibri"/>
          <w:lang w:val="en-US"/>
        </w:rPr>
        <w:t>evaluation</w:t>
      </w:r>
      <w:r w:rsidRPr="00F569AE">
        <w:rPr>
          <w:rFonts w:ascii="Calibri" w:hAnsi="Calibri" w:cs="Calibri"/>
          <w:lang w:val="en-US"/>
        </w:rPr>
        <w:t xml:space="preserve"> criteria. Section seven </w:t>
      </w:r>
      <w:r w:rsidR="00E35152" w:rsidRPr="00F569AE">
        <w:rPr>
          <w:rFonts w:ascii="Calibri" w:hAnsi="Calibri" w:cs="Calibri"/>
          <w:lang w:val="en-US"/>
        </w:rPr>
        <w:t>outlines the</w:t>
      </w:r>
      <w:r w:rsidRPr="00F569AE">
        <w:rPr>
          <w:rFonts w:ascii="Calibri" w:hAnsi="Calibri" w:cs="Calibri"/>
          <w:lang w:val="en-US"/>
        </w:rPr>
        <w:t xml:space="preserve"> overall conclusion. Section eight </w:t>
      </w:r>
      <w:r w:rsidR="00941DA6" w:rsidRPr="00F569AE">
        <w:rPr>
          <w:rFonts w:ascii="Calibri" w:hAnsi="Calibri" w:cs="Calibri"/>
          <w:lang w:val="en-US"/>
        </w:rPr>
        <w:t>details the evaluation</w:t>
      </w:r>
      <w:r w:rsidRPr="00F569AE">
        <w:rPr>
          <w:rFonts w:ascii="Calibri" w:hAnsi="Calibri" w:cs="Calibri"/>
          <w:lang w:val="en-US"/>
        </w:rPr>
        <w:t xml:space="preserve"> recommendations. </w:t>
      </w:r>
      <w:r w:rsidR="00E35152" w:rsidRPr="00F569AE">
        <w:rPr>
          <w:rFonts w:ascii="Calibri" w:hAnsi="Calibri" w:cs="Calibri"/>
          <w:lang w:val="en-US"/>
        </w:rPr>
        <w:t xml:space="preserve">Section nine lists some lessons learned during this evaluation. </w:t>
      </w:r>
      <w:r w:rsidRPr="00F569AE">
        <w:rPr>
          <w:rFonts w:ascii="Calibri" w:hAnsi="Calibri" w:cs="Calibri"/>
          <w:lang w:val="en-US"/>
        </w:rPr>
        <w:t xml:space="preserve">The document is complemented by a list of annexes </w:t>
      </w:r>
      <w:r w:rsidR="00294459">
        <w:rPr>
          <w:rFonts w:ascii="Calibri" w:hAnsi="Calibri" w:cs="Calibri"/>
          <w:lang w:val="en-US"/>
        </w:rPr>
        <w:t>with</w:t>
      </w:r>
      <w:r w:rsidRPr="00F569AE">
        <w:rPr>
          <w:rFonts w:ascii="Calibri" w:hAnsi="Calibri" w:cs="Calibri"/>
          <w:lang w:val="en-US"/>
        </w:rPr>
        <w:t xml:space="preserve"> additional details.</w:t>
      </w:r>
    </w:p>
    <w:p w14:paraId="2454E0B2" w14:textId="122A6720" w:rsidR="00C417FD" w:rsidRPr="00F569AE" w:rsidRDefault="007055B5" w:rsidP="0033780B">
      <w:pPr>
        <w:pStyle w:val="Heading1"/>
        <w:numPr>
          <w:ilvl w:val="0"/>
          <w:numId w:val="1"/>
        </w:numPr>
        <w:rPr>
          <w:rFonts w:ascii="Calibri" w:hAnsi="Calibri" w:cs="Calibri"/>
        </w:rPr>
      </w:pPr>
      <w:bookmarkStart w:id="189" w:name="_Toc210058527"/>
      <w:r w:rsidRPr="00F569AE">
        <w:rPr>
          <w:rFonts w:ascii="Calibri" w:hAnsi="Calibri" w:cs="Calibri"/>
        </w:rPr>
        <w:t>DESCRIPTION OF THE INTERVENTION</w:t>
      </w:r>
      <w:bookmarkEnd w:id="189"/>
    </w:p>
    <w:p w14:paraId="24782AA7" w14:textId="77777777" w:rsidR="00C417FD" w:rsidRPr="00F569AE" w:rsidRDefault="00C417FD" w:rsidP="007055B5">
      <w:pPr>
        <w:pStyle w:val="p1"/>
        <w:rPr>
          <w:rFonts w:ascii="Calibri" w:hAnsi="Calibri" w:cs="Calibri"/>
        </w:rPr>
      </w:pPr>
    </w:p>
    <w:p w14:paraId="1B01EAB2" w14:textId="2E7139BA" w:rsidR="002039DB" w:rsidRPr="00F569AE" w:rsidRDefault="00C417FD" w:rsidP="002039DB">
      <w:pPr>
        <w:pStyle w:val="p1"/>
        <w:spacing w:line="276" w:lineRule="auto"/>
        <w:jc w:val="both"/>
        <w:rPr>
          <w:rFonts w:ascii="Calibri" w:hAnsi="Calibri" w:cs="Calibri"/>
          <w:b/>
          <w:i/>
          <w:sz w:val="24"/>
          <w:szCs w:val="24"/>
        </w:rPr>
      </w:pPr>
      <w:r w:rsidRPr="00F569AE">
        <w:rPr>
          <w:rFonts w:ascii="Calibri" w:hAnsi="Calibri" w:cs="Calibri"/>
          <w:b/>
          <w:i/>
          <w:sz w:val="24"/>
          <w:szCs w:val="24"/>
        </w:rPr>
        <w:t>Country context</w:t>
      </w:r>
    </w:p>
    <w:p w14:paraId="0B160CFC" w14:textId="23F221A8" w:rsidR="007A45A0" w:rsidRPr="00F569AE" w:rsidRDefault="007A45A0" w:rsidP="0033780B">
      <w:pPr>
        <w:pStyle w:val="p1"/>
        <w:numPr>
          <w:ilvl w:val="0"/>
          <w:numId w:val="4"/>
        </w:numPr>
        <w:spacing w:line="276" w:lineRule="auto"/>
        <w:jc w:val="both"/>
        <w:rPr>
          <w:rFonts w:ascii="Calibri" w:hAnsi="Calibri" w:cs="Calibri"/>
          <w:i/>
          <w:sz w:val="24"/>
          <w:szCs w:val="24"/>
        </w:rPr>
      </w:pPr>
      <w:r w:rsidRPr="00F569AE">
        <w:rPr>
          <w:rFonts w:ascii="Calibri" w:hAnsi="Calibri" w:cs="Calibri"/>
          <w:i/>
          <w:sz w:val="24"/>
          <w:szCs w:val="24"/>
        </w:rPr>
        <w:t>Political and governance context</w:t>
      </w:r>
    </w:p>
    <w:p w14:paraId="55ED5828" w14:textId="3B5703B9" w:rsidR="00A04145" w:rsidRPr="00F569AE" w:rsidRDefault="00FE11FA" w:rsidP="002039DB">
      <w:pPr>
        <w:pStyle w:val="p1"/>
        <w:spacing w:line="276" w:lineRule="auto"/>
        <w:jc w:val="both"/>
        <w:rPr>
          <w:rFonts w:ascii="Calibri" w:hAnsi="Calibri" w:cs="Calibri"/>
          <w:sz w:val="24"/>
          <w:szCs w:val="24"/>
        </w:rPr>
      </w:pPr>
      <w:r w:rsidRPr="00F569AE">
        <w:rPr>
          <w:rFonts w:ascii="Calibri" w:hAnsi="Calibri" w:cs="Calibri"/>
          <w:sz w:val="24"/>
          <w:szCs w:val="24"/>
        </w:rPr>
        <w:t xml:space="preserve">Bosnia and Herzegovina (BiH) is an upper middle-income country in Southeast Europe with </w:t>
      </w:r>
      <w:r w:rsidR="003E2FA0" w:rsidRPr="00F569AE">
        <w:rPr>
          <w:rFonts w:ascii="Calibri" w:hAnsi="Calibri" w:cs="Calibri"/>
          <w:sz w:val="24"/>
          <w:szCs w:val="24"/>
        </w:rPr>
        <w:t xml:space="preserve">a </w:t>
      </w:r>
      <w:r w:rsidRPr="00F569AE">
        <w:rPr>
          <w:rFonts w:ascii="Calibri" w:hAnsi="Calibri" w:cs="Calibri"/>
          <w:sz w:val="24"/>
          <w:szCs w:val="24"/>
        </w:rPr>
        <w:t>population of around 3,5 million in 2024,</w:t>
      </w:r>
      <w:r w:rsidRPr="00F569AE">
        <w:rPr>
          <w:rStyle w:val="FootnoteReference"/>
          <w:rFonts w:ascii="Calibri" w:hAnsi="Calibri" w:cs="Calibri"/>
          <w:sz w:val="24"/>
          <w:szCs w:val="24"/>
        </w:rPr>
        <w:footnoteReference w:id="3"/>
      </w:r>
      <w:r w:rsidRPr="00F569AE">
        <w:rPr>
          <w:rFonts w:ascii="Calibri" w:hAnsi="Calibri" w:cs="Calibri"/>
          <w:sz w:val="24"/>
          <w:szCs w:val="24"/>
        </w:rPr>
        <w:t xml:space="preserve"> bordering Croatia, Serbia and Montenegro.</w:t>
      </w:r>
      <w:r w:rsidR="009F40D4" w:rsidRPr="00F569AE">
        <w:rPr>
          <w:rFonts w:ascii="Calibri" w:hAnsi="Calibri" w:cs="Calibri"/>
          <w:sz w:val="24"/>
          <w:szCs w:val="24"/>
        </w:rPr>
        <w:t xml:space="preserve"> </w:t>
      </w:r>
      <w:r w:rsidR="00A04145" w:rsidRPr="00F569AE">
        <w:rPr>
          <w:rFonts w:ascii="Calibri" w:hAnsi="Calibri" w:cs="Calibri"/>
          <w:sz w:val="24"/>
          <w:szCs w:val="24"/>
        </w:rPr>
        <w:t xml:space="preserve">The war </w:t>
      </w:r>
      <w:r w:rsidR="00E05C70" w:rsidRPr="00F569AE">
        <w:rPr>
          <w:rFonts w:ascii="Calibri" w:hAnsi="Calibri" w:cs="Calibri"/>
          <w:sz w:val="24"/>
          <w:szCs w:val="24"/>
        </w:rPr>
        <w:t xml:space="preserve">in </w:t>
      </w:r>
      <w:r w:rsidR="00E66D51" w:rsidRPr="00F569AE">
        <w:rPr>
          <w:rFonts w:ascii="Calibri" w:hAnsi="Calibri" w:cs="Calibri"/>
          <w:sz w:val="24"/>
          <w:szCs w:val="24"/>
        </w:rPr>
        <w:t>Bosnia-Herzegovina</w:t>
      </w:r>
      <w:r w:rsidR="00E05C70" w:rsidRPr="00F569AE">
        <w:rPr>
          <w:rFonts w:ascii="Calibri" w:hAnsi="Calibri" w:cs="Calibri"/>
          <w:sz w:val="24"/>
          <w:szCs w:val="24"/>
        </w:rPr>
        <w:t xml:space="preserve"> </w:t>
      </w:r>
      <w:r w:rsidR="00A04145" w:rsidRPr="00F569AE">
        <w:rPr>
          <w:rFonts w:ascii="Calibri" w:hAnsi="Calibri" w:cs="Calibri"/>
          <w:sz w:val="24"/>
          <w:szCs w:val="24"/>
        </w:rPr>
        <w:t xml:space="preserve">1992-1995 </w:t>
      </w:r>
      <w:r w:rsidR="00E66D51" w:rsidRPr="00F569AE">
        <w:rPr>
          <w:rFonts w:ascii="Calibri" w:hAnsi="Calibri" w:cs="Calibri"/>
          <w:sz w:val="24"/>
          <w:szCs w:val="24"/>
        </w:rPr>
        <w:t>ended by signing</w:t>
      </w:r>
      <w:r w:rsidR="00A04145" w:rsidRPr="00F569AE">
        <w:rPr>
          <w:rFonts w:ascii="Calibri" w:hAnsi="Calibri" w:cs="Calibri"/>
          <w:sz w:val="24"/>
          <w:szCs w:val="24"/>
        </w:rPr>
        <w:t xml:space="preserve"> t</w:t>
      </w:r>
      <w:r w:rsidR="00A46105" w:rsidRPr="00F569AE">
        <w:rPr>
          <w:rFonts w:ascii="Calibri" w:hAnsi="Calibri" w:cs="Calibri"/>
          <w:sz w:val="24"/>
          <w:szCs w:val="24"/>
        </w:rPr>
        <w:t>he Dayton Peace Agreement</w:t>
      </w:r>
      <w:r w:rsidR="00A6026F">
        <w:rPr>
          <w:rFonts w:ascii="Calibri" w:hAnsi="Calibri" w:cs="Calibri"/>
          <w:sz w:val="24"/>
          <w:szCs w:val="24"/>
        </w:rPr>
        <w:t>,</w:t>
      </w:r>
      <w:r w:rsidR="00A04145" w:rsidRPr="00F569AE">
        <w:rPr>
          <w:rStyle w:val="FootnoteReference"/>
          <w:rFonts w:ascii="Calibri" w:hAnsi="Calibri" w:cs="Calibri"/>
          <w:sz w:val="24"/>
          <w:szCs w:val="24"/>
        </w:rPr>
        <w:footnoteReference w:id="4"/>
      </w:r>
      <w:r w:rsidR="00A04145" w:rsidRPr="00F569AE">
        <w:rPr>
          <w:rFonts w:ascii="Calibri" w:hAnsi="Calibri" w:cs="Calibri"/>
          <w:sz w:val="24"/>
          <w:szCs w:val="24"/>
        </w:rPr>
        <w:t xml:space="preserve"> which </w:t>
      </w:r>
      <w:r w:rsidR="00E66D51" w:rsidRPr="00F569AE">
        <w:rPr>
          <w:rFonts w:ascii="Calibri" w:hAnsi="Calibri" w:cs="Calibri"/>
          <w:sz w:val="24"/>
          <w:szCs w:val="24"/>
        </w:rPr>
        <w:lastRenderedPageBreak/>
        <w:t xml:space="preserve">prescribed the current </w:t>
      </w:r>
      <w:r w:rsidR="00A04145" w:rsidRPr="00F569AE">
        <w:rPr>
          <w:rFonts w:ascii="Calibri" w:hAnsi="Calibri" w:cs="Calibri"/>
          <w:sz w:val="24"/>
          <w:szCs w:val="24"/>
        </w:rPr>
        <w:t xml:space="preserve">BiH Constitution. The </w:t>
      </w:r>
      <w:r w:rsidR="00A6026F">
        <w:rPr>
          <w:rFonts w:ascii="Calibri" w:hAnsi="Calibri" w:cs="Calibri"/>
          <w:sz w:val="24"/>
          <w:szCs w:val="24"/>
        </w:rPr>
        <w:t>latter</w:t>
      </w:r>
      <w:r w:rsidR="00A04145" w:rsidRPr="00F569AE">
        <w:rPr>
          <w:rFonts w:ascii="Calibri" w:hAnsi="Calibri" w:cs="Calibri"/>
          <w:sz w:val="24"/>
          <w:szCs w:val="24"/>
        </w:rPr>
        <w:t xml:space="preserve"> institute</w:t>
      </w:r>
      <w:r w:rsidR="00E66D51" w:rsidRPr="00F569AE">
        <w:rPr>
          <w:rFonts w:ascii="Calibri" w:hAnsi="Calibri" w:cs="Calibri"/>
          <w:sz w:val="24"/>
          <w:szCs w:val="24"/>
        </w:rPr>
        <w:t>s</w:t>
      </w:r>
      <w:r w:rsidR="00A04145" w:rsidRPr="00F569AE">
        <w:rPr>
          <w:rFonts w:ascii="Calibri" w:hAnsi="Calibri" w:cs="Calibri"/>
          <w:sz w:val="24"/>
          <w:szCs w:val="24"/>
        </w:rPr>
        <w:t xml:space="preserve"> a multi-ethnic system of government with an asymmetric and complex governance system</w:t>
      </w:r>
      <w:r w:rsidR="00A04145" w:rsidRPr="00F569AE">
        <w:rPr>
          <w:rStyle w:val="FootnoteReference"/>
          <w:rFonts w:ascii="Calibri" w:hAnsi="Calibri" w:cs="Calibri"/>
          <w:sz w:val="24"/>
          <w:szCs w:val="24"/>
        </w:rPr>
        <w:footnoteReference w:id="5"/>
      </w:r>
      <w:r w:rsidR="00A04145" w:rsidRPr="00F569AE">
        <w:rPr>
          <w:rFonts w:ascii="Calibri" w:hAnsi="Calibri" w:cs="Calibri"/>
          <w:sz w:val="24"/>
          <w:szCs w:val="24"/>
        </w:rPr>
        <w:t xml:space="preserve"> based on consociationalism.</w:t>
      </w:r>
      <w:r w:rsidR="00A04145" w:rsidRPr="00F569AE">
        <w:rPr>
          <w:rStyle w:val="FootnoteReference"/>
          <w:rFonts w:ascii="Calibri" w:hAnsi="Calibri" w:cs="Calibri"/>
          <w:sz w:val="24"/>
          <w:szCs w:val="24"/>
        </w:rPr>
        <w:footnoteReference w:id="6"/>
      </w:r>
      <w:r w:rsidR="00A04145" w:rsidRPr="00F569AE">
        <w:rPr>
          <w:rFonts w:ascii="Calibri" w:hAnsi="Calibri" w:cs="Calibri"/>
          <w:sz w:val="24"/>
          <w:szCs w:val="24"/>
        </w:rPr>
        <w:t xml:space="preserve"> The </w:t>
      </w:r>
      <w:r w:rsidR="00E97A64" w:rsidRPr="00F569AE">
        <w:rPr>
          <w:rFonts w:ascii="Calibri" w:hAnsi="Calibri" w:cs="Calibri"/>
          <w:sz w:val="24"/>
          <w:szCs w:val="24"/>
        </w:rPr>
        <w:t xml:space="preserve">tripartite </w:t>
      </w:r>
      <w:r w:rsidR="00A04145" w:rsidRPr="00F569AE">
        <w:rPr>
          <w:rFonts w:ascii="Calibri" w:hAnsi="Calibri" w:cs="Calibri"/>
          <w:sz w:val="24"/>
          <w:szCs w:val="24"/>
        </w:rPr>
        <w:t xml:space="preserve">Presidency is composed of three members from each of the </w:t>
      </w:r>
      <w:r w:rsidR="003E2FA0" w:rsidRPr="00F569AE">
        <w:rPr>
          <w:rFonts w:ascii="Calibri" w:hAnsi="Calibri" w:cs="Calibri"/>
          <w:sz w:val="24"/>
          <w:szCs w:val="24"/>
        </w:rPr>
        <w:t xml:space="preserve">constituent </w:t>
      </w:r>
      <w:r w:rsidR="00A04145" w:rsidRPr="00F569AE">
        <w:rPr>
          <w:rFonts w:ascii="Calibri" w:hAnsi="Calibri" w:cs="Calibri"/>
          <w:sz w:val="24"/>
          <w:szCs w:val="24"/>
        </w:rPr>
        <w:t xml:space="preserve">nations: </w:t>
      </w:r>
      <w:r w:rsidR="00CE3988" w:rsidRPr="00F569AE">
        <w:rPr>
          <w:rFonts w:ascii="Calibri" w:hAnsi="Calibri" w:cs="Calibri"/>
          <w:sz w:val="24"/>
          <w:szCs w:val="24"/>
        </w:rPr>
        <w:t>Bosniacs, Croats, and Serbs</w:t>
      </w:r>
      <w:r w:rsidR="00A04145" w:rsidRPr="00F569AE">
        <w:rPr>
          <w:rFonts w:ascii="Calibri" w:hAnsi="Calibri" w:cs="Calibri"/>
          <w:sz w:val="24"/>
          <w:szCs w:val="24"/>
        </w:rPr>
        <w:t xml:space="preserve">. The Head of State is the Chairman of the </w:t>
      </w:r>
      <w:r w:rsidR="00CE3988" w:rsidRPr="00F569AE">
        <w:rPr>
          <w:rFonts w:ascii="Calibri" w:hAnsi="Calibri" w:cs="Calibri"/>
          <w:sz w:val="24"/>
          <w:szCs w:val="24"/>
        </w:rPr>
        <w:t xml:space="preserve">tripartite </w:t>
      </w:r>
      <w:r w:rsidR="00A04145" w:rsidRPr="00F569AE">
        <w:rPr>
          <w:rFonts w:ascii="Calibri" w:hAnsi="Calibri" w:cs="Calibri"/>
          <w:sz w:val="24"/>
          <w:szCs w:val="24"/>
        </w:rPr>
        <w:t xml:space="preserve">Presidency. </w:t>
      </w:r>
      <w:r w:rsidR="000B1B69" w:rsidRPr="00F569AE">
        <w:rPr>
          <w:rFonts w:ascii="Calibri" w:hAnsi="Calibri" w:cs="Calibri"/>
          <w:sz w:val="24"/>
          <w:szCs w:val="24"/>
        </w:rPr>
        <w:t>The Dayton Agreement established the role of a High Representative</w:t>
      </w:r>
      <w:r w:rsidR="000B1B69" w:rsidRPr="00F569AE">
        <w:rPr>
          <w:rStyle w:val="FootnoteReference"/>
          <w:rFonts w:ascii="Calibri" w:hAnsi="Calibri" w:cs="Calibri"/>
          <w:sz w:val="24"/>
          <w:szCs w:val="24"/>
        </w:rPr>
        <w:footnoteReference w:id="7"/>
      </w:r>
      <w:r w:rsidR="000B1B69" w:rsidRPr="00F569AE">
        <w:rPr>
          <w:rFonts w:ascii="Calibri" w:hAnsi="Calibri" w:cs="Calibri"/>
          <w:sz w:val="24"/>
          <w:szCs w:val="24"/>
        </w:rPr>
        <w:t xml:space="preserve"> appointed by the UN Security Council to oversee the civilian implementation of the peace settlement. </w:t>
      </w:r>
      <w:r w:rsidR="00EF271F" w:rsidRPr="00F569AE">
        <w:rPr>
          <w:rFonts w:ascii="Calibri" w:hAnsi="Calibri" w:cs="Calibri"/>
          <w:sz w:val="24"/>
          <w:szCs w:val="24"/>
        </w:rPr>
        <w:t>As of 2024, t</w:t>
      </w:r>
      <w:r w:rsidR="000B1B69" w:rsidRPr="00F569AE">
        <w:rPr>
          <w:rFonts w:ascii="Calibri" w:hAnsi="Calibri" w:cs="Calibri"/>
          <w:sz w:val="24"/>
          <w:szCs w:val="24"/>
        </w:rPr>
        <w:t>he BiH remains within the ‘warning’ category of the Fragile State Index (FSI) ranked as 77</w:t>
      </w:r>
      <w:r w:rsidR="000B1B69" w:rsidRPr="00F569AE">
        <w:rPr>
          <w:rFonts w:ascii="Calibri" w:hAnsi="Calibri" w:cs="Calibri"/>
          <w:sz w:val="24"/>
          <w:szCs w:val="24"/>
          <w:vertAlign w:val="superscript"/>
        </w:rPr>
        <w:t>th</w:t>
      </w:r>
      <w:r w:rsidR="000B1B69" w:rsidRPr="00F569AE">
        <w:rPr>
          <w:rFonts w:ascii="Calibri" w:hAnsi="Calibri" w:cs="Calibri"/>
          <w:sz w:val="24"/>
          <w:szCs w:val="24"/>
        </w:rPr>
        <w:t xml:space="preserve"> out of 179 countries.</w:t>
      </w:r>
      <w:r w:rsidR="000B1B69" w:rsidRPr="00F569AE">
        <w:rPr>
          <w:rStyle w:val="FootnoteReference"/>
          <w:rFonts w:ascii="Calibri" w:hAnsi="Calibri" w:cs="Calibri"/>
          <w:sz w:val="24"/>
          <w:szCs w:val="24"/>
        </w:rPr>
        <w:footnoteReference w:id="8"/>
      </w:r>
    </w:p>
    <w:p w14:paraId="175B326B" w14:textId="77777777" w:rsidR="00A04145" w:rsidRPr="00F569AE" w:rsidRDefault="00A04145" w:rsidP="00953668">
      <w:pPr>
        <w:pStyle w:val="p1"/>
        <w:spacing w:line="276" w:lineRule="auto"/>
        <w:jc w:val="both"/>
        <w:rPr>
          <w:rFonts w:ascii="Calibri" w:hAnsi="Calibri" w:cs="Calibri"/>
          <w:sz w:val="24"/>
          <w:szCs w:val="24"/>
        </w:rPr>
      </w:pPr>
    </w:p>
    <w:p w14:paraId="0CA8EAD8" w14:textId="61CB21C6" w:rsidR="00A46105" w:rsidRPr="00F569AE" w:rsidRDefault="00D65DDA" w:rsidP="00953668">
      <w:pPr>
        <w:pStyle w:val="p1"/>
        <w:spacing w:line="276" w:lineRule="auto"/>
        <w:jc w:val="both"/>
        <w:rPr>
          <w:rFonts w:ascii="Calibri" w:hAnsi="Calibri" w:cs="Calibri"/>
          <w:sz w:val="24"/>
          <w:szCs w:val="24"/>
        </w:rPr>
      </w:pPr>
      <w:r w:rsidRPr="00F569AE">
        <w:rPr>
          <w:rFonts w:ascii="Calibri" w:hAnsi="Calibri" w:cs="Calibri"/>
          <w:sz w:val="24"/>
          <w:szCs w:val="24"/>
        </w:rPr>
        <w:t>The Dayton Accord</w:t>
      </w:r>
      <w:r w:rsidR="00D715BF" w:rsidRPr="00F569AE">
        <w:rPr>
          <w:rFonts w:ascii="Calibri" w:hAnsi="Calibri" w:cs="Calibri"/>
          <w:sz w:val="24"/>
          <w:szCs w:val="24"/>
        </w:rPr>
        <w:t xml:space="preserve"> </w:t>
      </w:r>
      <w:r w:rsidRPr="00F569AE">
        <w:rPr>
          <w:rFonts w:ascii="Calibri" w:hAnsi="Calibri" w:cs="Calibri"/>
          <w:sz w:val="24"/>
          <w:szCs w:val="24"/>
        </w:rPr>
        <w:t>set</w:t>
      </w:r>
      <w:r w:rsidR="00A04145" w:rsidRPr="00F569AE">
        <w:rPr>
          <w:rFonts w:ascii="Calibri" w:hAnsi="Calibri" w:cs="Calibri"/>
          <w:sz w:val="24"/>
          <w:szCs w:val="24"/>
        </w:rPr>
        <w:t xml:space="preserve"> a </w:t>
      </w:r>
      <w:r w:rsidR="00A46105" w:rsidRPr="00F569AE">
        <w:rPr>
          <w:rFonts w:ascii="Calibri" w:hAnsi="Calibri" w:cs="Calibri"/>
          <w:sz w:val="24"/>
          <w:szCs w:val="24"/>
        </w:rPr>
        <w:t>highly</w:t>
      </w:r>
      <w:r w:rsidR="00953668" w:rsidRPr="00F569AE">
        <w:rPr>
          <w:rFonts w:ascii="Calibri" w:hAnsi="Calibri" w:cs="Calibri"/>
          <w:sz w:val="24"/>
          <w:szCs w:val="24"/>
        </w:rPr>
        <w:t xml:space="preserve"> </w:t>
      </w:r>
      <w:r w:rsidR="00A46105" w:rsidRPr="00F569AE">
        <w:rPr>
          <w:rFonts w:ascii="Calibri" w:hAnsi="Calibri" w:cs="Calibri"/>
          <w:sz w:val="24"/>
          <w:szCs w:val="24"/>
        </w:rPr>
        <w:t xml:space="preserve">complex governance structure within the country </w:t>
      </w:r>
      <w:r w:rsidR="00A04145" w:rsidRPr="00F569AE">
        <w:rPr>
          <w:rFonts w:ascii="Calibri" w:hAnsi="Calibri" w:cs="Calibri"/>
          <w:sz w:val="24"/>
          <w:szCs w:val="24"/>
        </w:rPr>
        <w:t>and establish</w:t>
      </w:r>
      <w:r w:rsidR="004C3BFD" w:rsidRPr="00F569AE">
        <w:rPr>
          <w:rFonts w:ascii="Calibri" w:hAnsi="Calibri" w:cs="Calibri"/>
          <w:sz w:val="24"/>
          <w:szCs w:val="24"/>
        </w:rPr>
        <w:t>ed</w:t>
      </w:r>
      <w:r w:rsidR="00A04145" w:rsidRPr="00F569AE">
        <w:rPr>
          <w:rFonts w:ascii="Calibri" w:hAnsi="Calibri" w:cs="Calibri"/>
          <w:sz w:val="24"/>
          <w:szCs w:val="24"/>
        </w:rPr>
        <w:t xml:space="preserve"> a federal </w:t>
      </w:r>
      <w:r w:rsidR="00CE3988" w:rsidRPr="00F569AE">
        <w:rPr>
          <w:rFonts w:ascii="Calibri" w:hAnsi="Calibri" w:cs="Calibri"/>
          <w:sz w:val="24"/>
          <w:szCs w:val="24"/>
        </w:rPr>
        <w:t>state</w:t>
      </w:r>
      <w:r w:rsidR="00A04145" w:rsidRPr="00F569AE">
        <w:rPr>
          <w:rFonts w:ascii="Calibri" w:hAnsi="Calibri" w:cs="Calibri"/>
          <w:sz w:val="24"/>
          <w:szCs w:val="24"/>
        </w:rPr>
        <w:t xml:space="preserve"> with two </w:t>
      </w:r>
      <w:r w:rsidR="000B1B69" w:rsidRPr="00F569AE">
        <w:rPr>
          <w:rFonts w:ascii="Calibri" w:hAnsi="Calibri" w:cs="Calibri"/>
          <w:sz w:val="24"/>
          <w:szCs w:val="24"/>
        </w:rPr>
        <w:t>highly autonomous</w:t>
      </w:r>
      <w:r w:rsidR="00A04145" w:rsidRPr="00F569AE">
        <w:rPr>
          <w:rFonts w:ascii="Calibri" w:hAnsi="Calibri" w:cs="Calibri"/>
          <w:sz w:val="24"/>
          <w:szCs w:val="24"/>
        </w:rPr>
        <w:t xml:space="preserve"> entities: the Federation of Bosnia and Herzegovina (FBiH) </w:t>
      </w:r>
      <w:r w:rsidR="00CE3988" w:rsidRPr="00F569AE">
        <w:rPr>
          <w:rFonts w:ascii="Calibri" w:hAnsi="Calibri" w:cs="Calibri"/>
          <w:sz w:val="24"/>
          <w:szCs w:val="24"/>
        </w:rPr>
        <w:t>with</w:t>
      </w:r>
      <w:r w:rsidR="00A04145" w:rsidRPr="00F569AE">
        <w:rPr>
          <w:rFonts w:ascii="Calibri" w:hAnsi="Calibri" w:cs="Calibri"/>
          <w:sz w:val="24"/>
          <w:szCs w:val="24"/>
        </w:rPr>
        <w:t xml:space="preserve"> 10 cantons and Republi</w:t>
      </w:r>
      <w:r w:rsidR="00BB1F23" w:rsidRPr="00F569AE">
        <w:rPr>
          <w:rFonts w:ascii="Calibri" w:hAnsi="Calibri" w:cs="Calibri"/>
          <w:sz w:val="24"/>
          <w:szCs w:val="24"/>
        </w:rPr>
        <w:t>k</w:t>
      </w:r>
      <w:r w:rsidR="00A04145" w:rsidRPr="00F569AE">
        <w:rPr>
          <w:rFonts w:ascii="Calibri" w:hAnsi="Calibri" w:cs="Calibri"/>
          <w:sz w:val="24"/>
          <w:szCs w:val="24"/>
        </w:rPr>
        <w:t>a Srpska (RS). Br</w:t>
      </w:r>
      <w:r w:rsidR="00683712" w:rsidRPr="00F569AE">
        <w:rPr>
          <w:rFonts w:ascii="Calibri" w:hAnsi="Calibri" w:cs="Calibri"/>
          <w:sz w:val="24"/>
          <w:szCs w:val="24"/>
        </w:rPr>
        <w:t>č</w:t>
      </w:r>
      <w:r w:rsidR="00A04145" w:rsidRPr="00F569AE">
        <w:rPr>
          <w:rFonts w:ascii="Calibri" w:hAnsi="Calibri" w:cs="Calibri"/>
          <w:sz w:val="24"/>
          <w:szCs w:val="24"/>
        </w:rPr>
        <w:t>ko District</w:t>
      </w:r>
      <w:r w:rsidR="00A04145" w:rsidRPr="00F569AE">
        <w:rPr>
          <w:rStyle w:val="FootnoteReference"/>
          <w:rFonts w:ascii="Calibri" w:hAnsi="Calibri" w:cs="Calibri"/>
          <w:sz w:val="24"/>
          <w:szCs w:val="24"/>
        </w:rPr>
        <w:footnoteReference w:id="9"/>
      </w:r>
      <w:r w:rsidR="00A04145" w:rsidRPr="00F569AE">
        <w:rPr>
          <w:rFonts w:ascii="Calibri" w:hAnsi="Calibri" w:cs="Calibri"/>
          <w:sz w:val="24"/>
          <w:szCs w:val="24"/>
        </w:rPr>
        <w:t xml:space="preserve"> formally belongs to both FBiH and RS but operates as an independent unit of local self-government, as a third </w:t>
      </w:r>
      <w:r w:rsidR="00A04145" w:rsidRPr="00F569AE">
        <w:rPr>
          <w:rFonts w:ascii="Calibri" w:hAnsi="Calibri" w:cs="Calibri"/>
          <w:i/>
          <w:sz w:val="24"/>
          <w:szCs w:val="24"/>
        </w:rPr>
        <w:t>de facto</w:t>
      </w:r>
      <w:r w:rsidR="00A04145" w:rsidRPr="00F569AE">
        <w:rPr>
          <w:rFonts w:ascii="Calibri" w:hAnsi="Calibri" w:cs="Calibri"/>
          <w:sz w:val="24"/>
          <w:szCs w:val="24"/>
        </w:rPr>
        <w:t xml:space="preserve"> entity in BiH under international supervision. </w:t>
      </w:r>
    </w:p>
    <w:p w14:paraId="30E9DB09" w14:textId="77777777" w:rsidR="002039DB" w:rsidRPr="00F569AE" w:rsidRDefault="002039DB" w:rsidP="00953668">
      <w:pPr>
        <w:pStyle w:val="p1"/>
        <w:spacing w:line="276" w:lineRule="auto"/>
        <w:jc w:val="both"/>
        <w:rPr>
          <w:rFonts w:ascii="Calibri" w:hAnsi="Calibri" w:cs="Calibri"/>
          <w:sz w:val="24"/>
          <w:szCs w:val="24"/>
        </w:rPr>
      </w:pPr>
    </w:p>
    <w:p w14:paraId="7B4E9DEA" w14:textId="70D8C78B" w:rsidR="002039DB" w:rsidRPr="00F569AE" w:rsidRDefault="002039DB" w:rsidP="00953668">
      <w:pPr>
        <w:pStyle w:val="p1"/>
        <w:spacing w:line="276" w:lineRule="auto"/>
        <w:jc w:val="both"/>
        <w:rPr>
          <w:rFonts w:ascii="Calibri" w:hAnsi="Calibri" w:cs="Calibri"/>
          <w:sz w:val="24"/>
          <w:szCs w:val="24"/>
        </w:rPr>
      </w:pPr>
      <w:r w:rsidRPr="00F569AE">
        <w:rPr>
          <w:rFonts w:ascii="Calibri" w:hAnsi="Calibri" w:cs="Calibri"/>
          <w:sz w:val="24"/>
          <w:szCs w:val="24"/>
        </w:rPr>
        <w:t xml:space="preserve">BiH </w:t>
      </w:r>
      <w:r w:rsidR="003C18AB" w:rsidRPr="00F569AE">
        <w:rPr>
          <w:rFonts w:ascii="Calibri" w:hAnsi="Calibri" w:cs="Calibri"/>
          <w:sz w:val="24"/>
          <w:szCs w:val="24"/>
        </w:rPr>
        <w:t xml:space="preserve">has been </w:t>
      </w:r>
      <w:r w:rsidRPr="00F569AE">
        <w:rPr>
          <w:rFonts w:ascii="Calibri" w:hAnsi="Calibri" w:cs="Calibri"/>
          <w:sz w:val="24"/>
          <w:szCs w:val="24"/>
        </w:rPr>
        <w:t>on the path to European Union accession since 2016</w:t>
      </w:r>
      <w:r w:rsidR="00E97A64" w:rsidRPr="00F569AE">
        <w:rPr>
          <w:rFonts w:ascii="Calibri" w:hAnsi="Calibri" w:cs="Calibri"/>
          <w:sz w:val="24"/>
          <w:szCs w:val="24"/>
        </w:rPr>
        <w:t xml:space="preserve">; </w:t>
      </w:r>
      <w:r w:rsidR="002B25F8" w:rsidRPr="00F569AE">
        <w:rPr>
          <w:rFonts w:ascii="Calibri" w:hAnsi="Calibri" w:cs="Calibri"/>
          <w:sz w:val="24"/>
          <w:szCs w:val="24"/>
        </w:rPr>
        <w:t xml:space="preserve">it </w:t>
      </w:r>
      <w:r w:rsidRPr="00F569AE">
        <w:rPr>
          <w:rFonts w:ascii="Calibri" w:hAnsi="Calibri" w:cs="Calibri"/>
          <w:sz w:val="24"/>
          <w:szCs w:val="24"/>
        </w:rPr>
        <w:t>applied for membership</w:t>
      </w:r>
      <w:r w:rsidR="00092297" w:rsidRPr="00F569AE">
        <w:rPr>
          <w:rFonts w:ascii="Calibri" w:hAnsi="Calibri" w:cs="Calibri"/>
          <w:sz w:val="24"/>
          <w:szCs w:val="24"/>
        </w:rPr>
        <w:t xml:space="preserve"> </w:t>
      </w:r>
      <w:r w:rsidRPr="00F569AE">
        <w:rPr>
          <w:rFonts w:ascii="Calibri" w:hAnsi="Calibri" w:cs="Calibri"/>
          <w:sz w:val="24"/>
          <w:szCs w:val="24"/>
        </w:rPr>
        <w:t xml:space="preserve">and </w:t>
      </w:r>
      <w:r w:rsidR="00D65DDA" w:rsidRPr="00F569AE">
        <w:rPr>
          <w:rFonts w:ascii="Calibri" w:hAnsi="Calibri" w:cs="Calibri"/>
          <w:sz w:val="24"/>
          <w:szCs w:val="24"/>
        </w:rPr>
        <w:t>was</w:t>
      </w:r>
      <w:r w:rsidRPr="00F569AE">
        <w:rPr>
          <w:rFonts w:ascii="Calibri" w:hAnsi="Calibri" w:cs="Calibri"/>
          <w:sz w:val="24"/>
          <w:szCs w:val="24"/>
        </w:rPr>
        <w:t xml:space="preserve"> granted candidate status in 2022. The EU accession </w:t>
      </w:r>
      <w:r w:rsidR="00D65DDA" w:rsidRPr="00F569AE">
        <w:rPr>
          <w:rFonts w:ascii="Calibri" w:hAnsi="Calibri" w:cs="Calibri"/>
          <w:sz w:val="24"/>
          <w:szCs w:val="24"/>
        </w:rPr>
        <w:t>i</w:t>
      </w:r>
      <w:r w:rsidRPr="00F569AE">
        <w:rPr>
          <w:rFonts w:ascii="Calibri" w:hAnsi="Calibri" w:cs="Calibri"/>
          <w:sz w:val="24"/>
          <w:szCs w:val="24"/>
        </w:rPr>
        <w:t xml:space="preserve">s constrained by </w:t>
      </w:r>
      <w:r w:rsidRPr="00F569AE">
        <w:rPr>
          <w:rFonts w:ascii="Calibri" w:hAnsi="Calibri" w:cs="Calibri"/>
          <w:i/>
          <w:sz w:val="24"/>
          <w:szCs w:val="24"/>
        </w:rPr>
        <w:t>limited reform progress, frequent institutional and political deadlocks that hamper public sector performance and weaken citizens’ trust in government</w:t>
      </w:r>
      <w:r w:rsidRPr="00F569AE">
        <w:rPr>
          <w:rFonts w:ascii="Calibri" w:hAnsi="Calibri" w:cs="Calibri"/>
          <w:sz w:val="24"/>
          <w:szCs w:val="24"/>
        </w:rPr>
        <w:t>.</w:t>
      </w:r>
      <w:r w:rsidRPr="00F569AE">
        <w:rPr>
          <w:rStyle w:val="FootnoteReference"/>
          <w:rFonts w:ascii="Calibri" w:hAnsi="Calibri" w:cs="Calibri"/>
          <w:sz w:val="24"/>
          <w:szCs w:val="24"/>
        </w:rPr>
        <w:footnoteReference w:id="10"/>
      </w:r>
      <w:r w:rsidRPr="00F569AE">
        <w:rPr>
          <w:rFonts w:ascii="Calibri" w:hAnsi="Calibri" w:cs="Calibri"/>
          <w:sz w:val="24"/>
          <w:szCs w:val="24"/>
        </w:rPr>
        <w:t xml:space="preserve"> </w:t>
      </w:r>
    </w:p>
    <w:p w14:paraId="2DE28E6B" w14:textId="77777777" w:rsidR="00A46105" w:rsidRPr="00F569AE" w:rsidRDefault="00A46105" w:rsidP="00A46105">
      <w:pPr>
        <w:pStyle w:val="p1"/>
        <w:spacing w:line="276" w:lineRule="auto"/>
        <w:rPr>
          <w:rFonts w:ascii="Calibri" w:hAnsi="Calibri" w:cs="Calibri"/>
          <w:sz w:val="24"/>
          <w:szCs w:val="24"/>
        </w:rPr>
      </w:pPr>
    </w:p>
    <w:p w14:paraId="4C2E7E07" w14:textId="449AE091" w:rsidR="007A45A0" w:rsidRPr="00F569AE" w:rsidRDefault="007A45A0" w:rsidP="0033780B">
      <w:pPr>
        <w:pStyle w:val="p1"/>
        <w:numPr>
          <w:ilvl w:val="0"/>
          <w:numId w:val="4"/>
        </w:numPr>
        <w:spacing w:line="276" w:lineRule="auto"/>
        <w:jc w:val="both"/>
        <w:rPr>
          <w:rFonts w:ascii="Calibri" w:hAnsi="Calibri" w:cs="Calibri"/>
          <w:i/>
          <w:sz w:val="24"/>
          <w:szCs w:val="24"/>
        </w:rPr>
      </w:pPr>
      <w:r w:rsidRPr="00F569AE">
        <w:rPr>
          <w:rFonts w:ascii="Calibri" w:hAnsi="Calibri" w:cs="Calibri"/>
          <w:i/>
          <w:sz w:val="24"/>
          <w:szCs w:val="24"/>
        </w:rPr>
        <w:t>Development context</w:t>
      </w:r>
    </w:p>
    <w:p w14:paraId="31270C6F" w14:textId="56758B27" w:rsidR="00381620" w:rsidRPr="00381620" w:rsidRDefault="00381620" w:rsidP="00012988">
      <w:pPr>
        <w:pStyle w:val="p1"/>
        <w:spacing w:line="276" w:lineRule="auto"/>
        <w:jc w:val="both"/>
        <w:rPr>
          <w:rFonts w:ascii="Calibri" w:hAnsi="Calibri" w:cs="Calibri"/>
          <w:sz w:val="24"/>
          <w:szCs w:val="24"/>
          <w:u w:val="single"/>
        </w:rPr>
      </w:pPr>
      <w:r w:rsidRPr="00381620">
        <w:rPr>
          <w:rFonts w:ascii="Calibri" w:hAnsi="Calibri" w:cs="Calibri"/>
          <w:sz w:val="24"/>
          <w:szCs w:val="24"/>
          <w:u w:val="single"/>
        </w:rPr>
        <w:t>Policy context</w:t>
      </w:r>
    </w:p>
    <w:p w14:paraId="0D588794" w14:textId="1076DFE5" w:rsidR="00644A2D" w:rsidRPr="00F569AE" w:rsidRDefault="00583A20" w:rsidP="00012988">
      <w:pPr>
        <w:pStyle w:val="p1"/>
        <w:spacing w:line="276" w:lineRule="auto"/>
        <w:jc w:val="both"/>
        <w:rPr>
          <w:rFonts w:ascii="Calibri" w:hAnsi="Calibri" w:cs="Calibri"/>
          <w:sz w:val="24"/>
          <w:szCs w:val="24"/>
        </w:rPr>
      </w:pPr>
      <w:r w:rsidRPr="00583A20">
        <w:rPr>
          <w:rFonts w:ascii="Calibri" w:hAnsi="Calibri" w:cs="Calibri"/>
          <w:sz w:val="24"/>
          <w:szCs w:val="24"/>
        </w:rPr>
        <w:t xml:space="preserve">BiH has not had an overarching development strategy since 2006, largely due to persistent political complexities. </w:t>
      </w:r>
      <w:r w:rsidR="007A45A0" w:rsidRPr="00F569AE">
        <w:rPr>
          <w:rFonts w:ascii="Calibri" w:hAnsi="Calibri" w:cs="Calibri"/>
          <w:sz w:val="24"/>
          <w:szCs w:val="24"/>
        </w:rPr>
        <w:t xml:space="preserve">In 2021, the BiH adopted </w:t>
      </w:r>
      <w:r w:rsidR="00683712" w:rsidRPr="00F569AE">
        <w:rPr>
          <w:rFonts w:ascii="Calibri" w:hAnsi="Calibri" w:cs="Calibri"/>
          <w:sz w:val="24"/>
          <w:szCs w:val="24"/>
        </w:rPr>
        <w:t>“</w:t>
      </w:r>
      <w:r w:rsidR="007A45A0" w:rsidRPr="00F569AE">
        <w:rPr>
          <w:rFonts w:ascii="Calibri" w:hAnsi="Calibri" w:cs="Calibri"/>
          <w:i/>
          <w:sz w:val="24"/>
          <w:szCs w:val="24"/>
        </w:rPr>
        <w:t>Framework for Implementation of SDGs in Bosnia and Herzegovina</w:t>
      </w:r>
      <w:r w:rsidR="00683712" w:rsidRPr="00F569AE">
        <w:rPr>
          <w:rFonts w:ascii="Calibri" w:hAnsi="Calibri" w:cs="Calibri"/>
          <w:sz w:val="24"/>
          <w:szCs w:val="24"/>
        </w:rPr>
        <w:t>”</w:t>
      </w:r>
      <w:r w:rsidR="007A45A0" w:rsidRPr="00F569AE">
        <w:rPr>
          <w:rFonts w:ascii="Calibri" w:hAnsi="Calibri" w:cs="Calibri"/>
          <w:sz w:val="24"/>
          <w:szCs w:val="24"/>
        </w:rPr>
        <w:t>,</w:t>
      </w:r>
      <w:r w:rsidR="007A45A0" w:rsidRPr="00F569AE">
        <w:rPr>
          <w:rStyle w:val="FootnoteReference"/>
          <w:rFonts w:ascii="Calibri" w:hAnsi="Calibri" w:cs="Calibri"/>
          <w:sz w:val="24"/>
          <w:szCs w:val="24"/>
        </w:rPr>
        <w:footnoteReference w:id="11"/>
      </w:r>
      <w:r w:rsidR="007A45A0" w:rsidRPr="00F569AE">
        <w:rPr>
          <w:rFonts w:ascii="Calibri" w:hAnsi="Calibri" w:cs="Calibri"/>
          <w:sz w:val="24"/>
          <w:szCs w:val="24"/>
        </w:rPr>
        <w:t xml:space="preserve"> </w:t>
      </w:r>
      <w:r w:rsidR="00D65DDA" w:rsidRPr="00F569AE">
        <w:rPr>
          <w:rFonts w:ascii="Calibri" w:hAnsi="Calibri" w:cs="Calibri"/>
          <w:sz w:val="24"/>
          <w:szCs w:val="24"/>
        </w:rPr>
        <w:t xml:space="preserve">which </w:t>
      </w:r>
      <w:r w:rsidR="003C18AB" w:rsidRPr="00F569AE">
        <w:rPr>
          <w:rFonts w:ascii="Calibri" w:hAnsi="Calibri" w:cs="Calibri"/>
          <w:sz w:val="24"/>
          <w:szCs w:val="24"/>
        </w:rPr>
        <w:t xml:space="preserve">became </w:t>
      </w:r>
      <w:r w:rsidR="007A45A0" w:rsidRPr="00F569AE">
        <w:rPr>
          <w:rFonts w:ascii="Calibri" w:hAnsi="Calibri" w:cs="Calibri"/>
          <w:sz w:val="24"/>
          <w:szCs w:val="24"/>
        </w:rPr>
        <w:t>an integrative mechanism for the entities to align their development policies while pursuing collective interest</w:t>
      </w:r>
      <w:r w:rsidR="00D65DDA" w:rsidRPr="00F569AE">
        <w:rPr>
          <w:rFonts w:ascii="Calibri" w:hAnsi="Calibri" w:cs="Calibri"/>
          <w:sz w:val="24"/>
          <w:szCs w:val="24"/>
        </w:rPr>
        <w:t>s</w:t>
      </w:r>
      <w:r w:rsidR="007A45A0" w:rsidRPr="00F569AE">
        <w:rPr>
          <w:rFonts w:ascii="Calibri" w:hAnsi="Calibri" w:cs="Calibri"/>
          <w:sz w:val="24"/>
          <w:szCs w:val="24"/>
        </w:rPr>
        <w:t xml:space="preserve"> of alignment with the </w:t>
      </w:r>
      <w:r w:rsidR="000C5583" w:rsidRPr="00F569AE">
        <w:rPr>
          <w:rFonts w:ascii="Calibri" w:hAnsi="Calibri" w:cs="Calibri"/>
          <w:sz w:val="24"/>
          <w:szCs w:val="24"/>
        </w:rPr>
        <w:t>EU Acquis</w:t>
      </w:r>
      <w:r w:rsidR="007A45A0" w:rsidRPr="00F569AE">
        <w:rPr>
          <w:rFonts w:ascii="Calibri" w:hAnsi="Calibri" w:cs="Calibri"/>
          <w:sz w:val="24"/>
          <w:szCs w:val="24"/>
        </w:rPr>
        <w:t xml:space="preserve">. </w:t>
      </w:r>
      <w:r w:rsidR="00012988" w:rsidRPr="00F569AE">
        <w:rPr>
          <w:rFonts w:ascii="Calibri" w:hAnsi="Calibri" w:cs="Calibri"/>
          <w:sz w:val="24"/>
          <w:szCs w:val="24"/>
        </w:rPr>
        <w:t>The Framework defined three directions for sustainable development in BiH: Good Governance and Public Sector Management, Smart Growth, and a Society of Equal Opportunities</w:t>
      </w:r>
      <w:r w:rsidR="008705BC">
        <w:rPr>
          <w:rFonts w:ascii="Calibri" w:hAnsi="Calibri" w:cs="Calibri"/>
          <w:sz w:val="24"/>
          <w:szCs w:val="24"/>
        </w:rPr>
        <w:t>, guiding thereby efforts of national and international partners in the country.</w:t>
      </w:r>
      <w:r w:rsidR="00012988" w:rsidRPr="00F569AE">
        <w:rPr>
          <w:rFonts w:ascii="Calibri" w:hAnsi="Calibri" w:cs="Calibri"/>
          <w:sz w:val="24"/>
          <w:szCs w:val="24"/>
        </w:rPr>
        <w:t xml:space="preserve"> </w:t>
      </w:r>
      <w:r w:rsidR="00DE0014" w:rsidRPr="00F569AE">
        <w:rPr>
          <w:rFonts w:ascii="Calibri" w:hAnsi="Calibri" w:cs="Calibri"/>
          <w:sz w:val="24"/>
          <w:szCs w:val="24"/>
        </w:rPr>
        <w:t>At the entity level, development priorities are defined within the Development Strategy of the FBiH 2021-2027</w:t>
      </w:r>
      <w:r w:rsidR="00DE0014">
        <w:rPr>
          <w:rFonts w:ascii="Calibri" w:hAnsi="Calibri" w:cs="Calibri"/>
          <w:sz w:val="24"/>
          <w:szCs w:val="24"/>
        </w:rPr>
        <w:t>,</w:t>
      </w:r>
      <w:r w:rsidR="00DE0014" w:rsidRPr="00F569AE">
        <w:rPr>
          <w:rStyle w:val="FootnoteReference"/>
          <w:rFonts w:ascii="Calibri" w:hAnsi="Calibri" w:cs="Calibri"/>
          <w:sz w:val="24"/>
          <w:szCs w:val="24"/>
        </w:rPr>
        <w:footnoteReference w:id="12"/>
      </w:r>
      <w:r w:rsidR="00DE0014" w:rsidRPr="00F569AE">
        <w:rPr>
          <w:rFonts w:ascii="Calibri" w:hAnsi="Calibri" w:cs="Calibri"/>
          <w:sz w:val="24"/>
          <w:szCs w:val="24"/>
        </w:rPr>
        <w:t xml:space="preserve"> while the Development strategy of the Republika Srpska (2023-2027) </w:t>
      </w:r>
      <w:r w:rsidR="00DE0014" w:rsidRPr="00F569AE">
        <w:rPr>
          <w:rFonts w:ascii="Calibri" w:hAnsi="Calibri" w:cs="Calibri"/>
          <w:sz w:val="24"/>
          <w:szCs w:val="24"/>
        </w:rPr>
        <w:lastRenderedPageBreak/>
        <w:t xml:space="preserve">is </w:t>
      </w:r>
      <w:r w:rsidR="00DE0014">
        <w:rPr>
          <w:rFonts w:ascii="Calibri" w:hAnsi="Calibri" w:cs="Calibri"/>
          <w:sz w:val="24"/>
          <w:szCs w:val="24"/>
        </w:rPr>
        <w:t xml:space="preserve">currently </w:t>
      </w:r>
      <w:r w:rsidR="00DE0014" w:rsidRPr="00F569AE">
        <w:rPr>
          <w:rFonts w:ascii="Calibri" w:hAnsi="Calibri" w:cs="Calibri"/>
          <w:sz w:val="24"/>
          <w:szCs w:val="24"/>
        </w:rPr>
        <w:t xml:space="preserve">under development. </w:t>
      </w:r>
      <w:r w:rsidR="00546CE0" w:rsidRPr="00F569AE">
        <w:rPr>
          <w:rFonts w:ascii="Calibri" w:hAnsi="Calibri" w:cs="Calibri"/>
          <w:sz w:val="24"/>
          <w:szCs w:val="24"/>
        </w:rPr>
        <w:t xml:space="preserve">The </w:t>
      </w:r>
      <w:r w:rsidR="00DE0014">
        <w:rPr>
          <w:rFonts w:ascii="Calibri" w:hAnsi="Calibri" w:cs="Calibri"/>
          <w:sz w:val="24"/>
          <w:szCs w:val="24"/>
        </w:rPr>
        <w:t xml:space="preserve">progress towards the SDG implementation in </w:t>
      </w:r>
      <w:r w:rsidR="00546CE0" w:rsidRPr="00F569AE">
        <w:rPr>
          <w:rFonts w:ascii="Calibri" w:hAnsi="Calibri" w:cs="Calibri"/>
          <w:sz w:val="24"/>
          <w:szCs w:val="24"/>
        </w:rPr>
        <w:t>BiH is ranked as 57</w:t>
      </w:r>
      <w:r w:rsidR="00546CE0" w:rsidRPr="00F569AE">
        <w:rPr>
          <w:rFonts w:ascii="Calibri" w:hAnsi="Calibri" w:cs="Calibri"/>
          <w:sz w:val="24"/>
          <w:szCs w:val="24"/>
          <w:vertAlign w:val="superscript"/>
        </w:rPr>
        <w:t>th</w:t>
      </w:r>
      <w:r w:rsidR="00546CE0" w:rsidRPr="00F569AE">
        <w:rPr>
          <w:rFonts w:ascii="Calibri" w:hAnsi="Calibri" w:cs="Calibri"/>
          <w:sz w:val="24"/>
          <w:szCs w:val="24"/>
        </w:rPr>
        <w:t xml:space="preserve"> (out of 167 countries) as of 2024.</w:t>
      </w:r>
      <w:r w:rsidR="00546CE0" w:rsidRPr="00F569AE">
        <w:rPr>
          <w:rStyle w:val="FootnoteReference"/>
          <w:rFonts w:ascii="Calibri" w:hAnsi="Calibri" w:cs="Calibri"/>
          <w:sz w:val="24"/>
          <w:szCs w:val="24"/>
        </w:rPr>
        <w:footnoteReference w:id="13"/>
      </w:r>
      <w:r w:rsidR="00D65DDA" w:rsidRPr="00F569AE">
        <w:rPr>
          <w:rFonts w:ascii="Calibri" w:hAnsi="Calibri" w:cs="Calibri"/>
          <w:sz w:val="24"/>
          <w:szCs w:val="24"/>
        </w:rPr>
        <w:t xml:space="preserve"> </w:t>
      </w:r>
    </w:p>
    <w:p w14:paraId="2A86BDA7" w14:textId="77777777" w:rsidR="00213B82" w:rsidRPr="00F569AE" w:rsidRDefault="00213B82" w:rsidP="00213B82">
      <w:pPr>
        <w:pStyle w:val="p1"/>
        <w:spacing w:line="276" w:lineRule="auto"/>
        <w:jc w:val="both"/>
        <w:rPr>
          <w:rFonts w:ascii="Calibri" w:hAnsi="Calibri" w:cs="Calibri"/>
          <w:sz w:val="24"/>
          <w:szCs w:val="24"/>
        </w:rPr>
      </w:pPr>
    </w:p>
    <w:p w14:paraId="55D1AD62" w14:textId="0AF2B7A7" w:rsidR="00213B82" w:rsidRPr="00543DAC" w:rsidRDefault="00213B82" w:rsidP="00543DAC">
      <w:pPr>
        <w:spacing w:line="276" w:lineRule="auto"/>
        <w:jc w:val="both"/>
        <w:rPr>
          <w:rFonts w:ascii="Calibri" w:hAnsi="Calibri" w:cs="Calibri"/>
          <w:color w:val="000000"/>
          <w:lang w:val="en-US"/>
        </w:rPr>
      </w:pPr>
      <w:r w:rsidRPr="00F569AE">
        <w:rPr>
          <w:rFonts w:ascii="Calibri" w:hAnsi="Calibri" w:cs="Calibri"/>
          <w:color w:val="000000"/>
          <w:lang w:val="en-US"/>
        </w:rPr>
        <w:t xml:space="preserve">There are </w:t>
      </w:r>
      <w:r w:rsidR="008705BC">
        <w:rPr>
          <w:rFonts w:ascii="Calibri" w:hAnsi="Calibri" w:cs="Calibri"/>
          <w:color w:val="000000"/>
          <w:lang w:val="en-US"/>
        </w:rPr>
        <w:t xml:space="preserve">multiple sectoral </w:t>
      </w:r>
      <w:r w:rsidR="00381620">
        <w:rPr>
          <w:rFonts w:ascii="Calibri" w:hAnsi="Calibri" w:cs="Calibri"/>
          <w:color w:val="000000"/>
          <w:lang w:val="en-US"/>
        </w:rPr>
        <w:t>policies and frameworks</w:t>
      </w:r>
      <w:r w:rsidRPr="00F569AE">
        <w:rPr>
          <w:rFonts w:ascii="Calibri" w:hAnsi="Calibri" w:cs="Calibri"/>
          <w:color w:val="000000"/>
          <w:lang w:val="en-US"/>
        </w:rPr>
        <w:t xml:space="preserve"> that reflect </w:t>
      </w:r>
      <w:r w:rsidR="008705BC">
        <w:rPr>
          <w:rFonts w:ascii="Calibri" w:hAnsi="Calibri" w:cs="Calibri"/>
          <w:color w:val="000000"/>
          <w:lang w:val="en-US"/>
        </w:rPr>
        <w:t>key</w:t>
      </w:r>
      <w:r w:rsidR="00381620">
        <w:rPr>
          <w:rFonts w:ascii="Calibri" w:hAnsi="Calibri" w:cs="Calibri"/>
          <w:color w:val="000000"/>
          <w:lang w:val="en-US"/>
        </w:rPr>
        <w:t xml:space="preserve"> sector-specific</w:t>
      </w:r>
      <w:r w:rsidR="008705BC">
        <w:rPr>
          <w:rFonts w:ascii="Calibri" w:hAnsi="Calibri" w:cs="Calibri"/>
          <w:color w:val="000000"/>
          <w:lang w:val="en-US"/>
        </w:rPr>
        <w:t xml:space="preserve"> </w:t>
      </w:r>
      <w:r w:rsidRPr="00F569AE">
        <w:rPr>
          <w:rFonts w:ascii="Calibri" w:hAnsi="Calibri" w:cs="Calibri"/>
          <w:color w:val="000000"/>
          <w:lang w:val="en-US"/>
        </w:rPr>
        <w:t>priorities</w:t>
      </w:r>
      <w:r w:rsidR="00381620">
        <w:rPr>
          <w:rFonts w:ascii="Calibri" w:hAnsi="Calibri" w:cs="Calibri"/>
          <w:color w:val="000000"/>
          <w:lang w:val="en-US"/>
        </w:rPr>
        <w:t>. While sufficiently autonomous they are guided</w:t>
      </w:r>
      <w:r w:rsidR="008705BC">
        <w:rPr>
          <w:rFonts w:ascii="Calibri" w:hAnsi="Calibri" w:cs="Calibri"/>
          <w:color w:val="000000"/>
          <w:lang w:val="en-US"/>
        </w:rPr>
        <w:t xml:space="preserve"> by the domestic </w:t>
      </w:r>
      <w:r w:rsidR="008705BC" w:rsidRPr="00F569AE">
        <w:rPr>
          <w:rFonts w:ascii="Calibri" w:hAnsi="Calibri" w:cs="Calibri"/>
          <w:color w:val="000000"/>
          <w:lang w:val="en-US"/>
        </w:rPr>
        <w:t>priorities defined within the Joint Socio-Economic Reforms (Reform Agenda 2) 2023-2024</w:t>
      </w:r>
      <w:r w:rsidR="008705BC">
        <w:rPr>
          <w:rFonts w:ascii="Calibri" w:hAnsi="Calibri" w:cs="Calibri"/>
          <w:color w:val="000000"/>
          <w:lang w:val="en-US"/>
        </w:rPr>
        <w:t>,</w:t>
      </w:r>
      <w:r w:rsidR="008705BC" w:rsidRPr="002748A1">
        <w:footnoteReference w:id="14"/>
      </w:r>
      <w:r w:rsidR="008705BC" w:rsidRPr="00F569AE">
        <w:rPr>
          <w:rFonts w:ascii="Calibri" w:hAnsi="Calibri" w:cs="Calibri"/>
          <w:color w:val="000000"/>
          <w:lang w:val="en-US"/>
        </w:rPr>
        <w:t> followed by the new Economic Reform Programme (ERP) of Bosnia and Herzegovina 2025-2027</w:t>
      </w:r>
      <w:r w:rsidR="008705BC" w:rsidRPr="00020064">
        <w:rPr>
          <w:rFonts w:ascii="Calibri" w:hAnsi="Calibri" w:cs="Calibri"/>
          <w:color w:val="000000"/>
          <w:lang w:val="en-US"/>
        </w:rPr>
        <w:t>.</w:t>
      </w:r>
      <w:r w:rsidR="008705BC" w:rsidRPr="002748A1">
        <w:footnoteReference w:id="15"/>
      </w:r>
      <w:r w:rsidR="008705BC" w:rsidRPr="00020064">
        <w:rPr>
          <w:rFonts w:ascii="Calibri" w:hAnsi="Calibri" w:cs="Calibri"/>
          <w:color w:val="000000"/>
          <w:lang w:val="en-US"/>
        </w:rPr>
        <w:t xml:space="preserve"> </w:t>
      </w:r>
      <w:r w:rsidR="00832E25" w:rsidRPr="002748A1">
        <w:rPr>
          <w:rFonts w:ascii="Calibri" w:hAnsi="Calibri" w:cs="Calibri"/>
          <w:color w:val="000000"/>
          <w:lang w:val="en-US"/>
        </w:rPr>
        <w:t>Despite the political agreement reached within the BIH Council of Ministers in June 2025, the country remains the only one in the Western Balkans region that has yet to submit a finalized and agreed-upon draft of the Reform Agenda to the European Commission</w:t>
      </w:r>
      <w:r w:rsidR="00832E25">
        <w:rPr>
          <w:rFonts w:ascii="Calibri" w:hAnsi="Calibri" w:cs="Calibri"/>
          <w:color w:val="000000"/>
          <w:lang w:val="en-US"/>
        </w:rPr>
        <w:t xml:space="preserve">. </w:t>
      </w:r>
      <w:r w:rsidR="00381620" w:rsidRPr="00543DAC">
        <w:rPr>
          <w:rFonts w:ascii="Calibri" w:hAnsi="Calibri" w:cs="Calibri"/>
          <w:color w:val="000000"/>
          <w:lang w:val="en-US"/>
        </w:rPr>
        <w:t xml:space="preserve">The legal and normative context for </w:t>
      </w:r>
      <w:r w:rsidR="00381620">
        <w:rPr>
          <w:rFonts w:ascii="Calibri" w:hAnsi="Calibri" w:cs="Calibri"/>
          <w:color w:val="000000"/>
          <w:lang w:val="en-US"/>
        </w:rPr>
        <w:t>local governance and water</w:t>
      </w:r>
      <w:r w:rsidR="00381620" w:rsidRPr="00543DAC">
        <w:rPr>
          <w:rFonts w:ascii="Calibri" w:hAnsi="Calibri" w:cs="Calibri"/>
          <w:color w:val="000000"/>
          <w:lang w:val="en-US"/>
        </w:rPr>
        <w:t xml:space="preserve"> sectors in BiH is very dense, characterized by numerous strategic documents and frameworks that guide sectoral policies and regulations.</w:t>
      </w:r>
      <w:r w:rsidR="00381620">
        <w:rPr>
          <w:rFonts w:ascii="Calibri" w:hAnsi="Calibri" w:cs="Calibri"/>
          <w:color w:val="000000"/>
          <w:lang w:val="en-US"/>
        </w:rPr>
        <w:t xml:space="preserve"> </w:t>
      </w:r>
      <w:r w:rsidR="00543DAC">
        <w:rPr>
          <w:rFonts w:ascii="Calibri" w:hAnsi="Calibri" w:cs="Calibri"/>
          <w:color w:val="000000"/>
          <w:lang w:val="en-US"/>
        </w:rPr>
        <w:t>Table 2 under ‘relevance’ section outlines the most relevant strategic normative documents.</w:t>
      </w:r>
    </w:p>
    <w:p w14:paraId="406A3697" w14:textId="77777777" w:rsidR="00012988" w:rsidRDefault="00012988" w:rsidP="00012988">
      <w:pPr>
        <w:pStyle w:val="p1"/>
        <w:spacing w:line="276" w:lineRule="auto"/>
        <w:jc w:val="both"/>
        <w:rPr>
          <w:rFonts w:ascii="Calibri" w:hAnsi="Calibri" w:cs="Calibri"/>
          <w:sz w:val="24"/>
          <w:szCs w:val="24"/>
        </w:rPr>
      </w:pPr>
    </w:p>
    <w:p w14:paraId="268A01A5" w14:textId="76909692" w:rsidR="00381620" w:rsidRPr="00381620" w:rsidRDefault="00113DD4" w:rsidP="00012988">
      <w:pPr>
        <w:pStyle w:val="p1"/>
        <w:spacing w:line="276" w:lineRule="auto"/>
        <w:jc w:val="both"/>
        <w:rPr>
          <w:rFonts w:ascii="Calibri" w:hAnsi="Calibri" w:cs="Calibri"/>
          <w:sz w:val="24"/>
          <w:szCs w:val="24"/>
          <w:u w:val="single"/>
        </w:rPr>
      </w:pPr>
      <w:r>
        <w:rPr>
          <w:rFonts w:ascii="Calibri" w:hAnsi="Calibri" w:cs="Calibri"/>
          <w:sz w:val="24"/>
          <w:szCs w:val="24"/>
          <w:u w:val="single"/>
        </w:rPr>
        <w:t xml:space="preserve">Some key </w:t>
      </w:r>
      <w:r w:rsidR="00E81060">
        <w:rPr>
          <w:rFonts w:ascii="Calibri" w:hAnsi="Calibri" w:cs="Calibri"/>
          <w:sz w:val="24"/>
          <w:szCs w:val="24"/>
          <w:u w:val="single"/>
        </w:rPr>
        <w:t xml:space="preserve">development </w:t>
      </w:r>
      <w:r>
        <w:rPr>
          <w:rFonts w:ascii="Calibri" w:hAnsi="Calibri" w:cs="Calibri"/>
          <w:sz w:val="24"/>
          <w:szCs w:val="24"/>
          <w:u w:val="single"/>
        </w:rPr>
        <w:t xml:space="preserve">indicators </w:t>
      </w:r>
      <w:r w:rsidR="00381620" w:rsidRPr="00381620">
        <w:rPr>
          <w:rFonts w:ascii="Calibri" w:hAnsi="Calibri" w:cs="Calibri"/>
          <w:sz w:val="24"/>
          <w:szCs w:val="24"/>
          <w:u w:val="single"/>
        </w:rPr>
        <w:t>as of 2025</w:t>
      </w:r>
    </w:p>
    <w:p w14:paraId="50FC6E70" w14:textId="7702E728" w:rsidR="004E22AC" w:rsidRPr="00F569AE" w:rsidRDefault="009F40D4" w:rsidP="00A46105">
      <w:pPr>
        <w:pStyle w:val="p1"/>
        <w:spacing w:line="276" w:lineRule="auto"/>
        <w:jc w:val="both"/>
        <w:rPr>
          <w:rFonts w:ascii="Calibri" w:hAnsi="Calibri" w:cs="Calibri"/>
          <w:sz w:val="24"/>
          <w:szCs w:val="24"/>
        </w:rPr>
      </w:pPr>
      <w:r w:rsidRPr="00F569AE">
        <w:rPr>
          <w:rFonts w:ascii="Calibri" w:hAnsi="Calibri" w:cs="Calibri"/>
          <w:sz w:val="24"/>
          <w:szCs w:val="24"/>
        </w:rPr>
        <w:t xml:space="preserve">The </w:t>
      </w:r>
      <w:r w:rsidR="007D4D1A">
        <w:rPr>
          <w:rFonts w:ascii="Calibri" w:hAnsi="Calibri" w:cs="Calibri"/>
          <w:sz w:val="24"/>
          <w:szCs w:val="24"/>
        </w:rPr>
        <w:t xml:space="preserve">level of development is best presented by the </w:t>
      </w:r>
      <w:r w:rsidRPr="00F569AE">
        <w:rPr>
          <w:rFonts w:ascii="Calibri" w:hAnsi="Calibri" w:cs="Calibri"/>
          <w:sz w:val="24"/>
          <w:szCs w:val="24"/>
        </w:rPr>
        <w:t xml:space="preserve">Human development index </w:t>
      </w:r>
      <w:r w:rsidR="00A46105" w:rsidRPr="00F569AE">
        <w:rPr>
          <w:rFonts w:ascii="Calibri" w:hAnsi="Calibri" w:cs="Calibri"/>
          <w:sz w:val="24"/>
          <w:szCs w:val="24"/>
        </w:rPr>
        <w:t xml:space="preserve">(HDI) </w:t>
      </w:r>
      <w:r w:rsidR="007D4D1A">
        <w:rPr>
          <w:rFonts w:ascii="Calibri" w:hAnsi="Calibri" w:cs="Calibri"/>
          <w:sz w:val="24"/>
          <w:szCs w:val="24"/>
        </w:rPr>
        <w:t xml:space="preserve">2022 </w:t>
      </w:r>
      <w:r w:rsidRPr="00F569AE">
        <w:rPr>
          <w:rFonts w:ascii="Calibri" w:hAnsi="Calibri" w:cs="Calibri"/>
          <w:sz w:val="24"/>
          <w:szCs w:val="24"/>
        </w:rPr>
        <w:t>value</w:t>
      </w:r>
      <w:r w:rsidR="007D4D1A">
        <w:rPr>
          <w:rFonts w:ascii="Calibri" w:hAnsi="Calibri" w:cs="Calibri"/>
          <w:sz w:val="24"/>
          <w:szCs w:val="24"/>
        </w:rPr>
        <w:t>, which</w:t>
      </w:r>
      <w:r w:rsidRPr="00F569AE">
        <w:rPr>
          <w:rFonts w:ascii="Calibri" w:hAnsi="Calibri" w:cs="Calibri"/>
          <w:sz w:val="24"/>
          <w:szCs w:val="24"/>
        </w:rPr>
        <w:t xml:space="preserve"> was 0.779, ranking </w:t>
      </w:r>
      <w:r w:rsidR="007D4D1A">
        <w:rPr>
          <w:rFonts w:ascii="Calibri" w:hAnsi="Calibri" w:cs="Calibri"/>
          <w:sz w:val="24"/>
          <w:szCs w:val="24"/>
        </w:rPr>
        <w:t>BiH as</w:t>
      </w:r>
      <w:r w:rsidRPr="00F569AE">
        <w:rPr>
          <w:rFonts w:ascii="Calibri" w:hAnsi="Calibri" w:cs="Calibri"/>
          <w:sz w:val="24"/>
          <w:szCs w:val="24"/>
        </w:rPr>
        <w:t xml:space="preserve"> 80</w:t>
      </w:r>
      <w:r w:rsidRPr="00F569AE">
        <w:rPr>
          <w:rFonts w:ascii="Calibri" w:hAnsi="Calibri" w:cs="Calibri"/>
          <w:sz w:val="24"/>
          <w:szCs w:val="24"/>
          <w:vertAlign w:val="superscript"/>
        </w:rPr>
        <w:t>th</w:t>
      </w:r>
      <w:r w:rsidRPr="00F569AE">
        <w:rPr>
          <w:rFonts w:ascii="Calibri" w:hAnsi="Calibri" w:cs="Calibri"/>
          <w:sz w:val="24"/>
          <w:szCs w:val="24"/>
        </w:rPr>
        <w:t xml:space="preserve"> out of 193 countries and categorizing it as a highly developed country</w:t>
      </w:r>
      <w:r w:rsidR="007D4D1A">
        <w:rPr>
          <w:rFonts w:ascii="Calibri" w:hAnsi="Calibri" w:cs="Calibri"/>
          <w:sz w:val="24"/>
          <w:szCs w:val="24"/>
        </w:rPr>
        <w:t>,</w:t>
      </w:r>
      <w:r w:rsidRPr="00F569AE">
        <w:rPr>
          <w:rStyle w:val="FootnoteReference"/>
          <w:rFonts w:ascii="Calibri" w:hAnsi="Calibri" w:cs="Calibri"/>
          <w:sz w:val="24"/>
          <w:szCs w:val="24"/>
        </w:rPr>
        <w:footnoteReference w:id="16"/>
      </w:r>
      <w:r w:rsidR="00A46105" w:rsidRPr="00F569AE">
        <w:rPr>
          <w:rFonts w:ascii="Calibri" w:hAnsi="Calibri" w:cs="Calibri"/>
          <w:sz w:val="24"/>
          <w:szCs w:val="24"/>
        </w:rPr>
        <w:t xml:space="preserve"> </w:t>
      </w:r>
      <w:r w:rsidR="00BB74F6" w:rsidRPr="00F569AE">
        <w:rPr>
          <w:rFonts w:ascii="Calibri" w:hAnsi="Calibri" w:cs="Calibri"/>
          <w:sz w:val="24"/>
          <w:szCs w:val="24"/>
        </w:rPr>
        <w:t>progressing to be ranked 74</w:t>
      </w:r>
      <w:r w:rsidR="00BB74F6" w:rsidRPr="00F569AE">
        <w:rPr>
          <w:rFonts w:ascii="Calibri" w:hAnsi="Calibri" w:cs="Calibri"/>
          <w:sz w:val="24"/>
          <w:szCs w:val="24"/>
          <w:vertAlign w:val="superscript"/>
        </w:rPr>
        <w:t>th</w:t>
      </w:r>
      <w:r w:rsidR="00BB74F6" w:rsidRPr="00F569AE">
        <w:rPr>
          <w:rFonts w:ascii="Calibri" w:hAnsi="Calibri" w:cs="Calibri"/>
          <w:sz w:val="24"/>
          <w:szCs w:val="24"/>
        </w:rPr>
        <w:t xml:space="preserve"> out of 193 countries </w:t>
      </w:r>
      <w:r w:rsidR="007D4D1A">
        <w:rPr>
          <w:rFonts w:ascii="Calibri" w:hAnsi="Calibri" w:cs="Calibri"/>
          <w:sz w:val="24"/>
          <w:szCs w:val="24"/>
        </w:rPr>
        <w:t>in</w:t>
      </w:r>
      <w:r w:rsidR="00BB74F6" w:rsidRPr="00F569AE">
        <w:rPr>
          <w:rFonts w:ascii="Calibri" w:hAnsi="Calibri" w:cs="Calibri"/>
          <w:sz w:val="24"/>
          <w:szCs w:val="24"/>
        </w:rPr>
        <w:t xml:space="preserve"> 2025</w:t>
      </w:r>
      <w:r w:rsidR="007D4D1A">
        <w:rPr>
          <w:rFonts w:ascii="Calibri" w:hAnsi="Calibri" w:cs="Calibri"/>
          <w:sz w:val="24"/>
          <w:szCs w:val="24"/>
        </w:rPr>
        <w:t>.</w:t>
      </w:r>
      <w:r w:rsidR="00A46105" w:rsidRPr="00F569AE">
        <w:rPr>
          <w:rStyle w:val="FootnoteReference"/>
          <w:rFonts w:ascii="Calibri" w:hAnsi="Calibri" w:cs="Calibri"/>
          <w:sz w:val="24"/>
          <w:szCs w:val="24"/>
        </w:rPr>
        <w:footnoteReference w:id="17"/>
      </w:r>
      <w:r w:rsidR="004C5D3E" w:rsidRPr="00F569AE">
        <w:rPr>
          <w:rFonts w:ascii="Calibri" w:hAnsi="Calibri" w:cs="Calibri"/>
          <w:sz w:val="24"/>
          <w:szCs w:val="24"/>
        </w:rPr>
        <w:t xml:space="preserve"> </w:t>
      </w:r>
      <w:r w:rsidR="007D4D1A">
        <w:rPr>
          <w:rFonts w:ascii="Calibri" w:hAnsi="Calibri" w:cs="Calibri"/>
          <w:sz w:val="24"/>
          <w:szCs w:val="24"/>
        </w:rPr>
        <w:t>T</w:t>
      </w:r>
      <w:r w:rsidR="00A46105" w:rsidRPr="00F569AE">
        <w:rPr>
          <w:rFonts w:ascii="Calibri" w:hAnsi="Calibri" w:cs="Calibri"/>
          <w:sz w:val="24"/>
          <w:szCs w:val="24"/>
        </w:rPr>
        <w:t>he Gross National Income per capita (</w:t>
      </w:r>
      <w:r w:rsidR="00D43512">
        <w:rPr>
          <w:rFonts w:ascii="Calibri" w:hAnsi="Calibri" w:cs="Calibri"/>
          <w:sz w:val="24"/>
          <w:szCs w:val="24"/>
        </w:rPr>
        <w:t>current international $</w:t>
      </w:r>
      <w:r w:rsidR="00A46105" w:rsidRPr="00F569AE">
        <w:rPr>
          <w:rFonts w:ascii="Calibri" w:hAnsi="Calibri" w:cs="Calibri"/>
          <w:sz w:val="24"/>
          <w:szCs w:val="24"/>
        </w:rPr>
        <w:t xml:space="preserve">) </w:t>
      </w:r>
      <w:r w:rsidR="00D43512">
        <w:rPr>
          <w:rFonts w:ascii="Calibri" w:hAnsi="Calibri" w:cs="Calibri"/>
          <w:sz w:val="24"/>
          <w:szCs w:val="24"/>
        </w:rPr>
        <w:t>demonstrates steady but stable increase since 1990 reaching 21,971 in 2024,</w:t>
      </w:r>
      <w:r w:rsidR="00D43512">
        <w:rPr>
          <w:rStyle w:val="FootnoteReference"/>
          <w:rFonts w:ascii="Calibri" w:hAnsi="Calibri" w:cs="Calibri"/>
          <w:sz w:val="24"/>
          <w:szCs w:val="24"/>
        </w:rPr>
        <w:footnoteReference w:id="18"/>
      </w:r>
      <w:r w:rsidR="00D43512">
        <w:rPr>
          <w:rFonts w:ascii="Calibri" w:hAnsi="Calibri" w:cs="Calibri"/>
          <w:sz w:val="24"/>
          <w:szCs w:val="24"/>
        </w:rPr>
        <w:t xml:space="preserve"> </w:t>
      </w:r>
      <w:r w:rsidR="00474494" w:rsidRPr="00F569AE">
        <w:rPr>
          <w:rFonts w:ascii="Calibri" w:hAnsi="Calibri" w:cs="Calibri"/>
          <w:sz w:val="24"/>
          <w:szCs w:val="24"/>
        </w:rPr>
        <w:t xml:space="preserve">risen </w:t>
      </w:r>
      <w:r w:rsidR="00A46105" w:rsidRPr="00F569AE">
        <w:rPr>
          <w:rFonts w:ascii="Calibri" w:hAnsi="Calibri" w:cs="Calibri"/>
          <w:sz w:val="24"/>
          <w:szCs w:val="24"/>
        </w:rPr>
        <w:t>by approximately 1</w:t>
      </w:r>
      <w:r w:rsidR="00D43512">
        <w:rPr>
          <w:rFonts w:ascii="Calibri" w:hAnsi="Calibri" w:cs="Calibri"/>
          <w:sz w:val="24"/>
          <w:szCs w:val="24"/>
        </w:rPr>
        <w:t>33</w:t>
      </w:r>
      <w:r w:rsidR="00A46105" w:rsidRPr="00F569AE">
        <w:rPr>
          <w:rFonts w:ascii="Calibri" w:hAnsi="Calibri" w:cs="Calibri"/>
          <w:sz w:val="24"/>
          <w:szCs w:val="24"/>
        </w:rPr>
        <w:t>% since 2</w:t>
      </w:r>
      <w:r w:rsidR="007D4D1A">
        <w:rPr>
          <w:rFonts w:ascii="Calibri" w:hAnsi="Calibri" w:cs="Calibri"/>
          <w:sz w:val="24"/>
          <w:szCs w:val="24"/>
        </w:rPr>
        <w:t>000 reaching.</w:t>
      </w:r>
      <w:r w:rsidR="00D43512">
        <w:rPr>
          <w:rStyle w:val="FootnoteReference"/>
          <w:rFonts w:ascii="Calibri" w:hAnsi="Calibri" w:cs="Calibri"/>
          <w:sz w:val="24"/>
          <w:szCs w:val="24"/>
        </w:rPr>
        <w:footnoteReference w:id="19"/>
      </w:r>
      <w:r w:rsidR="007D4D1A">
        <w:rPr>
          <w:rFonts w:ascii="Calibri" w:hAnsi="Calibri" w:cs="Calibri"/>
          <w:sz w:val="24"/>
          <w:szCs w:val="24"/>
        </w:rPr>
        <w:t xml:space="preserve">   </w:t>
      </w:r>
      <w:r w:rsidR="00E07274" w:rsidRPr="00F569AE">
        <w:rPr>
          <w:rFonts w:ascii="Calibri" w:hAnsi="Calibri" w:cs="Calibri"/>
          <w:sz w:val="24"/>
          <w:szCs w:val="24"/>
        </w:rPr>
        <w:t>One of the defining features of BiH i</w:t>
      </w:r>
      <w:r w:rsidR="00092297" w:rsidRPr="00F569AE">
        <w:rPr>
          <w:rFonts w:ascii="Calibri" w:hAnsi="Calibri" w:cs="Calibri"/>
          <w:sz w:val="24"/>
          <w:szCs w:val="24"/>
        </w:rPr>
        <w:t>s</w:t>
      </w:r>
      <w:r w:rsidR="00E07274" w:rsidRPr="00F569AE">
        <w:rPr>
          <w:rFonts w:ascii="Calibri" w:hAnsi="Calibri" w:cs="Calibri"/>
          <w:sz w:val="24"/>
          <w:szCs w:val="24"/>
        </w:rPr>
        <w:t xml:space="preserve"> </w:t>
      </w:r>
      <w:r w:rsidR="00D43512">
        <w:rPr>
          <w:rFonts w:ascii="Calibri" w:hAnsi="Calibri" w:cs="Calibri"/>
          <w:sz w:val="24"/>
          <w:szCs w:val="24"/>
        </w:rPr>
        <w:t xml:space="preserve">high </w:t>
      </w:r>
      <w:r w:rsidR="00E07274" w:rsidRPr="00F569AE">
        <w:rPr>
          <w:rFonts w:ascii="Calibri" w:hAnsi="Calibri" w:cs="Calibri"/>
          <w:sz w:val="24"/>
          <w:szCs w:val="24"/>
        </w:rPr>
        <w:t>out-migration</w:t>
      </w:r>
      <w:r w:rsidR="00D43512">
        <w:rPr>
          <w:rFonts w:ascii="Calibri" w:hAnsi="Calibri" w:cs="Calibri"/>
          <w:sz w:val="24"/>
          <w:szCs w:val="24"/>
        </w:rPr>
        <w:t xml:space="preserve"> rate</w:t>
      </w:r>
      <w:r w:rsidR="00E07274" w:rsidRPr="00F569AE">
        <w:rPr>
          <w:rFonts w:ascii="Calibri" w:hAnsi="Calibri" w:cs="Calibri"/>
          <w:sz w:val="24"/>
          <w:szCs w:val="24"/>
        </w:rPr>
        <w:t>, representing a loss of young people and skilled workers</w:t>
      </w:r>
      <w:r w:rsidR="00E41263">
        <w:rPr>
          <w:rFonts w:ascii="Calibri" w:hAnsi="Calibri" w:cs="Calibri"/>
          <w:sz w:val="24"/>
          <w:szCs w:val="24"/>
        </w:rPr>
        <w:t>. Hence,</w:t>
      </w:r>
      <w:r w:rsidR="00E07274" w:rsidRPr="00F569AE">
        <w:rPr>
          <w:rFonts w:ascii="Calibri" w:hAnsi="Calibri" w:cs="Calibri"/>
          <w:sz w:val="24"/>
          <w:szCs w:val="24"/>
        </w:rPr>
        <w:t xml:space="preserve"> approximately 34% of the population lives abroad as of 2020.</w:t>
      </w:r>
      <w:r w:rsidR="00E07274" w:rsidRPr="00F569AE">
        <w:rPr>
          <w:rStyle w:val="FootnoteReference"/>
          <w:rFonts w:ascii="Calibri" w:hAnsi="Calibri" w:cs="Calibri"/>
          <w:sz w:val="24"/>
          <w:szCs w:val="24"/>
        </w:rPr>
        <w:footnoteReference w:id="20"/>
      </w:r>
      <w:r w:rsidR="00E00C0B" w:rsidRPr="00F569AE">
        <w:rPr>
          <w:rFonts w:ascii="Calibri" w:hAnsi="Calibri" w:cs="Calibri"/>
          <w:sz w:val="24"/>
          <w:szCs w:val="24"/>
        </w:rPr>
        <w:t xml:space="preserve"> </w:t>
      </w:r>
      <w:r w:rsidR="00E41263" w:rsidRPr="00F569AE">
        <w:rPr>
          <w:rFonts w:ascii="Calibri" w:hAnsi="Calibri" w:cs="Calibri"/>
          <w:sz w:val="24"/>
          <w:szCs w:val="24"/>
        </w:rPr>
        <w:t>There are limited updates available on out-migration data after 2020</w:t>
      </w:r>
      <w:r w:rsidR="00E41263">
        <w:rPr>
          <w:rFonts w:ascii="Calibri" w:hAnsi="Calibri" w:cs="Calibri"/>
          <w:sz w:val="24"/>
          <w:szCs w:val="24"/>
        </w:rPr>
        <w:t xml:space="preserve">. Some sources indicate that </w:t>
      </w:r>
      <w:r w:rsidR="00A407E7" w:rsidRPr="00F569AE">
        <w:rPr>
          <w:rFonts w:ascii="Calibri" w:hAnsi="Calibri" w:cs="Calibri"/>
          <w:sz w:val="24"/>
          <w:szCs w:val="24"/>
        </w:rPr>
        <w:t>BiH had the second biggest diaspora in the world</w:t>
      </w:r>
      <w:r w:rsidR="00E41263">
        <w:rPr>
          <w:rFonts w:ascii="Calibri" w:hAnsi="Calibri" w:cs="Calibri"/>
          <w:sz w:val="24"/>
          <w:szCs w:val="24"/>
        </w:rPr>
        <w:t xml:space="preserve"> as of 2022</w:t>
      </w:r>
      <w:r w:rsidR="00A407E7" w:rsidRPr="00F569AE">
        <w:rPr>
          <w:rFonts w:ascii="Calibri" w:hAnsi="Calibri" w:cs="Calibri"/>
          <w:sz w:val="24"/>
          <w:szCs w:val="24"/>
        </w:rPr>
        <w:t>.</w:t>
      </w:r>
      <w:r w:rsidR="00A407E7" w:rsidRPr="00F569AE">
        <w:rPr>
          <w:rStyle w:val="FootnoteReference"/>
          <w:rFonts w:ascii="Calibri" w:hAnsi="Calibri" w:cs="Calibri"/>
          <w:sz w:val="24"/>
          <w:szCs w:val="24"/>
        </w:rPr>
        <w:footnoteReference w:id="21"/>
      </w:r>
      <w:r w:rsidR="00A407E7" w:rsidRPr="00F569AE">
        <w:rPr>
          <w:rFonts w:ascii="Calibri" w:hAnsi="Calibri" w:cs="Calibri"/>
          <w:sz w:val="24"/>
          <w:szCs w:val="24"/>
        </w:rPr>
        <w:t xml:space="preserve"> </w:t>
      </w:r>
      <w:r w:rsidR="00E00C0B" w:rsidRPr="00F569AE">
        <w:rPr>
          <w:rFonts w:ascii="Calibri" w:hAnsi="Calibri" w:cs="Calibri"/>
          <w:sz w:val="24"/>
          <w:szCs w:val="24"/>
        </w:rPr>
        <w:t>It could be indicative to refer to the Brain Drain Countries 2025 data</w:t>
      </w:r>
      <w:r w:rsidR="00E00C0B" w:rsidRPr="00F569AE">
        <w:rPr>
          <w:rStyle w:val="FootnoteReference"/>
          <w:rFonts w:ascii="Calibri" w:hAnsi="Calibri" w:cs="Calibri"/>
          <w:sz w:val="24"/>
          <w:szCs w:val="24"/>
        </w:rPr>
        <w:footnoteReference w:id="22"/>
      </w:r>
      <w:r w:rsidR="00E00C0B" w:rsidRPr="00F569AE">
        <w:rPr>
          <w:rFonts w:ascii="Calibri" w:hAnsi="Calibri" w:cs="Calibri"/>
          <w:sz w:val="24"/>
          <w:szCs w:val="24"/>
        </w:rPr>
        <w:t xml:space="preserve"> indicating brain drain index at 7,2 out of 10 (whereby the higher the score the higher the brain drain in the country).  </w:t>
      </w:r>
    </w:p>
    <w:p w14:paraId="24626CA6" w14:textId="77777777" w:rsidR="00381620" w:rsidRDefault="00381620" w:rsidP="00C07A6C">
      <w:pPr>
        <w:pStyle w:val="p1"/>
        <w:spacing w:line="276" w:lineRule="auto"/>
        <w:jc w:val="both"/>
        <w:rPr>
          <w:rFonts w:ascii="Calibri" w:hAnsi="Calibri" w:cs="Calibri"/>
          <w:sz w:val="24"/>
          <w:szCs w:val="24"/>
        </w:rPr>
      </w:pPr>
    </w:p>
    <w:p w14:paraId="2F4EACC2" w14:textId="6BEB26CD" w:rsidR="00381620" w:rsidRPr="00381620" w:rsidRDefault="00113DD4" w:rsidP="00C07A6C">
      <w:pPr>
        <w:pStyle w:val="p1"/>
        <w:spacing w:line="276" w:lineRule="auto"/>
        <w:jc w:val="both"/>
        <w:rPr>
          <w:rFonts w:ascii="Calibri" w:hAnsi="Calibri" w:cs="Calibri"/>
          <w:sz w:val="24"/>
          <w:szCs w:val="24"/>
          <w:u w:val="single"/>
        </w:rPr>
      </w:pPr>
      <w:r>
        <w:rPr>
          <w:rFonts w:ascii="Calibri" w:hAnsi="Calibri" w:cs="Calibri"/>
          <w:sz w:val="24"/>
          <w:szCs w:val="24"/>
          <w:u w:val="single"/>
        </w:rPr>
        <w:t xml:space="preserve">Note on </w:t>
      </w:r>
      <w:r w:rsidRPr="00113DD4">
        <w:rPr>
          <w:rFonts w:ascii="Calibri" w:hAnsi="Calibri" w:cs="Calibri"/>
          <w:sz w:val="24"/>
          <w:szCs w:val="24"/>
          <w:u w:val="single"/>
        </w:rPr>
        <w:t xml:space="preserve">gender equality and social inclusion </w:t>
      </w:r>
      <w:r w:rsidR="00B90970">
        <w:rPr>
          <w:rFonts w:ascii="Calibri" w:hAnsi="Calibri" w:cs="Calibri"/>
          <w:sz w:val="24"/>
          <w:szCs w:val="24"/>
          <w:u w:val="single"/>
        </w:rPr>
        <w:t>(</w:t>
      </w:r>
      <w:r w:rsidR="00381620" w:rsidRPr="00381620">
        <w:rPr>
          <w:rFonts w:ascii="Calibri" w:hAnsi="Calibri" w:cs="Calibri"/>
          <w:sz w:val="24"/>
          <w:szCs w:val="24"/>
          <w:u w:val="single"/>
        </w:rPr>
        <w:t>GESI</w:t>
      </w:r>
      <w:r w:rsidR="00B90970">
        <w:rPr>
          <w:rFonts w:ascii="Calibri" w:hAnsi="Calibri" w:cs="Calibri"/>
          <w:sz w:val="24"/>
          <w:szCs w:val="24"/>
          <w:u w:val="single"/>
        </w:rPr>
        <w:t>)</w:t>
      </w:r>
      <w:r>
        <w:rPr>
          <w:rFonts w:ascii="Calibri" w:hAnsi="Calibri" w:cs="Calibri"/>
          <w:sz w:val="24"/>
          <w:szCs w:val="24"/>
          <w:u w:val="single"/>
        </w:rPr>
        <w:t xml:space="preserve"> progress</w:t>
      </w:r>
      <w:r w:rsidR="00B90970">
        <w:rPr>
          <w:rFonts w:ascii="Calibri" w:hAnsi="Calibri" w:cs="Calibri"/>
          <w:sz w:val="24"/>
          <w:szCs w:val="24"/>
          <w:u w:val="single"/>
        </w:rPr>
        <w:t xml:space="preserve"> in BiH</w:t>
      </w:r>
    </w:p>
    <w:p w14:paraId="48F0F044" w14:textId="168960AE" w:rsidR="00C07A6C" w:rsidRPr="00F569AE" w:rsidRDefault="00C07A6C" w:rsidP="00C07A6C">
      <w:pPr>
        <w:pStyle w:val="p1"/>
        <w:spacing w:line="276" w:lineRule="auto"/>
        <w:jc w:val="both"/>
        <w:rPr>
          <w:rFonts w:ascii="Calibri" w:hAnsi="Calibri" w:cs="Calibri"/>
          <w:sz w:val="24"/>
          <w:szCs w:val="24"/>
        </w:rPr>
      </w:pPr>
      <w:r w:rsidRPr="00F569AE">
        <w:rPr>
          <w:rFonts w:ascii="Calibri" w:hAnsi="Calibri" w:cs="Calibri"/>
          <w:sz w:val="24"/>
          <w:szCs w:val="24"/>
        </w:rPr>
        <w:t>Progress was made on gender equality and social inclusion (GESI) in BiH</w:t>
      </w:r>
      <w:r w:rsidR="00024046">
        <w:rPr>
          <w:rFonts w:ascii="Calibri" w:hAnsi="Calibri" w:cs="Calibri"/>
          <w:sz w:val="24"/>
          <w:szCs w:val="24"/>
        </w:rPr>
        <w:t xml:space="preserve">. However, the </w:t>
      </w:r>
      <w:r w:rsidRPr="00F569AE">
        <w:rPr>
          <w:rFonts w:ascii="Calibri" w:hAnsi="Calibri" w:cs="Calibri"/>
          <w:sz w:val="24"/>
          <w:szCs w:val="24"/>
        </w:rPr>
        <w:t>gender regimes operate in symbiosis with social and cultural norms</w:t>
      </w:r>
      <w:r w:rsidRPr="00F569AE">
        <w:rPr>
          <w:rStyle w:val="FootnoteReference"/>
          <w:rFonts w:ascii="Calibri" w:hAnsi="Calibri" w:cs="Calibri"/>
          <w:sz w:val="24"/>
          <w:szCs w:val="24"/>
        </w:rPr>
        <w:footnoteReference w:id="23"/>
      </w:r>
      <w:r w:rsidRPr="00F569AE">
        <w:rPr>
          <w:rFonts w:ascii="Calibri" w:hAnsi="Calibri" w:cs="Calibri"/>
          <w:sz w:val="24"/>
          <w:szCs w:val="24"/>
        </w:rPr>
        <w:t xml:space="preserve"> impacted by various factors </w:t>
      </w:r>
      <w:r w:rsidRPr="00F569AE">
        <w:rPr>
          <w:rFonts w:ascii="Calibri" w:hAnsi="Calibri" w:cs="Calibri"/>
          <w:sz w:val="24"/>
          <w:szCs w:val="24"/>
        </w:rPr>
        <w:lastRenderedPageBreak/>
        <w:t xml:space="preserve">including </w:t>
      </w:r>
      <w:r w:rsidR="00024046">
        <w:rPr>
          <w:rFonts w:ascii="Calibri" w:hAnsi="Calibri" w:cs="Calibri"/>
          <w:sz w:val="24"/>
          <w:szCs w:val="24"/>
        </w:rPr>
        <w:t xml:space="preserve">but not limited to the </w:t>
      </w:r>
      <w:r w:rsidRPr="00F569AE">
        <w:rPr>
          <w:rFonts w:ascii="Calibri" w:hAnsi="Calibri" w:cs="Calibri"/>
          <w:sz w:val="24"/>
          <w:szCs w:val="24"/>
        </w:rPr>
        <w:t>patriarchal norms, low representation of women in politics and executive positions, gender divide in labour market and occupational segregation</w:t>
      </w:r>
      <w:r w:rsidR="00024046">
        <w:rPr>
          <w:rFonts w:ascii="Calibri" w:hAnsi="Calibri" w:cs="Calibri"/>
          <w:sz w:val="24"/>
          <w:szCs w:val="24"/>
        </w:rPr>
        <w:t>,</w:t>
      </w:r>
      <w:r w:rsidRPr="00F569AE">
        <w:rPr>
          <w:rFonts w:ascii="Calibri" w:hAnsi="Calibri" w:cs="Calibri"/>
          <w:sz w:val="24"/>
          <w:szCs w:val="24"/>
        </w:rPr>
        <w:t xml:space="preserve"> </w:t>
      </w:r>
      <w:r w:rsidR="00024046">
        <w:rPr>
          <w:rFonts w:ascii="Calibri" w:hAnsi="Calibri" w:cs="Calibri"/>
          <w:sz w:val="24"/>
          <w:szCs w:val="24"/>
        </w:rPr>
        <w:t xml:space="preserve">lack of </w:t>
      </w:r>
      <w:r w:rsidRPr="00F569AE">
        <w:rPr>
          <w:rFonts w:ascii="Calibri" w:hAnsi="Calibri" w:cs="Calibri"/>
          <w:sz w:val="24"/>
          <w:szCs w:val="24"/>
        </w:rPr>
        <w:t>gender-mainstreamed local development plans</w:t>
      </w:r>
      <w:r w:rsidR="00024046">
        <w:rPr>
          <w:rFonts w:ascii="Calibri" w:hAnsi="Calibri" w:cs="Calibri"/>
          <w:sz w:val="24"/>
          <w:szCs w:val="24"/>
        </w:rPr>
        <w:t xml:space="preserve"> or</w:t>
      </w:r>
      <w:r w:rsidRPr="00F569AE">
        <w:rPr>
          <w:rFonts w:ascii="Calibri" w:hAnsi="Calibri" w:cs="Calibri"/>
          <w:sz w:val="24"/>
          <w:szCs w:val="24"/>
        </w:rPr>
        <w:t xml:space="preserve"> gender budgeting, etc. </w:t>
      </w:r>
      <w:r w:rsidR="00024046">
        <w:rPr>
          <w:rFonts w:ascii="Calibri" w:hAnsi="Calibri" w:cs="Calibri"/>
          <w:sz w:val="24"/>
          <w:szCs w:val="24"/>
        </w:rPr>
        <w:t>The latest UN study shows that d</w:t>
      </w:r>
      <w:r w:rsidRPr="00F569AE">
        <w:rPr>
          <w:rFonts w:ascii="Calibri" w:hAnsi="Calibri" w:cs="Calibri"/>
          <w:sz w:val="24"/>
          <w:szCs w:val="24"/>
        </w:rPr>
        <w:t>espite efforts to shape gender-responsive policy context in BiH, not le</w:t>
      </w:r>
      <w:r w:rsidR="00024046">
        <w:rPr>
          <w:rFonts w:ascii="Calibri" w:hAnsi="Calibri" w:cs="Calibri"/>
          <w:sz w:val="24"/>
          <w:szCs w:val="24"/>
        </w:rPr>
        <w:t>s</w:t>
      </w:r>
      <w:r w:rsidRPr="00F569AE">
        <w:rPr>
          <w:rFonts w:ascii="Calibri" w:hAnsi="Calibri" w:cs="Calibri"/>
          <w:sz w:val="24"/>
          <w:szCs w:val="24"/>
        </w:rPr>
        <w:t xml:space="preserve">s with the efforts of the Gender Centers whose endorsement is required </w:t>
      </w:r>
      <w:r w:rsidR="00024046">
        <w:rPr>
          <w:rFonts w:ascii="Calibri" w:hAnsi="Calibri" w:cs="Calibri"/>
          <w:sz w:val="24"/>
          <w:szCs w:val="24"/>
        </w:rPr>
        <w:t xml:space="preserve">to </w:t>
      </w:r>
      <w:r w:rsidRPr="00F569AE">
        <w:rPr>
          <w:rFonts w:ascii="Calibri" w:hAnsi="Calibri" w:cs="Calibri"/>
          <w:sz w:val="24"/>
          <w:szCs w:val="24"/>
        </w:rPr>
        <w:t xml:space="preserve">ensure that the gender equality consideration </w:t>
      </w:r>
      <w:r w:rsidR="00024046">
        <w:rPr>
          <w:rFonts w:ascii="Calibri" w:hAnsi="Calibri" w:cs="Calibri"/>
          <w:sz w:val="24"/>
          <w:szCs w:val="24"/>
        </w:rPr>
        <w:t>are</w:t>
      </w:r>
      <w:r w:rsidRPr="00F569AE">
        <w:rPr>
          <w:rFonts w:ascii="Calibri" w:hAnsi="Calibri" w:cs="Calibri"/>
          <w:sz w:val="24"/>
          <w:szCs w:val="24"/>
        </w:rPr>
        <w:t xml:space="preserve"> taken into account in any legislative processes and texts, </w:t>
      </w:r>
      <w:r w:rsidR="00024046">
        <w:rPr>
          <w:rFonts w:ascii="Calibri" w:hAnsi="Calibri" w:cs="Calibri"/>
          <w:sz w:val="24"/>
          <w:szCs w:val="24"/>
        </w:rPr>
        <w:t xml:space="preserve">the </w:t>
      </w:r>
      <w:r w:rsidRPr="00F569AE">
        <w:rPr>
          <w:rFonts w:ascii="Calibri" w:hAnsi="Calibri" w:cs="Calibri"/>
          <w:sz w:val="24"/>
          <w:szCs w:val="24"/>
        </w:rPr>
        <w:t>legal framework</w:t>
      </w:r>
      <w:r w:rsidR="00024046">
        <w:rPr>
          <w:rFonts w:ascii="Calibri" w:hAnsi="Calibri" w:cs="Calibri"/>
          <w:sz w:val="24"/>
          <w:szCs w:val="24"/>
        </w:rPr>
        <w:t>s across the country</w:t>
      </w:r>
      <w:r w:rsidRPr="00F569AE">
        <w:rPr>
          <w:rFonts w:ascii="Calibri" w:hAnsi="Calibri" w:cs="Calibri"/>
          <w:sz w:val="24"/>
          <w:szCs w:val="24"/>
        </w:rPr>
        <w:t xml:space="preserve"> </w:t>
      </w:r>
      <w:r w:rsidR="00024046">
        <w:rPr>
          <w:rFonts w:ascii="Calibri" w:hAnsi="Calibri" w:cs="Calibri"/>
          <w:sz w:val="24"/>
          <w:szCs w:val="24"/>
        </w:rPr>
        <w:t>are</w:t>
      </w:r>
      <w:r w:rsidRPr="00F569AE">
        <w:rPr>
          <w:rFonts w:ascii="Calibri" w:hAnsi="Calibri" w:cs="Calibri"/>
          <w:sz w:val="24"/>
          <w:szCs w:val="24"/>
        </w:rPr>
        <w:t xml:space="preserve"> still considered as gender blind </w:t>
      </w:r>
      <w:r w:rsidR="00024046">
        <w:rPr>
          <w:rFonts w:ascii="Calibri" w:hAnsi="Calibri" w:cs="Calibri"/>
          <w:sz w:val="24"/>
          <w:szCs w:val="24"/>
        </w:rPr>
        <w:t>because they</w:t>
      </w:r>
      <w:r w:rsidRPr="00F569AE">
        <w:rPr>
          <w:rFonts w:ascii="Calibri" w:hAnsi="Calibri" w:cs="Calibri"/>
          <w:sz w:val="24"/>
          <w:szCs w:val="24"/>
        </w:rPr>
        <w:t xml:space="preserve"> do not include specific provisions on gender equality.</w:t>
      </w:r>
      <w:r w:rsidRPr="00F569AE">
        <w:rPr>
          <w:rStyle w:val="FootnoteReference"/>
          <w:rFonts w:ascii="Calibri" w:hAnsi="Calibri" w:cs="Calibri"/>
          <w:sz w:val="24"/>
          <w:szCs w:val="24"/>
        </w:rPr>
        <w:footnoteReference w:id="24"/>
      </w:r>
    </w:p>
    <w:p w14:paraId="63FF7AAF" w14:textId="77777777" w:rsidR="004E22AC" w:rsidRPr="00F569AE" w:rsidRDefault="004E22AC" w:rsidP="00A46105">
      <w:pPr>
        <w:pStyle w:val="p1"/>
        <w:spacing w:line="276" w:lineRule="auto"/>
        <w:jc w:val="both"/>
        <w:rPr>
          <w:rFonts w:ascii="Calibri" w:hAnsi="Calibri" w:cs="Calibri"/>
          <w:sz w:val="24"/>
          <w:szCs w:val="24"/>
        </w:rPr>
      </w:pPr>
    </w:p>
    <w:p w14:paraId="2B504523" w14:textId="7A0678F6" w:rsidR="00583A20" w:rsidRDefault="00012988" w:rsidP="0033780B">
      <w:pPr>
        <w:pStyle w:val="p1"/>
        <w:numPr>
          <w:ilvl w:val="0"/>
          <w:numId w:val="4"/>
        </w:numPr>
        <w:spacing w:line="276" w:lineRule="auto"/>
        <w:jc w:val="both"/>
        <w:rPr>
          <w:rFonts w:ascii="Calibri" w:hAnsi="Calibri" w:cs="Calibri"/>
          <w:i/>
          <w:sz w:val="24"/>
          <w:szCs w:val="24"/>
        </w:rPr>
      </w:pPr>
      <w:r w:rsidRPr="00F569AE">
        <w:rPr>
          <w:rFonts w:ascii="Calibri" w:hAnsi="Calibri" w:cs="Calibri"/>
          <w:i/>
          <w:sz w:val="24"/>
          <w:szCs w:val="24"/>
        </w:rPr>
        <w:t xml:space="preserve">Local governance </w:t>
      </w:r>
      <w:r w:rsidR="00583A20">
        <w:rPr>
          <w:rFonts w:ascii="Calibri" w:hAnsi="Calibri" w:cs="Calibri"/>
          <w:i/>
          <w:sz w:val="24"/>
          <w:szCs w:val="24"/>
        </w:rPr>
        <w:t>in BiH</w:t>
      </w:r>
    </w:p>
    <w:p w14:paraId="1DC6B7F9" w14:textId="310E97C9" w:rsidR="00583A20" w:rsidRPr="00583A20" w:rsidRDefault="00583A20" w:rsidP="00583A20">
      <w:pPr>
        <w:pStyle w:val="p1"/>
        <w:spacing w:line="276" w:lineRule="auto"/>
        <w:jc w:val="both"/>
        <w:rPr>
          <w:rFonts w:ascii="Calibri" w:hAnsi="Calibri" w:cs="Calibri"/>
          <w:sz w:val="24"/>
          <w:szCs w:val="24"/>
        </w:rPr>
      </w:pPr>
      <w:r w:rsidRPr="00583A20">
        <w:rPr>
          <w:rFonts w:ascii="Calibri" w:hAnsi="Calibri" w:cs="Calibri"/>
          <w:sz w:val="24"/>
          <w:szCs w:val="24"/>
        </w:rPr>
        <w:t>Out of 145 local governments, 80 are in the entity of the FBiH and 64 are in the entity of (RS), while Brčko District also has a status of local government.</w:t>
      </w:r>
      <w:r>
        <w:rPr>
          <w:rFonts w:ascii="Calibri" w:hAnsi="Calibri" w:cs="Calibri"/>
          <w:sz w:val="24"/>
          <w:szCs w:val="24"/>
        </w:rPr>
        <w:t xml:space="preserve"> </w:t>
      </w:r>
      <w:r w:rsidRPr="00583A20">
        <w:rPr>
          <w:rFonts w:ascii="Calibri" w:hAnsi="Calibri" w:cs="Calibri"/>
          <w:sz w:val="24"/>
          <w:szCs w:val="24"/>
        </w:rPr>
        <w:t>Local governments vary substantially in terms of the size of their population, territory, and development status. The</w:t>
      </w:r>
      <w:r>
        <w:rPr>
          <w:rFonts w:ascii="Calibri" w:hAnsi="Calibri" w:cs="Calibri"/>
          <w:sz w:val="24"/>
          <w:szCs w:val="24"/>
        </w:rPr>
        <w:t xml:space="preserve"> normative framework for the local governance is aligned with the European Charter of Local Self-Governance</w:t>
      </w:r>
      <w:r>
        <w:rPr>
          <w:rStyle w:val="FootnoteReference"/>
          <w:rFonts w:ascii="Calibri" w:hAnsi="Calibri" w:cs="Calibri"/>
          <w:sz w:val="24"/>
          <w:szCs w:val="24"/>
        </w:rPr>
        <w:footnoteReference w:id="25"/>
      </w:r>
      <w:r>
        <w:rPr>
          <w:rFonts w:ascii="Calibri" w:hAnsi="Calibri" w:cs="Calibri"/>
          <w:sz w:val="24"/>
          <w:szCs w:val="24"/>
        </w:rPr>
        <w:t xml:space="preserve"> and include the following: in </w:t>
      </w:r>
      <w:r w:rsidRPr="00583A20">
        <w:rPr>
          <w:rFonts w:ascii="Calibri" w:hAnsi="Calibri" w:cs="Calibri"/>
          <w:sz w:val="24"/>
          <w:szCs w:val="24"/>
        </w:rPr>
        <w:t xml:space="preserve">the RS </w:t>
      </w:r>
      <w:r>
        <w:rPr>
          <w:rFonts w:ascii="Calibri" w:hAnsi="Calibri" w:cs="Calibri"/>
          <w:sz w:val="24"/>
          <w:szCs w:val="24"/>
        </w:rPr>
        <w:t xml:space="preserve">- </w:t>
      </w:r>
      <w:r w:rsidRPr="00583A20">
        <w:rPr>
          <w:rFonts w:ascii="Calibri" w:hAnsi="Calibri" w:cs="Calibri"/>
          <w:sz w:val="24"/>
          <w:szCs w:val="24"/>
        </w:rPr>
        <w:t>Law on Local Self-Government</w:t>
      </w:r>
      <w:r>
        <w:rPr>
          <w:rFonts w:ascii="Calibri" w:hAnsi="Calibri" w:cs="Calibri"/>
          <w:sz w:val="24"/>
          <w:szCs w:val="24"/>
        </w:rPr>
        <w:t xml:space="preserve"> and </w:t>
      </w:r>
      <w:r w:rsidRPr="00583A20">
        <w:rPr>
          <w:rFonts w:ascii="Calibri" w:hAnsi="Calibri" w:cs="Calibri"/>
          <w:sz w:val="24"/>
          <w:szCs w:val="24"/>
        </w:rPr>
        <w:t xml:space="preserve">the Strategy of Development of Local Governance 2022-2028, </w:t>
      </w:r>
      <w:r>
        <w:rPr>
          <w:rFonts w:ascii="Calibri" w:hAnsi="Calibri" w:cs="Calibri"/>
          <w:sz w:val="24"/>
          <w:szCs w:val="24"/>
        </w:rPr>
        <w:t xml:space="preserve">in </w:t>
      </w:r>
      <w:r w:rsidRPr="00583A20">
        <w:rPr>
          <w:rFonts w:ascii="Calibri" w:hAnsi="Calibri" w:cs="Calibri"/>
          <w:sz w:val="24"/>
          <w:szCs w:val="24"/>
        </w:rPr>
        <w:t xml:space="preserve">the FBiH </w:t>
      </w:r>
      <w:r>
        <w:rPr>
          <w:rFonts w:ascii="Calibri" w:hAnsi="Calibri" w:cs="Calibri"/>
          <w:sz w:val="24"/>
          <w:szCs w:val="24"/>
        </w:rPr>
        <w:t xml:space="preserve">- </w:t>
      </w:r>
      <w:r w:rsidRPr="00583A20">
        <w:rPr>
          <w:rFonts w:ascii="Calibri" w:hAnsi="Calibri" w:cs="Calibri"/>
          <w:sz w:val="24"/>
          <w:szCs w:val="24"/>
        </w:rPr>
        <w:t>Law on the Principles of Local Self-Government, and cantonal laws</w:t>
      </w:r>
      <w:r>
        <w:rPr>
          <w:rFonts w:ascii="Calibri" w:hAnsi="Calibri" w:cs="Calibri"/>
          <w:sz w:val="24"/>
          <w:szCs w:val="24"/>
        </w:rPr>
        <w:t>.</w:t>
      </w:r>
      <w:r w:rsidRPr="00583A20">
        <w:rPr>
          <w:rFonts w:ascii="Calibri" w:hAnsi="Calibri" w:cs="Calibri"/>
          <w:sz w:val="24"/>
          <w:szCs w:val="24"/>
        </w:rPr>
        <w:t xml:space="preserve"> </w:t>
      </w:r>
    </w:p>
    <w:p w14:paraId="1D3036B7" w14:textId="77777777" w:rsidR="00583A20" w:rsidRDefault="00583A20" w:rsidP="00583A20">
      <w:pPr>
        <w:pStyle w:val="p1"/>
        <w:spacing w:line="276" w:lineRule="auto"/>
        <w:jc w:val="both"/>
        <w:rPr>
          <w:rFonts w:ascii="Calibri" w:hAnsi="Calibri" w:cs="Calibri"/>
          <w:sz w:val="24"/>
          <w:szCs w:val="24"/>
        </w:rPr>
      </w:pPr>
    </w:p>
    <w:p w14:paraId="7AFB4781" w14:textId="41D18035" w:rsidR="00583A20" w:rsidRDefault="00583A20" w:rsidP="00583A20">
      <w:pPr>
        <w:pStyle w:val="p1"/>
        <w:spacing w:line="276" w:lineRule="auto"/>
        <w:jc w:val="both"/>
        <w:rPr>
          <w:rFonts w:ascii="Calibri" w:hAnsi="Calibri" w:cs="Calibri"/>
          <w:sz w:val="24"/>
          <w:szCs w:val="24"/>
        </w:rPr>
      </w:pPr>
      <w:r w:rsidRPr="00583A20">
        <w:rPr>
          <w:rFonts w:ascii="Calibri" w:hAnsi="Calibri" w:cs="Calibri"/>
          <w:sz w:val="24"/>
          <w:szCs w:val="24"/>
        </w:rPr>
        <w:t>The Ministry of Administration and Local Self-Government is the main institution in charge of local governance affairs in the RS. However, no equivalent institution exists in the FBiH. The FBiH Ministry of Justice has oversight over the implementation of the local governance legal framework, while the actual responsibility for local government matters largely rests with the cantons.</w:t>
      </w:r>
    </w:p>
    <w:p w14:paraId="392FE9FD" w14:textId="77777777" w:rsidR="00583A20" w:rsidRDefault="00583A20" w:rsidP="00583A20">
      <w:pPr>
        <w:pStyle w:val="p1"/>
        <w:spacing w:line="276" w:lineRule="auto"/>
        <w:jc w:val="both"/>
        <w:rPr>
          <w:rFonts w:ascii="Calibri" w:hAnsi="Calibri" w:cs="Calibri"/>
          <w:sz w:val="24"/>
          <w:szCs w:val="24"/>
        </w:rPr>
      </w:pPr>
    </w:p>
    <w:p w14:paraId="1F1BC2DC" w14:textId="1A8A99C0" w:rsidR="00583A20" w:rsidRPr="00583A20" w:rsidRDefault="00583A20" w:rsidP="00583A20">
      <w:pPr>
        <w:pStyle w:val="p1"/>
        <w:spacing w:line="276" w:lineRule="auto"/>
        <w:jc w:val="both"/>
        <w:rPr>
          <w:rFonts w:ascii="Calibri" w:hAnsi="Calibri" w:cs="Calibri"/>
          <w:sz w:val="24"/>
          <w:szCs w:val="24"/>
        </w:rPr>
      </w:pPr>
      <w:r w:rsidRPr="00583A20">
        <w:rPr>
          <w:rFonts w:ascii="Calibri" w:hAnsi="Calibri" w:cs="Calibri"/>
          <w:sz w:val="24"/>
          <w:szCs w:val="24"/>
        </w:rPr>
        <w:t>Due to weak local economies, local governments have been the main provider of lucrative employment for years, which caused the majority of local administrations to be overstaffed and costly, but without sufficient capacities and skills that modern governance requires. Systemic corruption remains a major challenge, undermining good governance, economic growth, and public trust.</w:t>
      </w:r>
      <w:r>
        <w:rPr>
          <w:rFonts w:ascii="Calibri" w:hAnsi="Calibri" w:cs="Calibri"/>
          <w:sz w:val="24"/>
          <w:szCs w:val="24"/>
        </w:rPr>
        <w:t xml:space="preserve"> </w:t>
      </w:r>
      <w:r w:rsidRPr="00583A20">
        <w:rPr>
          <w:rFonts w:ascii="Calibri" w:hAnsi="Calibri" w:cs="Calibri"/>
          <w:sz w:val="24"/>
          <w:szCs w:val="24"/>
        </w:rPr>
        <w:t>In its previous phases, MEG Project introduced local governance performance management systems in 37 partner local governments (26% of all local governments in the country), with standardized governance indicators, performance standards, and policy benchmarks. This enabled local governments to ultimately enhance their performance by consistent measurement and adjustment of their progress against key governance benchmarks, including accountability, inclusive decision-making, and the quality of public service delivery.</w:t>
      </w:r>
    </w:p>
    <w:p w14:paraId="56C01905" w14:textId="77777777" w:rsidR="00583A20" w:rsidRDefault="00583A20" w:rsidP="00583A20">
      <w:pPr>
        <w:pStyle w:val="p1"/>
        <w:spacing w:line="276" w:lineRule="auto"/>
        <w:jc w:val="both"/>
        <w:rPr>
          <w:rFonts w:eastAsiaTheme="minorEastAsia"/>
          <w:color w:val="000000" w:themeColor="text1"/>
        </w:rPr>
      </w:pPr>
    </w:p>
    <w:p w14:paraId="0E3FA4BA" w14:textId="77777777" w:rsidR="00583A20" w:rsidRDefault="00583A20" w:rsidP="00583A20">
      <w:pPr>
        <w:pStyle w:val="p1"/>
        <w:spacing w:line="276" w:lineRule="auto"/>
        <w:jc w:val="both"/>
        <w:rPr>
          <w:rFonts w:ascii="Calibri" w:hAnsi="Calibri" w:cs="Calibri"/>
          <w:i/>
          <w:sz w:val="24"/>
          <w:szCs w:val="24"/>
        </w:rPr>
      </w:pPr>
    </w:p>
    <w:p w14:paraId="6C3C6001" w14:textId="5CE92489" w:rsidR="004E22AC" w:rsidRPr="00F569AE" w:rsidRDefault="00583A20" w:rsidP="0033780B">
      <w:pPr>
        <w:pStyle w:val="p1"/>
        <w:numPr>
          <w:ilvl w:val="0"/>
          <w:numId w:val="4"/>
        </w:numPr>
        <w:spacing w:line="276" w:lineRule="auto"/>
        <w:jc w:val="both"/>
        <w:rPr>
          <w:rFonts w:ascii="Calibri" w:hAnsi="Calibri" w:cs="Calibri"/>
          <w:i/>
          <w:sz w:val="24"/>
          <w:szCs w:val="24"/>
        </w:rPr>
      </w:pPr>
      <w:r>
        <w:rPr>
          <w:rFonts w:ascii="Calibri" w:hAnsi="Calibri" w:cs="Calibri"/>
          <w:i/>
          <w:sz w:val="24"/>
          <w:szCs w:val="24"/>
        </w:rPr>
        <w:lastRenderedPageBreak/>
        <w:t>W</w:t>
      </w:r>
      <w:r w:rsidR="00012988" w:rsidRPr="00F569AE">
        <w:rPr>
          <w:rFonts w:ascii="Calibri" w:hAnsi="Calibri" w:cs="Calibri"/>
          <w:i/>
          <w:sz w:val="24"/>
          <w:szCs w:val="24"/>
        </w:rPr>
        <w:t>ater service</w:t>
      </w:r>
      <w:r w:rsidR="00381620">
        <w:rPr>
          <w:rFonts w:ascii="Calibri" w:hAnsi="Calibri" w:cs="Calibri"/>
          <w:i/>
          <w:sz w:val="24"/>
          <w:szCs w:val="24"/>
        </w:rPr>
        <w:t>s</w:t>
      </w:r>
      <w:r w:rsidR="00012988" w:rsidRPr="00F569AE">
        <w:rPr>
          <w:rFonts w:ascii="Calibri" w:hAnsi="Calibri" w:cs="Calibri"/>
          <w:i/>
          <w:sz w:val="24"/>
          <w:szCs w:val="24"/>
        </w:rPr>
        <w:t xml:space="preserve"> provision</w:t>
      </w:r>
      <w:r w:rsidR="00347EBE" w:rsidRPr="00F569AE">
        <w:rPr>
          <w:rFonts w:ascii="Calibri" w:hAnsi="Calibri" w:cs="Calibri"/>
          <w:i/>
          <w:sz w:val="24"/>
          <w:szCs w:val="24"/>
        </w:rPr>
        <w:t xml:space="preserve"> in BiH</w:t>
      </w:r>
    </w:p>
    <w:p w14:paraId="36CA6620" w14:textId="32F85D3A" w:rsidR="009D25D3" w:rsidRPr="00F569AE" w:rsidRDefault="00CE56F5" w:rsidP="00A46105">
      <w:pPr>
        <w:pStyle w:val="p1"/>
        <w:spacing w:line="276" w:lineRule="auto"/>
        <w:jc w:val="both"/>
        <w:rPr>
          <w:rFonts w:ascii="Calibri" w:hAnsi="Calibri" w:cs="Calibri"/>
          <w:sz w:val="24"/>
          <w:szCs w:val="24"/>
        </w:rPr>
      </w:pPr>
      <w:r w:rsidRPr="00F569AE">
        <w:rPr>
          <w:rFonts w:ascii="Calibri" w:hAnsi="Calibri" w:cs="Calibri"/>
          <w:sz w:val="24"/>
          <w:szCs w:val="24"/>
        </w:rPr>
        <w:t>B</w:t>
      </w:r>
      <w:r w:rsidR="00024046">
        <w:rPr>
          <w:rFonts w:ascii="Calibri" w:hAnsi="Calibri" w:cs="Calibri"/>
          <w:sz w:val="24"/>
          <w:szCs w:val="24"/>
        </w:rPr>
        <w:t>i</w:t>
      </w:r>
      <w:r w:rsidRPr="00F569AE">
        <w:rPr>
          <w:rFonts w:ascii="Calibri" w:hAnsi="Calibri" w:cs="Calibri"/>
          <w:sz w:val="24"/>
          <w:szCs w:val="24"/>
        </w:rPr>
        <w:t>H is rich in water resources and according to the World Bank (WB) data, BiH is the country with the largest amount of drinking water in the region, the seventh in Europe, and by water resources, it is richer than many countries in the world.</w:t>
      </w:r>
      <w:r w:rsidR="009D25D3" w:rsidRPr="00F569AE">
        <w:rPr>
          <w:vertAlign w:val="superscript"/>
        </w:rPr>
        <w:footnoteReference w:id="26"/>
      </w:r>
      <w:r w:rsidR="009D25D3" w:rsidRPr="00F569AE">
        <w:rPr>
          <w:rFonts w:ascii="Calibri" w:hAnsi="Calibri" w:cs="Calibri"/>
          <w:sz w:val="24"/>
          <w:szCs w:val="24"/>
          <w:vertAlign w:val="superscript"/>
        </w:rPr>
        <w:t xml:space="preserve"> </w:t>
      </w:r>
      <w:r w:rsidR="009D25D3" w:rsidRPr="00F569AE">
        <w:rPr>
          <w:rFonts w:ascii="Calibri" w:hAnsi="Calibri" w:cs="Calibri"/>
          <w:sz w:val="24"/>
          <w:szCs w:val="24"/>
        </w:rPr>
        <w:t>Both entities have developed water management strategies. In FBiH, the Water Management Strategy (2022-2032) was developed as part of the broader Environmental Protection Strategy with the focus on water quality and availability of water resources. In RS, the Water Management Strategy (2022-2032) was part of the Environmental Strategy of RS</w:t>
      </w:r>
      <w:r w:rsidR="009D25D3" w:rsidRPr="00F569AE">
        <w:rPr>
          <w:rStyle w:val="FootnoteReference"/>
          <w:rFonts w:ascii="Calibri" w:hAnsi="Calibri" w:cs="Calibri"/>
          <w:sz w:val="24"/>
          <w:szCs w:val="24"/>
        </w:rPr>
        <w:footnoteReference w:id="27"/>
      </w:r>
      <w:r w:rsidR="009D25D3" w:rsidRPr="00F569AE">
        <w:rPr>
          <w:rFonts w:ascii="Calibri" w:hAnsi="Calibri" w:cs="Calibri"/>
          <w:sz w:val="24"/>
          <w:szCs w:val="24"/>
        </w:rPr>
        <w:t xml:space="preserve"> with the focus on </w:t>
      </w:r>
      <w:r w:rsidR="003959BF" w:rsidRPr="00F569AE">
        <w:rPr>
          <w:rFonts w:ascii="Calibri" w:hAnsi="Calibri" w:cs="Calibri"/>
          <w:sz w:val="24"/>
          <w:szCs w:val="24"/>
        </w:rPr>
        <w:t xml:space="preserve">the </w:t>
      </w:r>
      <w:r w:rsidR="009D25D3" w:rsidRPr="00F569AE">
        <w:rPr>
          <w:rFonts w:ascii="Calibri" w:hAnsi="Calibri" w:cs="Calibri"/>
          <w:sz w:val="24"/>
          <w:szCs w:val="24"/>
        </w:rPr>
        <w:t>prevention of water body degradation, improvement of water resources, and promotion of sustainable water use.</w:t>
      </w:r>
    </w:p>
    <w:p w14:paraId="4EDBB9CF" w14:textId="77777777" w:rsidR="006161D2" w:rsidRPr="00F569AE" w:rsidRDefault="006161D2" w:rsidP="00A46105">
      <w:pPr>
        <w:pStyle w:val="p1"/>
        <w:spacing w:line="276" w:lineRule="auto"/>
        <w:jc w:val="both"/>
        <w:rPr>
          <w:rFonts w:ascii="Calibri" w:hAnsi="Calibri" w:cs="Calibri"/>
          <w:sz w:val="24"/>
          <w:szCs w:val="24"/>
        </w:rPr>
      </w:pPr>
    </w:p>
    <w:p w14:paraId="0CDD5A8A" w14:textId="3CA29C7A" w:rsidR="006332A6" w:rsidRDefault="00024046" w:rsidP="00E07EA2">
      <w:pPr>
        <w:pStyle w:val="p1"/>
        <w:spacing w:line="276" w:lineRule="auto"/>
        <w:jc w:val="both"/>
        <w:rPr>
          <w:rFonts w:ascii="Calibri" w:hAnsi="Calibri" w:cs="Calibri"/>
          <w:sz w:val="24"/>
          <w:szCs w:val="24"/>
        </w:rPr>
      </w:pPr>
      <w:r>
        <w:rPr>
          <w:rFonts w:ascii="Calibri" w:hAnsi="Calibri" w:cs="Calibri"/>
          <w:sz w:val="24"/>
          <w:szCs w:val="24"/>
        </w:rPr>
        <w:t>B</w:t>
      </w:r>
      <w:r w:rsidR="00012988" w:rsidRPr="00F569AE">
        <w:rPr>
          <w:rFonts w:ascii="Calibri" w:hAnsi="Calibri" w:cs="Calibri"/>
          <w:sz w:val="24"/>
          <w:szCs w:val="24"/>
        </w:rPr>
        <w:t xml:space="preserve">oth </w:t>
      </w:r>
      <w:r>
        <w:rPr>
          <w:rFonts w:ascii="Calibri" w:hAnsi="Calibri" w:cs="Calibri"/>
          <w:sz w:val="24"/>
          <w:szCs w:val="24"/>
        </w:rPr>
        <w:t xml:space="preserve">in </w:t>
      </w:r>
      <w:r w:rsidR="00012988" w:rsidRPr="00F569AE">
        <w:rPr>
          <w:rFonts w:ascii="Calibri" w:hAnsi="Calibri" w:cs="Calibri"/>
          <w:sz w:val="24"/>
          <w:szCs w:val="24"/>
        </w:rPr>
        <w:t xml:space="preserve">FBiH and RS </w:t>
      </w:r>
      <w:r w:rsidR="006161D2" w:rsidRPr="00F569AE">
        <w:rPr>
          <w:rFonts w:ascii="Calibri" w:hAnsi="Calibri" w:cs="Calibri"/>
          <w:sz w:val="24"/>
          <w:szCs w:val="24"/>
        </w:rPr>
        <w:t xml:space="preserve">the </w:t>
      </w:r>
      <w:r w:rsidR="00012988" w:rsidRPr="00F569AE">
        <w:rPr>
          <w:rFonts w:ascii="Calibri" w:hAnsi="Calibri" w:cs="Calibri"/>
          <w:sz w:val="24"/>
          <w:szCs w:val="24"/>
        </w:rPr>
        <w:t xml:space="preserve">local governments are responsible for </w:t>
      </w:r>
      <w:r w:rsidR="006161D2" w:rsidRPr="00F569AE">
        <w:rPr>
          <w:rFonts w:ascii="Calibri" w:hAnsi="Calibri" w:cs="Calibri"/>
          <w:sz w:val="24"/>
          <w:szCs w:val="24"/>
        </w:rPr>
        <w:t xml:space="preserve">all </w:t>
      </w:r>
      <w:r w:rsidR="00012988" w:rsidRPr="00F569AE">
        <w:rPr>
          <w:rFonts w:ascii="Calibri" w:hAnsi="Calibri" w:cs="Calibri"/>
          <w:sz w:val="24"/>
          <w:szCs w:val="24"/>
        </w:rPr>
        <w:t xml:space="preserve">communal services, including </w:t>
      </w:r>
      <w:r w:rsidR="006161D2" w:rsidRPr="00F569AE">
        <w:rPr>
          <w:rFonts w:ascii="Calibri" w:hAnsi="Calibri" w:cs="Calibri"/>
          <w:sz w:val="24"/>
          <w:szCs w:val="24"/>
        </w:rPr>
        <w:t xml:space="preserve">drinking water </w:t>
      </w:r>
      <w:r w:rsidR="00012988" w:rsidRPr="00F569AE">
        <w:rPr>
          <w:rFonts w:ascii="Calibri" w:hAnsi="Calibri" w:cs="Calibri"/>
          <w:sz w:val="24"/>
          <w:szCs w:val="24"/>
        </w:rPr>
        <w:t>supply</w:t>
      </w:r>
      <w:r w:rsidR="006161D2" w:rsidRPr="00F569AE">
        <w:rPr>
          <w:rFonts w:ascii="Calibri" w:hAnsi="Calibri" w:cs="Calibri"/>
          <w:sz w:val="24"/>
          <w:szCs w:val="24"/>
        </w:rPr>
        <w:t xml:space="preserve"> and</w:t>
      </w:r>
      <w:r w:rsidR="00012988" w:rsidRPr="00F569AE">
        <w:rPr>
          <w:rFonts w:ascii="Calibri" w:hAnsi="Calibri" w:cs="Calibri"/>
          <w:sz w:val="24"/>
          <w:szCs w:val="24"/>
        </w:rPr>
        <w:t xml:space="preserve"> wastewater management</w:t>
      </w:r>
      <w:r w:rsidR="00583A20">
        <w:rPr>
          <w:rFonts w:ascii="Calibri" w:hAnsi="Calibri" w:cs="Calibri"/>
          <w:sz w:val="24"/>
          <w:szCs w:val="24"/>
        </w:rPr>
        <w:t xml:space="preserve">, </w:t>
      </w:r>
      <w:r w:rsidR="00583A20" w:rsidRPr="00583A20">
        <w:rPr>
          <w:rFonts w:ascii="Calibri" w:hAnsi="Calibri" w:cs="Calibri"/>
          <w:sz w:val="24"/>
          <w:szCs w:val="24"/>
        </w:rPr>
        <w:t>while the BiH Ministry of Foreign Trade and Economic Relations holds only a coordination role in international cooperation.</w:t>
      </w:r>
      <w:r w:rsidR="00012988" w:rsidRPr="00F569AE">
        <w:rPr>
          <w:rFonts w:ascii="Calibri" w:hAnsi="Calibri" w:cs="Calibri"/>
          <w:sz w:val="24"/>
          <w:szCs w:val="24"/>
        </w:rPr>
        <w:t xml:space="preserve"> </w:t>
      </w:r>
    </w:p>
    <w:p w14:paraId="226ED5CF" w14:textId="421D5182" w:rsidR="009446ED" w:rsidRPr="006332A6" w:rsidRDefault="006332A6" w:rsidP="006332A6">
      <w:pPr>
        <w:pStyle w:val="NormalWeb"/>
        <w:spacing w:after="120" w:afterAutospacing="0" w:line="276" w:lineRule="auto"/>
        <w:jc w:val="both"/>
        <w:rPr>
          <w:rFonts w:ascii="Calibri" w:hAnsi="Calibri" w:cs="Calibri"/>
          <w:color w:val="000000"/>
        </w:rPr>
      </w:pPr>
      <w:r w:rsidRPr="006332A6">
        <w:rPr>
          <w:rFonts w:ascii="Calibri" w:hAnsi="Calibri" w:cs="Calibri"/>
          <w:color w:val="000000"/>
        </w:rPr>
        <w:t xml:space="preserve">While BiH has made substantial progress in approximating EU water quality standards, further efforts are needed to ensure full alignment with the EU Drinking Water Directive and the Urban Wastewater Directive, thus creating preconditions for sustainable infrastructure investments. Actions implemented by MEG influenced the preparation and adoption of water service sector reform programs in both entities and ultimately shaping the new entity-level legal frameworks for water and wastewater services that are pending adoption. </w:t>
      </w:r>
      <w:r w:rsidR="00E07EA2" w:rsidRPr="00F569AE">
        <w:rPr>
          <w:rFonts w:ascii="Calibri" w:hAnsi="Calibri" w:cs="Calibri"/>
        </w:rPr>
        <w:t xml:space="preserve">However, the quality of water services at the local level </w:t>
      </w:r>
      <w:r w:rsidR="00546896" w:rsidRPr="00F569AE">
        <w:rPr>
          <w:rFonts w:ascii="Calibri" w:hAnsi="Calibri" w:cs="Calibri"/>
        </w:rPr>
        <w:t xml:space="preserve">is </w:t>
      </w:r>
      <w:r w:rsidR="00E07EA2" w:rsidRPr="00F569AE">
        <w:rPr>
          <w:rFonts w:ascii="Calibri" w:hAnsi="Calibri" w:cs="Calibri"/>
        </w:rPr>
        <w:t>confined by multiple systemic bottlenecks including but not limited to inadequate regulatory framework, often asymmetric local governance frameworks in both entities, unclear division of roles and responsibilities</w:t>
      </w:r>
      <w:r w:rsidR="00C15CCE">
        <w:rPr>
          <w:rFonts w:ascii="Calibri" w:hAnsi="Calibri" w:cs="Calibri"/>
        </w:rPr>
        <w:t xml:space="preserve"> between the LGs and WUCs</w:t>
      </w:r>
      <w:r w:rsidR="00E07EA2" w:rsidRPr="00F569AE">
        <w:rPr>
          <w:rFonts w:ascii="Calibri" w:hAnsi="Calibri" w:cs="Calibri"/>
        </w:rPr>
        <w:t xml:space="preserve">, poor management of scarce financial recourses, outdated water infrastructure and inadequate maintenance, confused ownership of water infrastructure assets, </w:t>
      </w:r>
      <w:r w:rsidR="00CE3988" w:rsidRPr="00F569AE">
        <w:rPr>
          <w:rFonts w:ascii="Calibri" w:hAnsi="Calibri" w:cs="Calibri"/>
        </w:rPr>
        <w:t xml:space="preserve">and </w:t>
      </w:r>
      <w:r w:rsidR="00E07EA2" w:rsidRPr="00F569AE">
        <w:rPr>
          <w:rFonts w:ascii="Calibri" w:hAnsi="Calibri" w:cs="Calibri"/>
        </w:rPr>
        <w:t>significant water losses (e.g. in irrigation system total losses are greater 50%)</w:t>
      </w:r>
      <w:r w:rsidR="00C15CCE">
        <w:rPr>
          <w:rFonts w:ascii="Calibri" w:hAnsi="Calibri" w:cs="Calibri"/>
        </w:rPr>
        <w:t>,</w:t>
      </w:r>
      <w:r w:rsidR="00E07EA2" w:rsidRPr="00F569AE">
        <w:rPr>
          <w:rStyle w:val="FootnoteReference"/>
          <w:rFonts w:ascii="Calibri" w:hAnsi="Calibri" w:cs="Calibri"/>
        </w:rPr>
        <w:footnoteReference w:id="28"/>
      </w:r>
      <w:r w:rsidR="00C15CCE">
        <w:rPr>
          <w:rFonts w:ascii="Calibri" w:hAnsi="Calibri" w:cs="Calibri"/>
        </w:rPr>
        <w:t xml:space="preserve"> etc.</w:t>
      </w:r>
      <w:r w:rsidR="00E07EA2" w:rsidRPr="00F569AE">
        <w:rPr>
          <w:rFonts w:ascii="Calibri" w:hAnsi="Calibri" w:cs="Calibri"/>
        </w:rPr>
        <w:t xml:space="preserve"> </w:t>
      </w:r>
    </w:p>
    <w:p w14:paraId="43F15638" w14:textId="77777777" w:rsidR="009446ED" w:rsidRPr="00F569AE" w:rsidRDefault="009446ED" w:rsidP="00E07EA2">
      <w:pPr>
        <w:pStyle w:val="p1"/>
        <w:spacing w:line="276" w:lineRule="auto"/>
        <w:jc w:val="both"/>
        <w:rPr>
          <w:rFonts w:ascii="Calibri" w:hAnsi="Calibri" w:cs="Calibri"/>
          <w:sz w:val="24"/>
          <w:szCs w:val="24"/>
        </w:rPr>
      </w:pPr>
    </w:p>
    <w:p w14:paraId="6FEBD71C" w14:textId="5D28C8DE" w:rsidR="002F0CF9" w:rsidRPr="00F569AE" w:rsidRDefault="00E07EA2" w:rsidP="00E07EA2">
      <w:pPr>
        <w:pStyle w:val="p1"/>
        <w:spacing w:line="276" w:lineRule="auto"/>
        <w:jc w:val="both"/>
        <w:rPr>
          <w:rFonts w:ascii="Calibri" w:hAnsi="Calibri" w:cs="Calibri"/>
          <w:sz w:val="24"/>
          <w:szCs w:val="24"/>
        </w:rPr>
      </w:pPr>
      <w:r w:rsidRPr="00F569AE">
        <w:rPr>
          <w:rFonts w:ascii="Calibri" w:hAnsi="Calibri" w:cs="Calibri"/>
          <w:sz w:val="24"/>
          <w:szCs w:val="24"/>
        </w:rPr>
        <w:t xml:space="preserve">The systemic improvement required a combined focus on </w:t>
      </w:r>
      <w:r w:rsidR="002F0CF9" w:rsidRPr="00F569AE">
        <w:rPr>
          <w:rFonts w:ascii="Calibri" w:hAnsi="Calibri" w:cs="Calibri"/>
          <w:sz w:val="24"/>
          <w:szCs w:val="24"/>
        </w:rPr>
        <w:t>addressing water service</w:t>
      </w:r>
      <w:r w:rsidR="00C15CCE">
        <w:rPr>
          <w:rFonts w:ascii="Calibri" w:hAnsi="Calibri" w:cs="Calibri"/>
          <w:sz w:val="24"/>
          <w:szCs w:val="24"/>
        </w:rPr>
        <w:t>s</w:t>
      </w:r>
      <w:r w:rsidR="002F0CF9" w:rsidRPr="00F569AE">
        <w:rPr>
          <w:rFonts w:ascii="Calibri" w:hAnsi="Calibri" w:cs="Calibri"/>
          <w:sz w:val="24"/>
          <w:szCs w:val="24"/>
        </w:rPr>
        <w:t xml:space="preserve"> delivery but also on critical limitations of local governance in BiH related </w:t>
      </w:r>
      <w:r w:rsidR="002F0CF9" w:rsidRPr="00F569AE">
        <w:rPr>
          <w:rFonts w:ascii="Calibri" w:hAnsi="Calibri" w:cs="Calibri"/>
          <w:i/>
          <w:sz w:val="24"/>
          <w:szCs w:val="24"/>
        </w:rPr>
        <w:t xml:space="preserve">inter alia </w:t>
      </w:r>
      <w:r w:rsidR="002F0CF9" w:rsidRPr="00F569AE">
        <w:rPr>
          <w:rFonts w:ascii="Calibri" w:hAnsi="Calibri" w:cs="Calibri"/>
          <w:sz w:val="24"/>
          <w:szCs w:val="24"/>
        </w:rPr>
        <w:t>to highly complex governance structure</w:t>
      </w:r>
      <w:r w:rsidR="00813CAE" w:rsidRPr="00F569AE">
        <w:rPr>
          <w:rFonts w:ascii="Calibri" w:hAnsi="Calibri" w:cs="Calibri"/>
          <w:sz w:val="24"/>
          <w:szCs w:val="24"/>
        </w:rPr>
        <w:t xml:space="preserve"> particularly in FBiH</w:t>
      </w:r>
      <w:r w:rsidR="002F0CF9" w:rsidRPr="00F569AE">
        <w:rPr>
          <w:rFonts w:ascii="Calibri" w:hAnsi="Calibri" w:cs="Calibri"/>
          <w:sz w:val="24"/>
          <w:szCs w:val="24"/>
        </w:rPr>
        <w:t>, weak capacities</w:t>
      </w:r>
      <w:r w:rsidR="002A0C22" w:rsidRPr="00F569AE">
        <w:rPr>
          <w:rFonts w:ascii="Calibri" w:hAnsi="Calibri" w:cs="Calibri"/>
          <w:sz w:val="24"/>
          <w:szCs w:val="24"/>
        </w:rPr>
        <w:t xml:space="preserve"> </w:t>
      </w:r>
      <w:r w:rsidR="007C3C01" w:rsidRPr="00F569AE">
        <w:rPr>
          <w:rFonts w:ascii="Calibri" w:hAnsi="Calibri" w:cs="Calibri"/>
          <w:sz w:val="24"/>
          <w:szCs w:val="24"/>
        </w:rPr>
        <w:t>at the local level</w:t>
      </w:r>
      <w:r w:rsidR="002F0CF9" w:rsidRPr="00F569AE">
        <w:rPr>
          <w:rFonts w:ascii="Calibri" w:hAnsi="Calibri" w:cs="Calibri"/>
          <w:sz w:val="24"/>
          <w:szCs w:val="24"/>
        </w:rPr>
        <w:t xml:space="preserve">, political interference, limited financial autonomy, lack of clarity in the division of competences between local governments and higher </w:t>
      </w:r>
      <w:r w:rsidR="00CC05D4" w:rsidRPr="00F569AE">
        <w:rPr>
          <w:rFonts w:ascii="Calibri" w:hAnsi="Calibri" w:cs="Calibri"/>
          <w:sz w:val="24"/>
          <w:szCs w:val="24"/>
        </w:rPr>
        <w:t xml:space="preserve">levels of government, </w:t>
      </w:r>
      <w:r w:rsidR="00CE3988" w:rsidRPr="00F569AE">
        <w:rPr>
          <w:rFonts w:ascii="Calibri" w:hAnsi="Calibri" w:cs="Calibri"/>
          <w:sz w:val="24"/>
          <w:szCs w:val="24"/>
        </w:rPr>
        <w:t xml:space="preserve">and </w:t>
      </w:r>
      <w:r w:rsidR="00CC05D4" w:rsidRPr="00F569AE">
        <w:rPr>
          <w:rFonts w:ascii="Calibri" w:hAnsi="Calibri" w:cs="Calibri"/>
          <w:sz w:val="24"/>
          <w:szCs w:val="24"/>
        </w:rPr>
        <w:t xml:space="preserve">large </w:t>
      </w:r>
      <w:r w:rsidR="00323B97">
        <w:rPr>
          <w:rFonts w:ascii="Calibri" w:hAnsi="Calibri" w:cs="Calibri"/>
          <w:sz w:val="24"/>
          <w:szCs w:val="24"/>
        </w:rPr>
        <w:t>difference in</w:t>
      </w:r>
      <w:r w:rsidR="00CC05D4" w:rsidRPr="00F569AE">
        <w:rPr>
          <w:rFonts w:ascii="Calibri" w:hAnsi="Calibri" w:cs="Calibri"/>
          <w:sz w:val="24"/>
          <w:szCs w:val="24"/>
        </w:rPr>
        <w:t xml:space="preserve"> </w:t>
      </w:r>
      <w:r w:rsidR="00CC05D4" w:rsidRPr="00F569AE">
        <w:rPr>
          <w:rFonts w:ascii="Calibri" w:hAnsi="Calibri" w:cs="Calibri"/>
          <w:sz w:val="24"/>
          <w:szCs w:val="24"/>
        </w:rPr>
        <w:lastRenderedPageBreak/>
        <w:t>effectiveness of each municipality explained by multiple factors ranging from its size to</w:t>
      </w:r>
      <w:r w:rsidR="007C3C01" w:rsidRPr="00F569AE">
        <w:rPr>
          <w:rFonts w:ascii="Calibri" w:hAnsi="Calibri" w:cs="Calibri"/>
          <w:sz w:val="24"/>
          <w:szCs w:val="24"/>
        </w:rPr>
        <w:t xml:space="preserve"> financial capabilities</w:t>
      </w:r>
      <w:r w:rsidR="002F0CF9" w:rsidRPr="00F569AE">
        <w:rPr>
          <w:rFonts w:ascii="Calibri" w:hAnsi="Calibri" w:cs="Calibri"/>
          <w:sz w:val="24"/>
          <w:szCs w:val="24"/>
        </w:rPr>
        <w:t>.</w:t>
      </w:r>
      <w:r w:rsidR="002F0CF9" w:rsidRPr="00F569AE">
        <w:rPr>
          <w:rStyle w:val="FootnoteReference"/>
          <w:rFonts w:ascii="Calibri" w:hAnsi="Calibri" w:cs="Calibri"/>
          <w:sz w:val="24"/>
          <w:szCs w:val="24"/>
        </w:rPr>
        <w:footnoteReference w:id="29"/>
      </w:r>
      <w:r w:rsidR="002F0CF9" w:rsidRPr="00F569AE">
        <w:rPr>
          <w:rFonts w:ascii="Calibri" w:hAnsi="Calibri" w:cs="Calibri"/>
          <w:sz w:val="24"/>
          <w:szCs w:val="24"/>
        </w:rPr>
        <w:t xml:space="preserve"> </w:t>
      </w:r>
    </w:p>
    <w:p w14:paraId="31C857C7" w14:textId="1D521360" w:rsidR="00C417FD" w:rsidRPr="00F569AE" w:rsidRDefault="00C417FD" w:rsidP="00EF0C25">
      <w:pPr>
        <w:pStyle w:val="p1"/>
        <w:spacing w:line="276" w:lineRule="auto"/>
        <w:jc w:val="both"/>
        <w:rPr>
          <w:rFonts w:ascii="Calibri" w:hAnsi="Calibri" w:cs="Calibri"/>
          <w:sz w:val="24"/>
          <w:szCs w:val="24"/>
        </w:rPr>
      </w:pPr>
    </w:p>
    <w:p w14:paraId="3950158B" w14:textId="49EB7AE0" w:rsidR="00DE0014" w:rsidRPr="00DE0014" w:rsidRDefault="00E07274" w:rsidP="006C530E">
      <w:pPr>
        <w:pStyle w:val="p1"/>
        <w:numPr>
          <w:ilvl w:val="0"/>
          <w:numId w:val="40"/>
        </w:numPr>
        <w:spacing w:line="276" w:lineRule="auto"/>
        <w:rPr>
          <w:rFonts w:ascii="Calibri" w:hAnsi="Calibri" w:cs="Calibri"/>
          <w:i/>
          <w:sz w:val="24"/>
          <w:szCs w:val="24"/>
        </w:rPr>
      </w:pPr>
      <w:r w:rsidRPr="00DB779B">
        <w:rPr>
          <w:rFonts w:ascii="Calibri" w:hAnsi="Calibri" w:cs="Calibri"/>
          <w:i/>
          <w:sz w:val="24"/>
          <w:szCs w:val="24"/>
        </w:rPr>
        <w:t xml:space="preserve">UNDP strategic context </w:t>
      </w:r>
    </w:p>
    <w:p w14:paraId="422E9603" w14:textId="60F7728A" w:rsidR="00EF0C25" w:rsidRDefault="00DE0014" w:rsidP="00EF0C25">
      <w:pPr>
        <w:pStyle w:val="p1"/>
        <w:spacing w:line="276" w:lineRule="auto"/>
        <w:jc w:val="both"/>
        <w:rPr>
          <w:rFonts w:ascii="Calibri" w:hAnsi="Calibri" w:cs="Calibri"/>
          <w:sz w:val="24"/>
          <w:szCs w:val="24"/>
        </w:rPr>
      </w:pPr>
      <w:r w:rsidRPr="00F569AE">
        <w:rPr>
          <w:rFonts w:ascii="Calibri" w:hAnsi="Calibri" w:cs="Calibri"/>
          <w:sz w:val="24"/>
          <w:szCs w:val="24"/>
        </w:rPr>
        <w:t>UNDP in BiH supports the country’s development priorities as defined in UNDP Country programme document 2021-2025</w:t>
      </w:r>
      <w:r>
        <w:rPr>
          <w:rFonts w:ascii="Calibri" w:hAnsi="Calibri" w:cs="Calibri"/>
          <w:sz w:val="24"/>
          <w:szCs w:val="24"/>
        </w:rPr>
        <w:t>.</w:t>
      </w:r>
      <w:r>
        <w:rPr>
          <w:rStyle w:val="FootnoteReference"/>
          <w:rFonts w:ascii="Calibri" w:hAnsi="Calibri" w:cs="Calibri"/>
          <w:sz w:val="24"/>
          <w:szCs w:val="24"/>
        </w:rPr>
        <w:footnoteReference w:id="30"/>
      </w:r>
      <w:r>
        <w:rPr>
          <w:rFonts w:ascii="Calibri" w:hAnsi="Calibri" w:cs="Calibri"/>
          <w:sz w:val="24"/>
          <w:szCs w:val="24"/>
        </w:rPr>
        <w:t xml:space="preserve"> The corporate priorities defined in the CPD 202</w:t>
      </w:r>
      <w:r w:rsidR="00732E11">
        <w:rPr>
          <w:rFonts w:ascii="Calibri" w:hAnsi="Calibri" w:cs="Calibri"/>
          <w:sz w:val="24"/>
          <w:szCs w:val="24"/>
        </w:rPr>
        <w:t>1</w:t>
      </w:r>
      <w:r>
        <w:rPr>
          <w:rFonts w:ascii="Calibri" w:hAnsi="Calibri" w:cs="Calibri"/>
          <w:sz w:val="24"/>
          <w:szCs w:val="24"/>
        </w:rPr>
        <w:t xml:space="preserve">-2025 guide the programmatic portfolio of UNDP in BiH to </w:t>
      </w:r>
      <w:r w:rsidRPr="00F569AE">
        <w:rPr>
          <w:rFonts w:ascii="Calibri" w:hAnsi="Calibri" w:cs="Calibri"/>
          <w:sz w:val="24"/>
          <w:szCs w:val="24"/>
        </w:rPr>
        <w:t>contribut</w:t>
      </w:r>
      <w:r>
        <w:rPr>
          <w:rFonts w:ascii="Calibri" w:hAnsi="Calibri" w:cs="Calibri"/>
          <w:sz w:val="24"/>
          <w:szCs w:val="24"/>
        </w:rPr>
        <w:t>e</w:t>
      </w:r>
      <w:r w:rsidRPr="00F569AE">
        <w:rPr>
          <w:rFonts w:ascii="Calibri" w:hAnsi="Calibri" w:cs="Calibri"/>
          <w:sz w:val="24"/>
          <w:szCs w:val="24"/>
        </w:rPr>
        <w:t xml:space="preserve"> to </w:t>
      </w:r>
      <w:r>
        <w:rPr>
          <w:rFonts w:ascii="Calibri" w:hAnsi="Calibri" w:cs="Calibri"/>
          <w:sz w:val="24"/>
          <w:szCs w:val="24"/>
        </w:rPr>
        <w:t xml:space="preserve">the </w:t>
      </w:r>
      <w:r w:rsidRPr="00F569AE">
        <w:rPr>
          <w:rFonts w:ascii="Calibri" w:hAnsi="Calibri" w:cs="Calibri"/>
          <w:sz w:val="24"/>
          <w:szCs w:val="24"/>
        </w:rPr>
        <w:t xml:space="preserve">three out of five priority outcomes defined under the UN Sustainable Development Cooperation Framework (UNSDCF) BiH 2021-2025. Specifically, UNDP contributes to </w:t>
      </w:r>
      <w:r>
        <w:rPr>
          <w:rFonts w:ascii="Calibri" w:hAnsi="Calibri" w:cs="Calibri"/>
          <w:sz w:val="24"/>
          <w:szCs w:val="24"/>
        </w:rPr>
        <w:t xml:space="preserve">(i) </w:t>
      </w:r>
      <w:r w:rsidRPr="00F569AE">
        <w:rPr>
          <w:rFonts w:ascii="Calibri" w:hAnsi="Calibri" w:cs="Calibri"/>
          <w:sz w:val="24"/>
          <w:szCs w:val="24"/>
        </w:rPr>
        <w:t xml:space="preserve">sustainable and inclusive growth, </w:t>
      </w:r>
      <w:r>
        <w:rPr>
          <w:rFonts w:ascii="Calibri" w:hAnsi="Calibri" w:cs="Calibri"/>
          <w:sz w:val="24"/>
          <w:szCs w:val="24"/>
        </w:rPr>
        <w:t xml:space="preserve">(ii) </w:t>
      </w:r>
      <w:r w:rsidRPr="00F569AE">
        <w:rPr>
          <w:rFonts w:ascii="Calibri" w:hAnsi="Calibri" w:cs="Calibri"/>
          <w:sz w:val="24"/>
          <w:szCs w:val="24"/>
        </w:rPr>
        <w:t xml:space="preserve">people-centered governance, and </w:t>
      </w:r>
      <w:r>
        <w:rPr>
          <w:rFonts w:ascii="Calibri" w:hAnsi="Calibri" w:cs="Calibri"/>
          <w:sz w:val="24"/>
          <w:szCs w:val="24"/>
        </w:rPr>
        <w:t xml:space="preserve">(iii) </w:t>
      </w:r>
      <w:r w:rsidRPr="00F569AE">
        <w:rPr>
          <w:rFonts w:ascii="Calibri" w:hAnsi="Calibri" w:cs="Calibri"/>
          <w:sz w:val="24"/>
          <w:szCs w:val="24"/>
        </w:rPr>
        <w:t>social cohesion.</w:t>
      </w:r>
    </w:p>
    <w:p w14:paraId="4BA25F25" w14:textId="77777777" w:rsidR="00DE0014" w:rsidRPr="00F569AE" w:rsidRDefault="00DE0014" w:rsidP="00EF0C25">
      <w:pPr>
        <w:pStyle w:val="p1"/>
        <w:spacing w:line="276" w:lineRule="auto"/>
        <w:jc w:val="both"/>
        <w:rPr>
          <w:rFonts w:ascii="Calibri" w:hAnsi="Calibri" w:cs="Calibri"/>
          <w:sz w:val="24"/>
          <w:szCs w:val="24"/>
        </w:rPr>
      </w:pPr>
    </w:p>
    <w:p w14:paraId="560F4C18" w14:textId="707CC3B2" w:rsidR="00FE6D53" w:rsidRDefault="00381620" w:rsidP="00381620">
      <w:pPr>
        <w:pStyle w:val="p1"/>
        <w:spacing w:line="276" w:lineRule="auto"/>
        <w:jc w:val="both"/>
        <w:rPr>
          <w:rFonts w:ascii="Calibri" w:hAnsi="Calibri" w:cs="Calibri"/>
          <w:sz w:val="24"/>
          <w:szCs w:val="24"/>
        </w:rPr>
      </w:pPr>
      <w:r>
        <w:rPr>
          <w:rFonts w:ascii="Calibri" w:hAnsi="Calibri" w:cs="Calibri"/>
          <w:sz w:val="24"/>
          <w:szCs w:val="24"/>
        </w:rPr>
        <w:t>I</w:t>
      </w:r>
      <w:r w:rsidR="00DD2B7A" w:rsidRPr="00F569AE">
        <w:rPr>
          <w:rFonts w:ascii="Calibri" w:hAnsi="Calibri" w:cs="Calibri"/>
          <w:sz w:val="24"/>
          <w:szCs w:val="24"/>
        </w:rPr>
        <w:t>n</w:t>
      </w:r>
      <w:r w:rsidR="00E967C6" w:rsidRPr="00F569AE">
        <w:rPr>
          <w:rFonts w:ascii="Calibri" w:hAnsi="Calibri" w:cs="Calibri"/>
          <w:sz w:val="24"/>
          <w:szCs w:val="24"/>
        </w:rPr>
        <w:t xml:space="preserve"> 2023 UNDP initiated consultations on the portfolio approach</w:t>
      </w:r>
      <w:r w:rsidR="00D44851" w:rsidRPr="00F569AE">
        <w:rPr>
          <w:rStyle w:val="FootnoteReference"/>
          <w:rFonts w:ascii="Calibri" w:hAnsi="Calibri" w:cs="Calibri"/>
          <w:sz w:val="24"/>
          <w:szCs w:val="24"/>
        </w:rPr>
        <w:footnoteReference w:id="31"/>
      </w:r>
      <w:r w:rsidR="00E967C6" w:rsidRPr="00F569AE">
        <w:rPr>
          <w:rFonts w:ascii="Calibri" w:hAnsi="Calibri" w:cs="Calibri"/>
          <w:sz w:val="24"/>
          <w:szCs w:val="24"/>
        </w:rPr>
        <w:t xml:space="preserve"> in BiH</w:t>
      </w:r>
      <w:r>
        <w:rPr>
          <w:rFonts w:ascii="Calibri" w:hAnsi="Calibri" w:cs="Calibri"/>
          <w:sz w:val="24"/>
          <w:szCs w:val="24"/>
        </w:rPr>
        <w:t xml:space="preserve"> and</w:t>
      </w:r>
      <w:r w:rsidR="00DE0014">
        <w:rPr>
          <w:rFonts w:ascii="Calibri" w:hAnsi="Calibri" w:cs="Calibri"/>
          <w:sz w:val="24"/>
          <w:szCs w:val="24"/>
        </w:rPr>
        <w:t xml:space="preserve"> has become one of the two UNDP Country Offices across the globe to champion portfolio approach</w:t>
      </w:r>
      <w:r>
        <w:rPr>
          <w:rFonts w:ascii="Calibri" w:hAnsi="Calibri" w:cs="Calibri"/>
          <w:sz w:val="24"/>
          <w:szCs w:val="24"/>
        </w:rPr>
        <w:t xml:space="preserve"> in 2025</w:t>
      </w:r>
      <w:r w:rsidR="00DD2B7A" w:rsidRPr="00F569AE">
        <w:rPr>
          <w:rFonts w:ascii="Calibri" w:hAnsi="Calibri" w:cs="Calibri"/>
          <w:sz w:val="24"/>
          <w:szCs w:val="24"/>
        </w:rPr>
        <w:t xml:space="preserve">. </w:t>
      </w:r>
      <w:r w:rsidR="00DE0014">
        <w:rPr>
          <w:rFonts w:ascii="Calibri" w:hAnsi="Calibri" w:cs="Calibri"/>
          <w:sz w:val="24"/>
          <w:szCs w:val="24"/>
        </w:rPr>
        <w:t xml:space="preserve">While at the time of the MEG programme initiation there was no formal portfolio approach </w:t>
      </w:r>
      <w:r>
        <w:rPr>
          <w:rFonts w:ascii="Calibri" w:hAnsi="Calibri" w:cs="Calibri"/>
          <w:sz w:val="24"/>
          <w:szCs w:val="24"/>
        </w:rPr>
        <w:t>within</w:t>
      </w:r>
      <w:r w:rsidR="00DE0014">
        <w:rPr>
          <w:rFonts w:ascii="Calibri" w:hAnsi="Calibri" w:cs="Calibri"/>
          <w:sz w:val="24"/>
          <w:szCs w:val="24"/>
        </w:rPr>
        <w:t xml:space="preserve"> UNDP BiH, h</w:t>
      </w:r>
      <w:r w:rsidR="00DD2B7A" w:rsidRPr="00F569AE">
        <w:rPr>
          <w:rFonts w:ascii="Calibri" w:hAnsi="Calibri" w:cs="Calibri"/>
          <w:sz w:val="24"/>
          <w:szCs w:val="24"/>
        </w:rPr>
        <w:t xml:space="preserve">owever, the recognition of criticality </w:t>
      </w:r>
      <w:r>
        <w:rPr>
          <w:rFonts w:ascii="Calibri" w:hAnsi="Calibri" w:cs="Calibri"/>
          <w:sz w:val="24"/>
          <w:szCs w:val="24"/>
        </w:rPr>
        <w:t>of</w:t>
      </w:r>
      <w:r w:rsidR="00DD2B7A" w:rsidRPr="00F569AE">
        <w:rPr>
          <w:rFonts w:ascii="Calibri" w:hAnsi="Calibri" w:cs="Calibri"/>
          <w:sz w:val="24"/>
          <w:szCs w:val="24"/>
        </w:rPr>
        <w:t xml:space="preserve"> approach</w:t>
      </w:r>
      <w:r>
        <w:rPr>
          <w:rFonts w:ascii="Calibri" w:hAnsi="Calibri" w:cs="Calibri"/>
          <w:sz w:val="24"/>
          <w:szCs w:val="24"/>
        </w:rPr>
        <w:t>ing</w:t>
      </w:r>
      <w:r w:rsidR="00DD2B7A" w:rsidRPr="00F569AE">
        <w:rPr>
          <w:rFonts w:ascii="Calibri" w:hAnsi="Calibri" w:cs="Calibri"/>
          <w:sz w:val="24"/>
          <w:szCs w:val="24"/>
        </w:rPr>
        <w:t xml:space="preserve"> any </w:t>
      </w:r>
      <w:r w:rsidR="00CA6BD9">
        <w:rPr>
          <w:rFonts w:ascii="Calibri" w:hAnsi="Calibri" w:cs="Calibri"/>
          <w:sz w:val="24"/>
          <w:szCs w:val="24"/>
        </w:rPr>
        <w:t xml:space="preserve">programme or </w:t>
      </w:r>
      <w:r w:rsidR="00DD2B7A" w:rsidRPr="00F569AE">
        <w:rPr>
          <w:rFonts w:ascii="Calibri" w:hAnsi="Calibri" w:cs="Calibri"/>
          <w:sz w:val="24"/>
          <w:szCs w:val="24"/>
        </w:rPr>
        <w:t xml:space="preserve">project from </w:t>
      </w:r>
      <w:r w:rsidR="00CA6BD9">
        <w:rPr>
          <w:rFonts w:ascii="Calibri" w:hAnsi="Calibri" w:cs="Calibri"/>
          <w:sz w:val="24"/>
          <w:szCs w:val="24"/>
        </w:rPr>
        <w:t xml:space="preserve">a </w:t>
      </w:r>
      <w:r w:rsidR="00DD2B7A" w:rsidRPr="00F569AE">
        <w:rPr>
          <w:rFonts w:ascii="Calibri" w:hAnsi="Calibri" w:cs="Calibri"/>
          <w:sz w:val="24"/>
          <w:szCs w:val="24"/>
        </w:rPr>
        <w:t xml:space="preserve">systems perspective, </w:t>
      </w:r>
      <w:r w:rsidR="00CA6BD9">
        <w:rPr>
          <w:rFonts w:ascii="Calibri" w:hAnsi="Calibri" w:cs="Calibri"/>
          <w:sz w:val="24"/>
          <w:szCs w:val="24"/>
        </w:rPr>
        <w:t>by addressing</w:t>
      </w:r>
      <w:r w:rsidR="00DD2B7A" w:rsidRPr="00F569AE">
        <w:rPr>
          <w:rFonts w:ascii="Calibri" w:hAnsi="Calibri" w:cs="Calibri"/>
          <w:sz w:val="24"/>
          <w:szCs w:val="24"/>
        </w:rPr>
        <w:t xml:space="preserve"> underlying interdependences, was not novel. </w:t>
      </w:r>
      <w:r w:rsidR="00DE0014">
        <w:rPr>
          <w:rFonts w:ascii="Calibri" w:hAnsi="Calibri" w:cs="Calibri"/>
          <w:sz w:val="24"/>
          <w:szCs w:val="24"/>
        </w:rPr>
        <w:t>Since its inception,</w:t>
      </w:r>
      <w:r w:rsidR="00DD2B7A" w:rsidRPr="00F569AE">
        <w:rPr>
          <w:rFonts w:ascii="Calibri" w:hAnsi="Calibri" w:cs="Calibri"/>
          <w:sz w:val="24"/>
          <w:szCs w:val="24"/>
        </w:rPr>
        <w:t xml:space="preserve"> the MEG programme </w:t>
      </w:r>
      <w:r w:rsidR="00DE0014">
        <w:rPr>
          <w:rFonts w:ascii="Calibri" w:hAnsi="Calibri" w:cs="Calibri"/>
          <w:sz w:val="24"/>
          <w:szCs w:val="24"/>
        </w:rPr>
        <w:t xml:space="preserve">was </w:t>
      </w:r>
      <w:r w:rsidR="00DD2B7A" w:rsidRPr="00F569AE">
        <w:rPr>
          <w:rFonts w:ascii="Calibri" w:hAnsi="Calibri" w:cs="Calibri"/>
          <w:sz w:val="24"/>
          <w:szCs w:val="24"/>
        </w:rPr>
        <w:t xml:space="preserve">designed </w:t>
      </w:r>
      <w:r w:rsidR="00DE0014">
        <w:rPr>
          <w:rFonts w:ascii="Calibri" w:hAnsi="Calibri" w:cs="Calibri"/>
          <w:sz w:val="24"/>
          <w:szCs w:val="24"/>
        </w:rPr>
        <w:t>with systems lenses allowing considering it as an</w:t>
      </w:r>
      <w:r w:rsidR="00DD2B7A" w:rsidRPr="00F569AE">
        <w:rPr>
          <w:rFonts w:ascii="Calibri" w:hAnsi="Calibri" w:cs="Calibri"/>
          <w:sz w:val="24"/>
          <w:szCs w:val="24"/>
        </w:rPr>
        <w:t xml:space="preserve"> example of portfolio approach at the programme level within UNDP BiH.</w:t>
      </w:r>
      <w:r w:rsidR="00D44851" w:rsidRPr="00F569AE">
        <w:rPr>
          <w:rFonts w:ascii="Calibri" w:hAnsi="Calibri" w:cs="Calibri"/>
          <w:sz w:val="24"/>
          <w:szCs w:val="24"/>
        </w:rPr>
        <w:t xml:space="preserve"> </w:t>
      </w:r>
      <w:r>
        <w:rPr>
          <w:rFonts w:ascii="Calibri" w:hAnsi="Calibri" w:cs="Calibri"/>
          <w:sz w:val="24"/>
          <w:szCs w:val="24"/>
        </w:rPr>
        <w:t>I</w:t>
      </w:r>
      <w:r w:rsidRPr="00F569AE">
        <w:rPr>
          <w:rFonts w:ascii="Calibri" w:hAnsi="Calibri" w:cs="Calibri"/>
          <w:sz w:val="24"/>
          <w:szCs w:val="24"/>
        </w:rPr>
        <w:t xml:space="preserve">n case of </w:t>
      </w:r>
      <w:r w:rsidRPr="00CA6BD9">
        <w:rPr>
          <w:rFonts w:ascii="Calibri" w:hAnsi="Calibri" w:cs="Calibri"/>
          <w:sz w:val="24"/>
          <w:szCs w:val="24"/>
        </w:rPr>
        <w:t>MEG/EU4MEG project</w:t>
      </w:r>
      <w:r>
        <w:rPr>
          <w:rFonts w:ascii="Calibri" w:hAnsi="Calibri" w:cs="Calibri"/>
          <w:sz w:val="24"/>
          <w:szCs w:val="24"/>
        </w:rPr>
        <w:t>,</w:t>
      </w:r>
      <w:r w:rsidRPr="00F569AE">
        <w:rPr>
          <w:rFonts w:ascii="Calibri" w:hAnsi="Calibri" w:cs="Calibri"/>
          <w:sz w:val="24"/>
          <w:szCs w:val="24"/>
        </w:rPr>
        <w:t xml:space="preserve"> </w:t>
      </w:r>
      <w:r w:rsidR="00D44851" w:rsidRPr="00F569AE">
        <w:rPr>
          <w:rFonts w:ascii="Calibri" w:hAnsi="Calibri" w:cs="Calibri"/>
          <w:sz w:val="24"/>
          <w:szCs w:val="24"/>
        </w:rPr>
        <w:t>the</w:t>
      </w:r>
      <w:r w:rsidR="003959BF" w:rsidRPr="00F569AE">
        <w:rPr>
          <w:rFonts w:ascii="Calibri" w:hAnsi="Calibri" w:cs="Calibri"/>
          <w:sz w:val="24"/>
          <w:szCs w:val="24"/>
        </w:rPr>
        <w:t xml:space="preserve"> </w:t>
      </w:r>
      <w:r w:rsidR="009446ED" w:rsidRPr="00F569AE">
        <w:rPr>
          <w:rFonts w:ascii="Calibri" w:hAnsi="Calibri" w:cs="Calibri"/>
          <w:sz w:val="24"/>
          <w:szCs w:val="24"/>
        </w:rPr>
        <w:t>‘portfolio approach’</w:t>
      </w:r>
      <w:r w:rsidR="00D44851" w:rsidRPr="00F569AE">
        <w:rPr>
          <w:rFonts w:ascii="Calibri" w:hAnsi="Calibri" w:cs="Calibri"/>
          <w:sz w:val="24"/>
          <w:szCs w:val="24"/>
        </w:rPr>
        <w:t xml:space="preserve"> </w:t>
      </w:r>
      <w:r w:rsidR="009446ED" w:rsidRPr="00F569AE">
        <w:rPr>
          <w:rFonts w:ascii="Calibri" w:hAnsi="Calibri" w:cs="Calibri"/>
          <w:sz w:val="24"/>
          <w:szCs w:val="24"/>
        </w:rPr>
        <w:t xml:space="preserve">implies addressing complex systemic </w:t>
      </w:r>
      <w:r>
        <w:rPr>
          <w:rFonts w:ascii="Calibri" w:hAnsi="Calibri" w:cs="Calibri"/>
          <w:sz w:val="24"/>
          <w:szCs w:val="24"/>
        </w:rPr>
        <w:t>bottlenecks</w:t>
      </w:r>
      <w:r w:rsidR="009446ED" w:rsidRPr="00F569AE">
        <w:rPr>
          <w:rFonts w:ascii="Calibri" w:hAnsi="Calibri" w:cs="Calibri"/>
          <w:sz w:val="24"/>
          <w:szCs w:val="24"/>
        </w:rPr>
        <w:t xml:space="preserve"> of </w:t>
      </w:r>
      <w:r w:rsidR="00CA6BD9">
        <w:rPr>
          <w:rFonts w:ascii="Calibri" w:hAnsi="Calibri" w:cs="Calibri"/>
          <w:sz w:val="24"/>
          <w:szCs w:val="24"/>
        </w:rPr>
        <w:t xml:space="preserve">the </w:t>
      </w:r>
      <w:r w:rsidR="009446ED" w:rsidRPr="00F569AE">
        <w:rPr>
          <w:rFonts w:ascii="Calibri" w:hAnsi="Calibri" w:cs="Calibri"/>
          <w:sz w:val="24"/>
          <w:szCs w:val="24"/>
        </w:rPr>
        <w:t xml:space="preserve">local governance, </w:t>
      </w:r>
      <w:r w:rsidR="00D44851" w:rsidRPr="00F569AE">
        <w:rPr>
          <w:rFonts w:ascii="Calibri" w:hAnsi="Calibri" w:cs="Calibri"/>
          <w:sz w:val="24"/>
          <w:szCs w:val="24"/>
        </w:rPr>
        <w:t>with specific focus on</w:t>
      </w:r>
      <w:r w:rsidR="009446ED" w:rsidRPr="00F569AE">
        <w:rPr>
          <w:rFonts w:ascii="Calibri" w:hAnsi="Calibri" w:cs="Calibri"/>
          <w:sz w:val="24"/>
          <w:szCs w:val="24"/>
        </w:rPr>
        <w:t xml:space="preserve"> </w:t>
      </w:r>
      <w:r w:rsidR="003959BF" w:rsidRPr="00F569AE">
        <w:rPr>
          <w:rFonts w:ascii="Calibri" w:hAnsi="Calibri" w:cs="Calibri"/>
          <w:sz w:val="24"/>
          <w:szCs w:val="24"/>
        </w:rPr>
        <w:t xml:space="preserve">the </w:t>
      </w:r>
      <w:r w:rsidR="003E25A3" w:rsidRPr="00F569AE">
        <w:rPr>
          <w:rFonts w:ascii="Calibri" w:hAnsi="Calibri" w:cs="Calibri"/>
          <w:sz w:val="24"/>
          <w:szCs w:val="24"/>
        </w:rPr>
        <w:t xml:space="preserve">provision of </w:t>
      </w:r>
      <w:r w:rsidR="009446ED" w:rsidRPr="00F569AE">
        <w:rPr>
          <w:rFonts w:ascii="Calibri" w:hAnsi="Calibri" w:cs="Calibri"/>
          <w:sz w:val="24"/>
          <w:szCs w:val="24"/>
        </w:rPr>
        <w:t>water services. The larger idea entails</w:t>
      </w:r>
      <w:r w:rsidR="00CA6BD9">
        <w:rPr>
          <w:rFonts w:ascii="Calibri" w:hAnsi="Calibri" w:cs="Calibri"/>
          <w:sz w:val="24"/>
          <w:szCs w:val="24"/>
        </w:rPr>
        <w:t xml:space="preserve"> that interconnected interventions </w:t>
      </w:r>
      <w:r>
        <w:rPr>
          <w:rFonts w:ascii="Calibri" w:hAnsi="Calibri" w:cs="Calibri"/>
          <w:sz w:val="24"/>
          <w:szCs w:val="24"/>
        </w:rPr>
        <w:t xml:space="preserve">would trigger ripple effects and elevating systems performance across both </w:t>
      </w:r>
      <w:r w:rsidR="00CA6BD9" w:rsidRPr="00F569AE">
        <w:rPr>
          <w:rFonts w:ascii="Calibri" w:hAnsi="Calibri" w:cs="Calibri"/>
          <w:sz w:val="24"/>
          <w:szCs w:val="24"/>
        </w:rPr>
        <w:t xml:space="preserve">local governance and water services </w:t>
      </w:r>
      <w:r>
        <w:rPr>
          <w:rFonts w:ascii="Calibri" w:hAnsi="Calibri" w:cs="Calibri"/>
          <w:sz w:val="24"/>
          <w:szCs w:val="24"/>
        </w:rPr>
        <w:t>sectors.</w:t>
      </w:r>
    </w:p>
    <w:p w14:paraId="4EDFA3B6" w14:textId="77777777" w:rsidR="00381620" w:rsidRPr="00F569AE" w:rsidRDefault="00381620" w:rsidP="00381620">
      <w:pPr>
        <w:pStyle w:val="p1"/>
        <w:spacing w:line="276" w:lineRule="auto"/>
        <w:jc w:val="both"/>
        <w:rPr>
          <w:rFonts w:ascii="Calibri" w:hAnsi="Calibri" w:cs="Calibri"/>
          <w:sz w:val="24"/>
          <w:szCs w:val="24"/>
        </w:rPr>
      </w:pPr>
    </w:p>
    <w:p w14:paraId="27534A18" w14:textId="41516F44" w:rsidR="00CF095C" w:rsidRPr="00DB779B" w:rsidRDefault="00FE6D53" w:rsidP="006C530E">
      <w:pPr>
        <w:pStyle w:val="p1"/>
        <w:numPr>
          <w:ilvl w:val="0"/>
          <w:numId w:val="41"/>
        </w:numPr>
        <w:spacing w:line="276" w:lineRule="auto"/>
        <w:rPr>
          <w:rFonts w:ascii="Calibri" w:hAnsi="Calibri" w:cs="Calibri"/>
          <w:i/>
          <w:sz w:val="24"/>
          <w:szCs w:val="24"/>
        </w:rPr>
      </w:pPr>
      <w:r w:rsidRPr="00DB779B">
        <w:rPr>
          <w:rFonts w:ascii="Calibri" w:hAnsi="Calibri" w:cs="Calibri"/>
          <w:i/>
          <w:sz w:val="24"/>
          <w:szCs w:val="24"/>
        </w:rPr>
        <w:t xml:space="preserve">MEG </w:t>
      </w:r>
      <w:r w:rsidR="00FF1826">
        <w:rPr>
          <w:rFonts w:ascii="Calibri" w:hAnsi="Calibri" w:cs="Calibri"/>
          <w:i/>
          <w:sz w:val="24"/>
          <w:szCs w:val="24"/>
        </w:rPr>
        <w:t>programme</w:t>
      </w:r>
      <w:r w:rsidRPr="00DB779B">
        <w:rPr>
          <w:rFonts w:ascii="Calibri" w:hAnsi="Calibri" w:cs="Calibri"/>
          <w:i/>
          <w:sz w:val="24"/>
          <w:szCs w:val="24"/>
        </w:rPr>
        <w:t xml:space="preserve"> and MEG/EU4MEG project</w:t>
      </w:r>
    </w:p>
    <w:p w14:paraId="414E4ECA" w14:textId="1BB06427" w:rsidR="00CF095C" w:rsidRPr="00F569AE" w:rsidRDefault="00CF095C" w:rsidP="00BB2877">
      <w:pPr>
        <w:spacing w:line="276" w:lineRule="auto"/>
        <w:jc w:val="both"/>
        <w:rPr>
          <w:rFonts w:ascii="Calibri" w:hAnsi="Calibri" w:cs="Calibri"/>
          <w:color w:val="000000"/>
          <w:lang w:val="en-US"/>
        </w:rPr>
      </w:pPr>
      <w:r w:rsidRPr="00F569AE">
        <w:rPr>
          <w:rFonts w:ascii="Calibri" w:hAnsi="Calibri" w:cs="Calibri"/>
          <w:color w:val="000000"/>
          <w:lang w:val="en-US"/>
        </w:rPr>
        <w:t xml:space="preserve">The MEG/EU4MEG project was </w:t>
      </w:r>
      <w:r w:rsidR="009E1948">
        <w:rPr>
          <w:rFonts w:ascii="Calibri" w:hAnsi="Calibri" w:cs="Calibri"/>
          <w:color w:val="000000"/>
          <w:lang w:val="en-US"/>
        </w:rPr>
        <w:t>designed</w:t>
      </w:r>
      <w:r w:rsidRPr="00F569AE">
        <w:rPr>
          <w:rFonts w:ascii="Calibri" w:hAnsi="Calibri" w:cs="Calibri"/>
          <w:color w:val="000000"/>
          <w:lang w:val="en-US"/>
        </w:rPr>
        <w:t xml:space="preserve"> as </w:t>
      </w:r>
      <w:r w:rsidR="00073982">
        <w:rPr>
          <w:rFonts w:ascii="Calibri" w:hAnsi="Calibri" w:cs="Calibri"/>
          <w:color w:val="000000"/>
          <w:lang w:val="en-US"/>
        </w:rPr>
        <w:t xml:space="preserve">the second phase of the flagship MEG programme </w:t>
      </w:r>
      <w:r w:rsidRPr="00F569AE">
        <w:rPr>
          <w:rFonts w:ascii="Calibri" w:hAnsi="Calibri" w:cs="Calibri"/>
          <w:color w:val="000000"/>
          <w:lang w:val="en-US"/>
        </w:rPr>
        <w:t xml:space="preserve">under </w:t>
      </w:r>
      <w:r w:rsidR="00B53B8B" w:rsidRPr="00F569AE">
        <w:rPr>
          <w:rFonts w:ascii="Calibri" w:hAnsi="Calibri" w:cs="Calibri"/>
          <w:color w:val="000000"/>
          <w:lang w:val="en-US"/>
        </w:rPr>
        <w:t xml:space="preserve">the </w:t>
      </w:r>
      <w:r w:rsidRPr="00F569AE">
        <w:rPr>
          <w:rFonts w:ascii="Calibri" w:hAnsi="Calibri" w:cs="Calibri"/>
          <w:color w:val="000000"/>
          <w:lang w:val="en-US"/>
        </w:rPr>
        <w:t xml:space="preserve">UNDP BiH Governance portfolio </w:t>
      </w:r>
      <w:r w:rsidR="00685795">
        <w:rPr>
          <w:rFonts w:ascii="Calibri" w:hAnsi="Calibri" w:cs="Calibri"/>
          <w:color w:val="000000"/>
          <w:lang w:val="en-US"/>
        </w:rPr>
        <w:t>to</w:t>
      </w:r>
      <w:r w:rsidRPr="00F569AE">
        <w:rPr>
          <w:rFonts w:ascii="Calibri" w:hAnsi="Calibri" w:cs="Calibri"/>
          <w:color w:val="000000"/>
          <w:lang w:val="en-US"/>
        </w:rPr>
        <w:t xml:space="preserve"> </w:t>
      </w:r>
      <w:r w:rsidR="00381620" w:rsidRPr="00F569AE">
        <w:rPr>
          <w:rFonts w:ascii="Calibri" w:hAnsi="Calibri" w:cs="Calibri"/>
          <w:color w:val="000000"/>
          <w:lang w:val="en-US"/>
        </w:rPr>
        <w:t>contribute</w:t>
      </w:r>
      <w:r w:rsidRPr="00F569AE">
        <w:rPr>
          <w:rFonts w:ascii="Calibri" w:hAnsi="Calibri" w:cs="Calibri"/>
          <w:color w:val="000000"/>
          <w:lang w:val="en-US"/>
        </w:rPr>
        <w:t xml:space="preserve"> to the achievement of the UNSDCF BiH 2021-2025 Outcome 4: </w:t>
      </w:r>
      <w:r w:rsidRPr="00F569AE">
        <w:rPr>
          <w:rFonts w:ascii="Calibri" w:hAnsi="Calibri" w:cs="Calibri"/>
          <w:i/>
          <w:color w:val="000000"/>
          <w:lang w:val="en-US"/>
        </w:rPr>
        <w:t xml:space="preserve">By 2025, people contribute to and benefit from more accountable and transparent governance systems that deliver quality public services and ensure rule of law. </w:t>
      </w:r>
      <w:r w:rsidRPr="00F569AE">
        <w:rPr>
          <w:rFonts w:ascii="Calibri" w:hAnsi="Calibri" w:cs="Calibri"/>
          <w:color w:val="000000"/>
          <w:lang w:val="en-US"/>
        </w:rPr>
        <w:t>The project also aimed to contribute to the achievement of SDG</w:t>
      </w:r>
      <w:r w:rsidR="00B53B8B" w:rsidRPr="00F569AE">
        <w:rPr>
          <w:rFonts w:ascii="Calibri" w:hAnsi="Calibri" w:cs="Calibri"/>
          <w:color w:val="000000"/>
          <w:lang w:val="en-US"/>
        </w:rPr>
        <w:t>-</w:t>
      </w:r>
      <w:r w:rsidRPr="00F569AE">
        <w:rPr>
          <w:rFonts w:ascii="Calibri" w:hAnsi="Calibri" w:cs="Calibri"/>
          <w:color w:val="000000"/>
          <w:lang w:val="en-US"/>
        </w:rPr>
        <w:t>6: Clean water and sanitation, SDG</w:t>
      </w:r>
      <w:r w:rsidR="00B53B8B" w:rsidRPr="00F569AE">
        <w:rPr>
          <w:rFonts w:ascii="Calibri" w:hAnsi="Calibri" w:cs="Calibri"/>
          <w:color w:val="000000"/>
          <w:lang w:val="en-US"/>
        </w:rPr>
        <w:t>-</w:t>
      </w:r>
      <w:r w:rsidRPr="00F569AE">
        <w:rPr>
          <w:rFonts w:ascii="Calibri" w:hAnsi="Calibri" w:cs="Calibri"/>
          <w:color w:val="000000"/>
          <w:lang w:val="en-US"/>
        </w:rPr>
        <w:t>10: Reduced inequalities, SDG</w:t>
      </w:r>
      <w:r w:rsidR="00B53B8B" w:rsidRPr="00F569AE">
        <w:rPr>
          <w:rFonts w:ascii="Calibri" w:hAnsi="Calibri" w:cs="Calibri"/>
          <w:color w:val="000000"/>
          <w:lang w:val="en-US"/>
        </w:rPr>
        <w:t>-</w:t>
      </w:r>
      <w:r w:rsidRPr="00F569AE">
        <w:rPr>
          <w:rFonts w:ascii="Calibri" w:hAnsi="Calibri" w:cs="Calibri"/>
          <w:color w:val="000000"/>
          <w:lang w:val="en-US"/>
        </w:rPr>
        <w:t>11: Sustainable Cities and Communities, and SDG</w:t>
      </w:r>
      <w:r w:rsidR="00B53B8B" w:rsidRPr="00F569AE">
        <w:rPr>
          <w:rFonts w:ascii="Calibri" w:hAnsi="Calibri" w:cs="Calibri"/>
          <w:color w:val="000000"/>
          <w:lang w:val="en-US"/>
        </w:rPr>
        <w:t>-</w:t>
      </w:r>
      <w:r w:rsidRPr="00F569AE">
        <w:rPr>
          <w:rFonts w:ascii="Calibri" w:hAnsi="Calibri" w:cs="Calibri"/>
          <w:color w:val="000000"/>
          <w:lang w:val="en-US"/>
        </w:rPr>
        <w:t xml:space="preserve">16: People, Justice and Strong Institutions. </w:t>
      </w:r>
    </w:p>
    <w:p w14:paraId="3746ADA1" w14:textId="77777777" w:rsidR="00D44851" w:rsidRPr="00F569AE" w:rsidRDefault="00D44851" w:rsidP="00982E99">
      <w:pPr>
        <w:spacing w:line="276" w:lineRule="auto"/>
        <w:jc w:val="both"/>
        <w:rPr>
          <w:color w:val="000000"/>
          <w:lang w:val="en-US"/>
        </w:rPr>
      </w:pPr>
    </w:p>
    <w:p w14:paraId="249D9C36" w14:textId="75CF4BE8" w:rsidR="00982E99" w:rsidRPr="00F569AE" w:rsidRDefault="009D501C" w:rsidP="00982E99">
      <w:pPr>
        <w:spacing w:line="276" w:lineRule="auto"/>
        <w:jc w:val="both"/>
        <w:rPr>
          <w:rFonts w:ascii="Calibri" w:hAnsi="Calibri" w:cs="Calibri"/>
          <w:color w:val="000000"/>
          <w:lang w:val="en-US"/>
        </w:rPr>
      </w:pPr>
      <w:r w:rsidRPr="00F569AE">
        <w:rPr>
          <w:rFonts w:ascii="Calibri" w:hAnsi="Calibri" w:cs="Calibri"/>
          <w:color w:val="000000"/>
          <w:lang w:val="en-US"/>
        </w:rPr>
        <w:t>The</w:t>
      </w:r>
      <w:r w:rsidR="00F85B25" w:rsidRPr="00F569AE">
        <w:rPr>
          <w:rFonts w:ascii="Calibri" w:hAnsi="Calibri" w:cs="Calibri"/>
          <w:color w:val="000000"/>
          <w:lang w:val="en-US"/>
        </w:rPr>
        <w:t xml:space="preserve"> </w:t>
      </w:r>
      <w:r w:rsidRPr="00F569AE">
        <w:rPr>
          <w:rFonts w:ascii="Calibri" w:hAnsi="Calibri" w:cs="Calibri"/>
          <w:color w:val="000000"/>
          <w:lang w:val="en-US"/>
        </w:rPr>
        <w:t xml:space="preserve">project </w:t>
      </w:r>
      <w:r w:rsidR="00F85B25" w:rsidRPr="00F569AE">
        <w:rPr>
          <w:rFonts w:ascii="Calibri" w:hAnsi="Calibri" w:cs="Calibri"/>
          <w:color w:val="000000"/>
          <w:lang w:val="en-US"/>
        </w:rPr>
        <w:t xml:space="preserve">result chain </w:t>
      </w:r>
      <w:r w:rsidR="00543DAC">
        <w:rPr>
          <w:rFonts w:ascii="Calibri" w:hAnsi="Calibri" w:cs="Calibri"/>
          <w:color w:val="000000"/>
          <w:lang w:val="en-US"/>
        </w:rPr>
        <w:t xml:space="preserve">was </w:t>
      </w:r>
      <w:r w:rsidR="00F85B25" w:rsidRPr="00F569AE">
        <w:rPr>
          <w:rFonts w:ascii="Calibri" w:hAnsi="Calibri" w:cs="Calibri"/>
          <w:color w:val="000000"/>
          <w:lang w:val="en-US"/>
        </w:rPr>
        <w:t>design</w:t>
      </w:r>
      <w:r w:rsidR="00DC0859">
        <w:rPr>
          <w:rFonts w:ascii="Calibri" w:hAnsi="Calibri" w:cs="Calibri"/>
          <w:color w:val="000000"/>
          <w:lang w:val="en-US"/>
        </w:rPr>
        <w:t>ed</w:t>
      </w:r>
      <w:r w:rsidR="00F85B25" w:rsidRPr="00F569AE">
        <w:rPr>
          <w:rFonts w:ascii="Calibri" w:hAnsi="Calibri" w:cs="Calibri"/>
          <w:color w:val="000000"/>
          <w:lang w:val="en-US"/>
        </w:rPr>
        <w:t xml:space="preserve"> around its </w:t>
      </w:r>
      <w:r w:rsidRPr="00F569AE">
        <w:rPr>
          <w:rFonts w:ascii="Calibri" w:hAnsi="Calibri" w:cs="Calibri"/>
          <w:color w:val="000000"/>
          <w:lang w:val="en-US"/>
        </w:rPr>
        <w:t xml:space="preserve">dual goal – </w:t>
      </w:r>
      <w:r w:rsidRPr="00F569AE">
        <w:rPr>
          <w:rFonts w:ascii="Calibri" w:hAnsi="Calibri" w:cs="Calibri"/>
          <w:i/>
          <w:color w:val="000000"/>
          <w:lang w:val="en-US"/>
        </w:rPr>
        <w:t>to contribute to the democratization of local governance in BiH and more equitable, effective and efficient public services for the citizens, particularly water supply and wastewater management services</w:t>
      </w:r>
      <w:r w:rsidRPr="00F569AE">
        <w:rPr>
          <w:rFonts w:ascii="Calibri" w:hAnsi="Calibri" w:cs="Calibri"/>
          <w:color w:val="000000"/>
          <w:lang w:val="en-US"/>
        </w:rPr>
        <w:t>. The specific objective under</w:t>
      </w:r>
      <w:r w:rsidR="00DC0859">
        <w:rPr>
          <w:rFonts w:ascii="Calibri" w:hAnsi="Calibri" w:cs="Calibri"/>
          <w:color w:val="000000"/>
          <w:lang w:val="en-US"/>
        </w:rPr>
        <w:t xml:space="preserve"> the</w:t>
      </w:r>
      <w:r w:rsidRPr="00F569AE">
        <w:rPr>
          <w:rFonts w:ascii="Calibri" w:hAnsi="Calibri" w:cs="Calibri"/>
          <w:color w:val="000000"/>
          <w:lang w:val="en-US"/>
        </w:rPr>
        <w:t xml:space="preserve"> EU4MEG action</w:t>
      </w:r>
      <w:r w:rsidR="00C26B75">
        <w:rPr>
          <w:rFonts w:ascii="Calibri" w:hAnsi="Calibri" w:cs="Calibri"/>
          <w:color w:val="000000"/>
          <w:lang w:val="en-US"/>
        </w:rPr>
        <w:t xml:space="preserve"> as its integral part aimed </w:t>
      </w:r>
      <w:r w:rsidR="00F85B25" w:rsidRPr="00F569AE">
        <w:rPr>
          <w:rFonts w:ascii="Calibri" w:hAnsi="Calibri" w:cs="Calibri"/>
          <w:i/>
          <w:color w:val="000000"/>
          <w:lang w:val="en-US"/>
        </w:rPr>
        <w:t>‘t</w:t>
      </w:r>
      <w:r w:rsidRPr="00F569AE">
        <w:rPr>
          <w:rFonts w:ascii="Calibri" w:hAnsi="Calibri" w:cs="Calibri"/>
          <w:i/>
          <w:color w:val="000000"/>
          <w:lang w:val="en-US"/>
        </w:rPr>
        <w:t xml:space="preserve">o support countrywide harmonized reform, implementation of cost reflective tariff systems, sustainability of </w:t>
      </w:r>
      <w:r w:rsidRPr="00F569AE">
        <w:rPr>
          <w:rFonts w:ascii="Calibri" w:hAnsi="Calibri" w:cs="Calibri"/>
          <w:i/>
          <w:color w:val="000000"/>
          <w:lang w:val="en-US"/>
        </w:rPr>
        <w:lastRenderedPageBreak/>
        <w:t>investments and improved provision of water and wastewater services in targeted municipalities.</w:t>
      </w:r>
      <w:r w:rsidR="00F85B25" w:rsidRPr="00F569AE">
        <w:rPr>
          <w:rFonts w:ascii="Calibri" w:hAnsi="Calibri" w:cs="Calibri"/>
          <w:i/>
          <w:color w:val="000000"/>
          <w:lang w:val="en-US"/>
        </w:rPr>
        <w:t>’</w:t>
      </w:r>
      <w:r w:rsidR="00DC0859">
        <w:rPr>
          <w:rFonts w:ascii="Calibri" w:hAnsi="Calibri" w:cs="Calibri"/>
          <w:i/>
          <w:color w:val="000000"/>
          <w:lang w:val="en-US"/>
        </w:rPr>
        <w:t xml:space="preserve"> </w:t>
      </w:r>
      <w:r w:rsidR="00DC0859" w:rsidRPr="00F569AE">
        <w:rPr>
          <w:rFonts w:ascii="Calibri" w:hAnsi="Calibri" w:cs="Calibri"/>
          <w:color w:val="000000"/>
          <w:lang w:val="en-US"/>
        </w:rPr>
        <w:t>Table 1 below presents the outcomes and outputs of MEGII project</w:t>
      </w:r>
      <w:r w:rsidR="00DC0859">
        <w:rPr>
          <w:rFonts w:ascii="Calibri" w:hAnsi="Calibri" w:cs="Calibri"/>
          <w:color w:val="000000"/>
          <w:lang w:val="en-US"/>
        </w:rPr>
        <w:t xml:space="preserve"> and </w:t>
      </w:r>
      <w:r w:rsidR="00DC0859" w:rsidRPr="00F569AE">
        <w:rPr>
          <w:rFonts w:ascii="Calibri" w:hAnsi="Calibri" w:cs="Calibri"/>
          <w:color w:val="000000"/>
          <w:lang w:val="en-US"/>
        </w:rPr>
        <w:t>EU4MEG action</w:t>
      </w:r>
      <w:r w:rsidR="00DC0859">
        <w:rPr>
          <w:rFonts w:ascii="Calibri" w:hAnsi="Calibri" w:cs="Calibri"/>
          <w:color w:val="000000"/>
          <w:lang w:val="en-US"/>
        </w:rPr>
        <w:t>, indicating the</w:t>
      </w:r>
      <w:r w:rsidR="00DC0859" w:rsidRPr="00F569AE">
        <w:rPr>
          <w:rFonts w:ascii="Calibri" w:hAnsi="Calibri" w:cs="Calibri"/>
          <w:color w:val="000000"/>
          <w:lang w:val="en-US"/>
        </w:rPr>
        <w:t xml:space="preserve"> </w:t>
      </w:r>
      <w:r w:rsidR="00AD1A89">
        <w:rPr>
          <w:rFonts w:ascii="Calibri" w:hAnsi="Calibri" w:cs="Calibri"/>
          <w:color w:val="000000"/>
          <w:lang w:val="en-US"/>
        </w:rPr>
        <w:t>congruence</w:t>
      </w:r>
      <w:r w:rsidR="00DC0859" w:rsidRPr="00F569AE">
        <w:rPr>
          <w:rFonts w:ascii="Calibri" w:hAnsi="Calibri" w:cs="Calibri"/>
          <w:color w:val="000000"/>
          <w:lang w:val="en-US"/>
        </w:rPr>
        <w:t xml:space="preserve"> </w:t>
      </w:r>
      <w:r w:rsidR="00DC0859">
        <w:rPr>
          <w:rFonts w:ascii="Calibri" w:hAnsi="Calibri" w:cs="Calibri"/>
          <w:color w:val="000000"/>
          <w:lang w:val="en-US"/>
        </w:rPr>
        <w:t>between</w:t>
      </w:r>
      <w:r w:rsidR="00DC0859" w:rsidRPr="00F569AE">
        <w:rPr>
          <w:rFonts w:ascii="Calibri" w:hAnsi="Calibri" w:cs="Calibri"/>
          <w:color w:val="000000"/>
          <w:lang w:val="en-US"/>
        </w:rPr>
        <w:t xml:space="preserve"> the</w:t>
      </w:r>
      <w:r w:rsidR="00AD1A89">
        <w:rPr>
          <w:rFonts w:ascii="Calibri" w:hAnsi="Calibri" w:cs="Calibri"/>
          <w:color w:val="000000"/>
          <w:lang w:val="en-US"/>
        </w:rPr>
        <w:t>ir</w:t>
      </w:r>
      <w:r w:rsidR="00DC0859" w:rsidRPr="00F569AE">
        <w:rPr>
          <w:rFonts w:ascii="Calibri" w:hAnsi="Calibri" w:cs="Calibri"/>
          <w:color w:val="000000"/>
          <w:lang w:val="en-US"/>
        </w:rPr>
        <w:t xml:space="preserve"> results chain</w:t>
      </w:r>
      <w:r w:rsidR="00DC0859">
        <w:rPr>
          <w:rFonts w:ascii="Calibri" w:hAnsi="Calibri" w:cs="Calibri"/>
          <w:color w:val="000000"/>
          <w:lang w:val="en-US"/>
        </w:rPr>
        <w:t>s</w:t>
      </w:r>
      <w:r w:rsidR="00AD1A89">
        <w:rPr>
          <w:rFonts w:ascii="Calibri" w:hAnsi="Calibri" w:cs="Calibri"/>
          <w:color w:val="000000"/>
          <w:lang w:val="en-US"/>
        </w:rPr>
        <w:t>.</w:t>
      </w:r>
      <w:r w:rsidR="00DC0859" w:rsidRPr="00F569AE">
        <w:rPr>
          <w:rFonts w:ascii="Calibri" w:hAnsi="Calibri" w:cs="Calibri"/>
          <w:color w:val="000000"/>
          <w:lang w:val="en-US"/>
        </w:rPr>
        <w:t xml:space="preserve"> </w:t>
      </w:r>
    </w:p>
    <w:p w14:paraId="671AED9A" w14:textId="77777777" w:rsidR="002748A1" w:rsidRDefault="002748A1" w:rsidP="00CF095C">
      <w:pPr>
        <w:spacing w:line="276" w:lineRule="auto"/>
        <w:jc w:val="both"/>
        <w:rPr>
          <w:rFonts w:ascii="Calibri" w:hAnsi="Calibri" w:cs="Calibri"/>
          <w:color w:val="000000"/>
          <w:lang w:val="en-US"/>
        </w:rPr>
      </w:pPr>
    </w:p>
    <w:p w14:paraId="36AD7AC8" w14:textId="517B5F54" w:rsidR="00CF095C" w:rsidRPr="00F569AE" w:rsidRDefault="00CF095C" w:rsidP="00CF095C">
      <w:pPr>
        <w:spacing w:line="276" w:lineRule="auto"/>
        <w:jc w:val="both"/>
        <w:rPr>
          <w:rFonts w:ascii="Calibri" w:hAnsi="Calibri" w:cs="Calibri"/>
          <w:b/>
          <w:color w:val="000000"/>
          <w:lang w:val="en-US"/>
        </w:rPr>
      </w:pPr>
      <w:r w:rsidRPr="00F569AE">
        <w:rPr>
          <w:rFonts w:ascii="Calibri" w:hAnsi="Calibri" w:cs="Calibri"/>
          <w:b/>
          <w:color w:val="000000"/>
          <w:lang w:val="en-US"/>
        </w:rPr>
        <w:t>Table 1: Results chain of MEGII and EU4MEG</w:t>
      </w:r>
    </w:p>
    <w:tbl>
      <w:tblPr>
        <w:tblStyle w:val="TableGrid"/>
        <w:tblW w:w="0" w:type="auto"/>
        <w:tblLook w:val="04A0" w:firstRow="1" w:lastRow="0" w:firstColumn="1" w:lastColumn="0" w:noHBand="0" w:noVBand="1"/>
      </w:tblPr>
      <w:tblGrid>
        <w:gridCol w:w="391"/>
        <w:gridCol w:w="2114"/>
        <w:gridCol w:w="2349"/>
        <w:gridCol w:w="1975"/>
        <w:gridCol w:w="2181"/>
      </w:tblGrid>
      <w:tr w:rsidR="00343DAD" w:rsidRPr="00F569AE" w14:paraId="3C976AFB" w14:textId="77777777" w:rsidTr="00343DAD">
        <w:tc>
          <w:tcPr>
            <w:tcW w:w="7792" w:type="dxa"/>
            <w:gridSpan w:val="3"/>
            <w:shd w:val="clear" w:color="auto" w:fill="F2F2F2" w:themeFill="background1" w:themeFillShade="F2"/>
          </w:tcPr>
          <w:p w14:paraId="53EF8F56" w14:textId="318816A3" w:rsidR="00343DAD" w:rsidRPr="00F569AE" w:rsidRDefault="00343DAD" w:rsidP="00194466">
            <w:pPr>
              <w:spacing w:line="276" w:lineRule="auto"/>
              <w:rPr>
                <w:rFonts w:ascii="Calibri" w:hAnsi="Calibri" w:cs="Calibri"/>
                <w:lang w:val="en-US"/>
              </w:rPr>
            </w:pPr>
            <w:r w:rsidRPr="00F569AE">
              <w:rPr>
                <w:rFonts w:ascii="Calibri" w:hAnsi="Calibri" w:cs="Calibri"/>
                <w:b/>
                <w:color w:val="215E99" w:themeColor="text2" w:themeTint="BF"/>
                <w:u w:val="single"/>
                <w:lang w:val="en-US" w:eastAsia="hr-HR"/>
              </w:rPr>
              <w:t>MEGII Goal:</w:t>
            </w:r>
            <w:r w:rsidRPr="00F569AE">
              <w:rPr>
                <w:rFonts w:ascii="Calibri" w:hAnsi="Calibri" w:cs="Calibri"/>
                <w:b/>
                <w:color w:val="215E99" w:themeColor="text2" w:themeTint="BF"/>
                <w:lang w:val="en-US" w:eastAsia="hr-HR"/>
              </w:rPr>
              <w:t xml:space="preserve"> </w:t>
            </w:r>
            <w:r w:rsidRPr="00F569AE">
              <w:rPr>
                <w:rFonts w:ascii="Calibri" w:hAnsi="Calibri" w:cs="Calibri"/>
                <w:b/>
                <w:color w:val="000000"/>
                <w:lang w:val="en-US" w:eastAsia="hr-HR"/>
              </w:rPr>
              <w:t>To contribute to the democratization of local governance in BiH and more equitable, effective and efficient public services for the citizens, particularly water supply and wastewater management services</w:t>
            </w:r>
          </w:p>
        </w:tc>
        <w:tc>
          <w:tcPr>
            <w:tcW w:w="6138" w:type="dxa"/>
            <w:gridSpan w:val="2"/>
            <w:shd w:val="clear" w:color="auto" w:fill="DAE9F7" w:themeFill="text2" w:themeFillTint="1A"/>
          </w:tcPr>
          <w:p w14:paraId="285AC07E" w14:textId="77777777" w:rsidR="00343DAD" w:rsidRPr="00F569AE" w:rsidRDefault="00343DAD" w:rsidP="00194466">
            <w:pPr>
              <w:spacing w:line="276" w:lineRule="auto"/>
              <w:rPr>
                <w:rFonts w:ascii="Calibri" w:hAnsi="Calibri" w:cs="Calibri"/>
                <w:b/>
                <w:color w:val="000000"/>
                <w:u w:val="single"/>
                <w:lang w:val="en-US" w:eastAsia="hr-HR"/>
              </w:rPr>
            </w:pPr>
            <w:r w:rsidRPr="00F569AE">
              <w:rPr>
                <w:rFonts w:ascii="Calibri" w:hAnsi="Calibri" w:cs="Calibri"/>
                <w:b/>
                <w:i/>
                <w:color w:val="215E99" w:themeColor="text2" w:themeTint="BF"/>
                <w:spacing w:val="-2"/>
                <w:u w:val="single"/>
                <w:lang w:val="en-US"/>
              </w:rPr>
              <w:t>EU4MEG overall objective:</w:t>
            </w:r>
            <w:r w:rsidRPr="00F569AE">
              <w:rPr>
                <w:rFonts w:ascii="Calibri" w:hAnsi="Calibri" w:cs="Calibri"/>
                <w:b/>
                <w:i/>
                <w:color w:val="215E99" w:themeColor="text2" w:themeTint="BF"/>
                <w:spacing w:val="-2"/>
                <w:lang w:val="en-US"/>
              </w:rPr>
              <w:t xml:space="preserve"> </w:t>
            </w:r>
            <w:r w:rsidRPr="00F569AE">
              <w:rPr>
                <w:rFonts w:ascii="Calibri" w:hAnsi="Calibri" w:cs="Calibri"/>
                <w:b/>
                <w:i/>
                <w:spacing w:val="-2"/>
                <w:lang w:val="en-US"/>
              </w:rPr>
              <w:t>To enhance administrative capacities in the field of water management in line with the environmental acquis and improve environmental infrastructure</w:t>
            </w:r>
          </w:p>
        </w:tc>
      </w:tr>
      <w:tr w:rsidR="00343DAD" w:rsidRPr="00F569AE" w14:paraId="43A0084A" w14:textId="77777777" w:rsidTr="00343DAD">
        <w:tc>
          <w:tcPr>
            <w:tcW w:w="487" w:type="dxa"/>
            <w:shd w:val="clear" w:color="auto" w:fill="D9D9D9" w:themeFill="background1" w:themeFillShade="D9"/>
          </w:tcPr>
          <w:p w14:paraId="17EFE46C" w14:textId="77777777" w:rsidR="00343DAD" w:rsidRPr="00F569AE" w:rsidRDefault="00343DAD" w:rsidP="00194466">
            <w:pPr>
              <w:spacing w:line="276" w:lineRule="auto"/>
              <w:rPr>
                <w:rFonts w:ascii="Calibri" w:hAnsi="Calibri" w:cs="Calibri"/>
                <w:b/>
                <w:lang w:val="en-US"/>
              </w:rPr>
            </w:pPr>
            <w:r w:rsidRPr="00F569AE">
              <w:rPr>
                <w:rFonts w:ascii="Calibri" w:hAnsi="Calibri" w:cs="Calibri"/>
                <w:b/>
                <w:lang w:val="en-US"/>
              </w:rPr>
              <w:t>#</w:t>
            </w:r>
          </w:p>
        </w:tc>
        <w:tc>
          <w:tcPr>
            <w:tcW w:w="3336" w:type="dxa"/>
            <w:shd w:val="clear" w:color="auto" w:fill="D9D9D9" w:themeFill="background1" w:themeFillShade="D9"/>
          </w:tcPr>
          <w:p w14:paraId="691AB06A" w14:textId="77777777" w:rsidR="00343DAD" w:rsidRPr="00F569AE" w:rsidRDefault="00343DAD" w:rsidP="00194466">
            <w:pPr>
              <w:spacing w:line="276" w:lineRule="auto"/>
              <w:rPr>
                <w:rFonts w:ascii="Calibri" w:hAnsi="Calibri" w:cs="Calibri"/>
                <w:b/>
                <w:lang w:val="en-US"/>
              </w:rPr>
            </w:pPr>
            <w:r w:rsidRPr="00F569AE">
              <w:rPr>
                <w:rFonts w:ascii="Calibri" w:hAnsi="Calibri" w:cs="Calibri"/>
                <w:b/>
                <w:lang w:val="en-US"/>
              </w:rPr>
              <w:t>Outcomes</w:t>
            </w:r>
          </w:p>
        </w:tc>
        <w:tc>
          <w:tcPr>
            <w:tcW w:w="3969" w:type="dxa"/>
            <w:shd w:val="clear" w:color="auto" w:fill="D9D9D9" w:themeFill="background1" w:themeFillShade="D9"/>
          </w:tcPr>
          <w:p w14:paraId="3FEEC0A7" w14:textId="77777777" w:rsidR="00343DAD" w:rsidRPr="00F569AE" w:rsidRDefault="00343DAD" w:rsidP="00194466">
            <w:pPr>
              <w:spacing w:line="276" w:lineRule="auto"/>
              <w:rPr>
                <w:rFonts w:ascii="Calibri" w:hAnsi="Calibri" w:cs="Calibri"/>
                <w:b/>
                <w:lang w:val="en-US"/>
              </w:rPr>
            </w:pPr>
            <w:r w:rsidRPr="00F569AE">
              <w:rPr>
                <w:rFonts w:ascii="Calibri" w:hAnsi="Calibri" w:cs="Calibri"/>
                <w:b/>
                <w:lang w:val="en-US"/>
              </w:rPr>
              <w:t>Outputs</w:t>
            </w:r>
          </w:p>
        </w:tc>
        <w:tc>
          <w:tcPr>
            <w:tcW w:w="2551" w:type="dxa"/>
            <w:shd w:val="clear" w:color="auto" w:fill="DAE9F7" w:themeFill="text2" w:themeFillTint="1A"/>
          </w:tcPr>
          <w:p w14:paraId="4561A0F5" w14:textId="77777777" w:rsidR="00343DAD" w:rsidRPr="00F569AE" w:rsidRDefault="00343DAD" w:rsidP="00194466">
            <w:pPr>
              <w:spacing w:line="276" w:lineRule="auto"/>
              <w:rPr>
                <w:rFonts w:ascii="Calibri" w:hAnsi="Calibri" w:cs="Calibri"/>
                <w:b/>
                <w:lang w:val="en-US"/>
              </w:rPr>
            </w:pPr>
            <w:r w:rsidRPr="00F569AE">
              <w:rPr>
                <w:rFonts w:ascii="Calibri" w:hAnsi="Calibri" w:cs="Calibri"/>
                <w:b/>
                <w:lang w:val="en-US"/>
              </w:rPr>
              <w:t>Specific objectives</w:t>
            </w:r>
          </w:p>
        </w:tc>
        <w:tc>
          <w:tcPr>
            <w:tcW w:w="3587" w:type="dxa"/>
            <w:shd w:val="clear" w:color="auto" w:fill="DAE9F7" w:themeFill="text2" w:themeFillTint="1A"/>
          </w:tcPr>
          <w:p w14:paraId="4D68AC1F" w14:textId="77777777" w:rsidR="00343DAD" w:rsidRPr="00F569AE" w:rsidRDefault="00343DAD" w:rsidP="00194466">
            <w:pPr>
              <w:spacing w:line="276" w:lineRule="auto"/>
              <w:rPr>
                <w:rFonts w:ascii="Calibri" w:hAnsi="Calibri" w:cs="Calibri"/>
                <w:b/>
                <w:lang w:val="en-US"/>
              </w:rPr>
            </w:pPr>
            <w:r w:rsidRPr="00F569AE">
              <w:rPr>
                <w:rFonts w:ascii="Calibri" w:hAnsi="Calibri" w:cs="Calibri"/>
                <w:b/>
                <w:lang w:val="en-US"/>
              </w:rPr>
              <w:t>Outputs</w:t>
            </w:r>
          </w:p>
        </w:tc>
      </w:tr>
      <w:tr w:rsidR="00343DAD" w:rsidRPr="00F569AE" w14:paraId="108A192D" w14:textId="77777777" w:rsidTr="00343DAD">
        <w:tc>
          <w:tcPr>
            <w:tcW w:w="487" w:type="dxa"/>
            <w:vMerge w:val="restart"/>
          </w:tcPr>
          <w:p w14:paraId="6D6ACF5A" w14:textId="77777777" w:rsidR="00343DAD" w:rsidRPr="00F569AE" w:rsidRDefault="00343DAD" w:rsidP="00194466">
            <w:pPr>
              <w:spacing w:line="276" w:lineRule="auto"/>
              <w:rPr>
                <w:rFonts w:ascii="Calibri" w:hAnsi="Calibri" w:cs="Calibri"/>
                <w:sz w:val="22"/>
                <w:szCs w:val="22"/>
                <w:lang w:val="en-US"/>
              </w:rPr>
            </w:pPr>
            <w:r w:rsidRPr="00F569AE">
              <w:rPr>
                <w:rFonts w:ascii="Calibri" w:hAnsi="Calibri" w:cs="Calibri"/>
                <w:sz w:val="22"/>
                <w:szCs w:val="22"/>
                <w:lang w:val="en-US"/>
              </w:rPr>
              <w:t>1</w:t>
            </w:r>
          </w:p>
        </w:tc>
        <w:tc>
          <w:tcPr>
            <w:tcW w:w="3336" w:type="dxa"/>
            <w:vMerge w:val="restart"/>
          </w:tcPr>
          <w:p w14:paraId="35A1B30C" w14:textId="2FB1A857" w:rsidR="00343DAD" w:rsidRPr="00F569AE" w:rsidRDefault="00343DAD" w:rsidP="00194466">
            <w:pPr>
              <w:spacing w:line="276" w:lineRule="auto"/>
              <w:rPr>
                <w:rFonts w:ascii="Calibri" w:hAnsi="Calibri" w:cs="Calibri"/>
                <w:sz w:val="22"/>
                <w:szCs w:val="22"/>
                <w:lang w:val="en-US"/>
              </w:rPr>
            </w:pPr>
            <w:r w:rsidRPr="00F569AE">
              <w:rPr>
                <w:rFonts w:ascii="Calibri" w:hAnsi="Calibri" w:cs="Calibri"/>
                <w:color w:val="000000"/>
                <w:sz w:val="22"/>
                <w:szCs w:val="22"/>
                <w:lang w:val="en-US" w:eastAsia="hr-HR"/>
              </w:rPr>
              <w:t xml:space="preserve">Outcome 1: State, entity, and cantonal governments set in place a more </w:t>
            </w:r>
            <w:r w:rsidR="007875DD" w:rsidRPr="00F569AE">
              <w:rPr>
                <w:rFonts w:ascii="Calibri" w:hAnsi="Calibri" w:cs="Calibri"/>
                <w:color w:val="000000"/>
                <w:sz w:val="22"/>
                <w:szCs w:val="22"/>
                <w:lang w:val="en-US" w:eastAsia="hr-HR"/>
              </w:rPr>
              <w:t xml:space="preserve">conducive </w:t>
            </w:r>
            <w:r w:rsidRPr="00F569AE">
              <w:rPr>
                <w:rFonts w:ascii="Calibri" w:hAnsi="Calibri" w:cs="Calibri"/>
                <w:color w:val="000000"/>
                <w:sz w:val="22"/>
                <w:szCs w:val="22"/>
                <w:lang w:val="en-US" w:eastAsia="hr-HR"/>
              </w:rPr>
              <w:t>policy and regulatory environment that affirms result-oriented local governance and improved water supply and wastewater management services</w:t>
            </w:r>
          </w:p>
        </w:tc>
        <w:tc>
          <w:tcPr>
            <w:tcW w:w="3969" w:type="dxa"/>
          </w:tcPr>
          <w:p w14:paraId="175E96DF" w14:textId="274D2CC9" w:rsidR="00343DAD" w:rsidRPr="00F569AE" w:rsidRDefault="00343DAD" w:rsidP="00194466">
            <w:pPr>
              <w:spacing w:line="276" w:lineRule="auto"/>
              <w:rPr>
                <w:rFonts w:ascii="Calibri" w:hAnsi="Calibri" w:cs="Calibri"/>
                <w:sz w:val="22"/>
                <w:szCs w:val="22"/>
                <w:lang w:val="en-US"/>
              </w:rPr>
            </w:pPr>
            <w:r w:rsidRPr="00F569AE">
              <w:rPr>
                <w:rFonts w:ascii="Calibri" w:hAnsi="Calibri" w:cs="Calibri"/>
                <w:color w:val="000000"/>
                <w:sz w:val="22"/>
                <w:szCs w:val="22"/>
                <w:lang w:val="en-US" w:eastAsia="hr-HR"/>
              </w:rPr>
              <w:t xml:space="preserve">1.1 Relevant entity institutions advance capacities to design and implement </w:t>
            </w:r>
            <w:r w:rsidR="007875DD" w:rsidRPr="00F569AE">
              <w:rPr>
                <w:rFonts w:ascii="Calibri" w:hAnsi="Calibri" w:cs="Calibri"/>
                <w:color w:val="000000"/>
                <w:sz w:val="22"/>
                <w:szCs w:val="22"/>
                <w:lang w:val="en-US" w:eastAsia="hr-HR"/>
              </w:rPr>
              <w:t xml:space="preserve">a </w:t>
            </w:r>
            <w:r w:rsidRPr="00F569AE">
              <w:rPr>
                <w:rFonts w:ascii="Calibri" w:hAnsi="Calibri" w:cs="Calibri"/>
                <w:color w:val="000000"/>
                <w:sz w:val="22"/>
                <w:szCs w:val="22"/>
                <w:lang w:val="en-US" w:eastAsia="hr-HR"/>
              </w:rPr>
              <w:t>gender-responsive policy framework that enable</w:t>
            </w:r>
            <w:r w:rsidR="007875DD" w:rsidRPr="00F569AE">
              <w:rPr>
                <w:rFonts w:ascii="Calibri" w:hAnsi="Calibri" w:cs="Calibri"/>
                <w:color w:val="000000"/>
                <w:sz w:val="22"/>
                <w:szCs w:val="22"/>
                <w:lang w:val="en-US" w:eastAsia="hr-HR"/>
              </w:rPr>
              <w:t>s</w:t>
            </w:r>
            <w:r w:rsidRPr="00F569AE">
              <w:rPr>
                <w:rFonts w:ascii="Calibri" w:hAnsi="Calibri" w:cs="Calibri"/>
                <w:color w:val="000000"/>
                <w:sz w:val="22"/>
                <w:szCs w:val="22"/>
                <w:lang w:val="en-US" w:eastAsia="hr-HR"/>
              </w:rPr>
              <w:t xml:space="preserve"> </w:t>
            </w:r>
            <w:r w:rsidR="007875DD" w:rsidRPr="00F569AE">
              <w:rPr>
                <w:rFonts w:ascii="Calibri" w:hAnsi="Calibri" w:cs="Calibri"/>
                <w:color w:val="000000"/>
                <w:sz w:val="22"/>
                <w:szCs w:val="22"/>
                <w:lang w:val="en-US" w:eastAsia="hr-HR"/>
              </w:rPr>
              <w:t>a</w:t>
            </w:r>
            <w:r w:rsidRPr="00F569AE">
              <w:rPr>
                <w:rFonts w:ascii="Calibri" w:hAnsi="Calibri" w:cs="Calibri"/>
                <w:color w:val="000000"/>
                <w:sz w:val="22"/>
                <w:szCs w:val="22"/>
                <w:lang w:val="en-US" w:eastAsia="hr-HR"/>
              </w:rPr>
              <w:t xml:space="preserve"> performance-oriented local governance system</w:t>
            </w:r>
          </w:p>
        </w:tc>
        <w:tc>
          <w:tcPr>
            <w:tcW w:w="2551" w:type="dxa"/>
            <w:vMerge w:val="restart"/>
            <w:shd w:val="clear" w:color="auto" w:fill="DAE9F7" w:themeFill="text2" w:themeFillTint="1A"/>
          </w:tcPr>
          <w:p w14:paraId="22CEB5BE" w14:textId="77777777" w:rsidR="00343DAD" w:rsidRPr="00F569AE" w:rsidRDefault="00343DAD" w:rsidP="00194466">
            <w:pPr>
              <w:spacing w:line="276" w:lineRule="auto"/>
              <w:rPr>
                <w:rFonts w:ascii="Calibri" w:hAnsi="Calibri" w:cs="Calibri"/>
                <w:color w:val="000000"/>
                <w:sz w:val="22"/>
                <w:szCs w:val="22"/>
                <w:lang w:val="en-US" w:eastAsia="hr-HR"/>
              </w:rPr>
            </w:pPr>
            <w:r w:rsidRPr="00F569AE">
              <w:rPr>
                <w:rFonts w:ascii="Calibri" w:hAnsi="Calibri" w:cs="Calibri"/>
                <w:sz w:val="22"/>
                <w:szCs w:val="22"/>
                <w:lang w:val="en-US"/>
              </w:rPr>
              <w:t>1. To support countrywide harmonized reform, implementation of cost reflective tariff systems, sustainability of investments and improved provision of water and wastewater services in targeted municipalities.</w:t>
            </w:r>
          </w:p>
        </w:tc>
        <w:tc>
          <w:tcPr>
            <w:tcW w:w="3587" w:type="dxa"/>
            <w:shd w:val="clear" w:color="auto" w:fill="DAE9F7" w:themeFill="text2" w:themeFillTint="1A"/>
          </w:tcPr>
          <w:p w14:paraId="6F1EED7F" w14:textId="77777777" w:rsidR="00343DAD" w:rsidRPr="00F569AE" w:rsidRDefault="00343DAD" w:rsidP="00194466">
            <w:pPr>
              <w:spacing w:line="276" w:lineRule="auto"/>
              <w:rPr>
                <w:rFonts w:ascii="Calibri" w:hAnsi="Calibri" w:cs="Calibri"/>
                <w:color w:val="000000"/>
                <w:sz w:val="22"/>
                <w:szCs w:val="22"/>
                <w:lang w:val="en-US" w:eastAsia="hr-HR"/>
              </w:rPr>
            </w:pPr>
            <w:r w:rsidRPr="00F569AE">
              <w:rPr>
                <w:rFonts w:ascii="Calibri" w:hAnsi="Calibri" w:cs="Calibri"/>
                <w:color w:val="000000"/>
                <w:sz w:val="22"/>
                <w:szCs w:val="22"/>
                <w:lang w:val="en-US" w:eastAsia="hr-HR"/>
              </w:rPr>
              <w:t xml:space="preserve">1.1 </w:t>
            </w:r>
            <w:r w:rsidRPr="00F569AE">
              <w:rPr>
                <w:rFonts w:ascii="Calibri" w:hAnsi="Calibri" w:cs="Calibri"/>
                <w:spacing w:val="-2"/>
                <w:sz w:val="22"/>
                <w:szCs w:val="22"/>
                <w:lang w:val="en-US"/>
              </w:rPr>
              <w:t>Relevant BIH authorities’ capacities strengthened to design policy and regulatory frameworks that advance water supply and wastewater management services</w:t>
            </w:r>
          </w:p>
        </w:tc>
      </w:tr>
      <w:tr w:rsidR="00343DAD" w:rsidRPr="00F569AE" w14:paraId="310A92CC" w14:textId="77777777" w:rsidTr="00343DAD">
        <w:tc>
          <w:tcPr>
            <w:tcW w:w="487" w:type="dxa"/>
            <w:vMerge/>
          </w:tcPr>
          <w:p w14:paraId="1CF48660" w14:textId="77777777" w:rsidR="00343DAD" w:rsidRPr="00F569AE" w:rsidRDefault="00343DAD" w:rsidP="00194466">
            <w:pPr>
              <w:spacing w:line="276" w:lineRule="auto"/>
              <w:rPr>
                <w:rFonts w:ascii="Calibri" w:hAnsi="Calibri" w:cs="Calibri"/>
                <w:sz w:val="22"/>
                <w:szCs w:val="22"/>
                <w:lang w:val="en-US"/>
              </w:rPr>
            </w:pPr>
          </w:p>
        </w:tc>
        <w:tc>
          <w:tcPr>
            <w:tcW w:w="3336" w:type="dxa"/>
            <w:vMerge/>
          </w:tcPr>
          <w:p w14:paraId="6BD3DF19" w14:textId="77777777" w:rsidR="00343DAD" w:rsidRPr="00F569AE" w:rsidRDefault="00343DAD" w:rsidP="00194466">
            <w:pPr>
              <w:spacing w:line="276" w:lineRule="auto"/>
              <w:rPr>
                <w:rFonts w:ascii="Calibri" w:hAnsi="Calibri" w:cs="Calibri"/>
                <w:sz w:val="22"/>
                <w:szCs w:val="22"/>
                <w:lang w:val="en-US"/>
              </w:rPr>
            </w:pPr>
          </w:p>
        </w:tc>
        <w:tc>
          <w:tcPr>
            <w:tcW w:w="3969" w:type="dxa"/>
          </w:tcPr>
          <w:p w14:paraId="3A22B433" w14:textId="7196F806" w:rsidR="00343DAD" w:rsidRPr="00F569AE" w:rsidRDefault="00343DAD" w:rsidP="00194466">
            <w:pPr>
              <w:spacing w:line="276" w:lineRule="auto"/>
              <w:rPr>
                <w:rFonts w:ascii="Calibri" w:hAnsi="Calibri" w:cs="Calibri"/>
                <w:sz w:val="22"/>
                <w:szCs w:val="22"/>
                <w:lang w:val="en-US"/>
              </w:rPr>
            </w:pPr>
            <w:r w:rsidRPr="00F569AE">
              <w:rPr>
                <w:rFonts w:ascii="Calibri" w:hAnsi="Calibri" w:cs="Calibri"/>
                <w:color w:val="000000"/>
                <w:sz w:val="22"/>
                <w:szCs w:val="22"/>
                <w:lang w:val="en-US" w:eastAsia="hr-HR"/>
              </w:rPr>
              <w:t xml:space="preserve">1.2 </w:t>
            </w:r>
            <w:r w:rsidR="007875DD" w:rsidRPr="00F569AE">
              <w:rPr>
                <w:rFonts w:ascii="Calibri" w:hAnsi="Calibri" w:cs="Calibri"/>
                <w:color w:val="000000"/>
                <w:sz w:val="22"/>
                <w:szCs w:val="22"/>
                <w:lang w:val="en-US" w:eastAsia="hr-HR"/>
              </w:rPr>
              <w:t>Higher-level</w:t>
            </w:r>
            <w:r w:rsidRPr="00F569AE">
              <w:rPr>
                <w:rFonts w:ascii="Calibri" w:hAnsi="Calibri" w:cs="Calibri"/>
                <w:color w:val="000000"/>
                <w:sz w:val="22"/>
                <w:szCs w:val="22"/>
                <w:lang w:val="en-US" w:eastAsia="hr-HR"/>
              </w:rPr>
              <w:t xml:space="preserve"> governments capacitated to design policy and regulatory frameworks that advance water supply and wastewater management services</w:t>
            </w:r>
          </w:p>
        </w:tc>
        <w:tc>
          <w:tcPr>
            <w:tcW w:w="2551" w:type="dxa"/>
            <w:vMerge/>
            <w:shd w:val="clear" w:color="auto" w:fill="DAE9F7" w:themeFill="text2" w:themeFillTint="1A"/>
          </w:tcPr>
          <w:p w14:paraId="6067D494" w14:textId="77777777" w:rsidR="00343DAD" w:rsidRPr="00F569AE" w:rsidRDefault="00343DAD" w:rsidP="00194466">
            <w:pPr>
              <w:spacing w:line="276" w:lineRule="auto"/>
              <w:rPr>
                <w:rFonts w:ascii="Calibri" w:hAnsi="Calibri" w:cs="Calibri"/>
                <w:color w:val="000000"/>
                <w:sz w:val="22"/>
                <w:szCs w:val="22"/>
                <w:lang w:val="en-US" w:eastAsia="hr-HR"/>
              </w:rPr>
            </w:pPr>
          </w:p>
        </w:tc>
        <w:tc>
          <w:tcPr>
            <w:tcW w:w="3587" w:type="dxa"/>
            <w:shd w:val="clear" w:color="auto" w:fill="DAE9F7" w:themeFill="text2" w:themeFillTint="1A"/>
          </w:tcPr>
          <w:p w14:paraId="0A53199F" w14:textId="77777777" w:rsidR="00343DAD" w:rsidRPr="00F569AE" w:rsidRDefault="00343DAD" w:rsidP="00194466">
            <w:pPr>
              <w:spacing w:line="276" w:lineRule="auto"/>
              <w:rPr>
                <w:rFonts w:ascii="Calibri" w:hAnsi="Calibri" w:cs="Calibri"/>
                <w:color w:val="000000"/>
                <w:sz w:val="22"/>
                <w:szCs w:val="22"/>
                <w:lang w:val="en-US" w:eastAsia="hr-HR"/>
              </w:rPr>
            </w:pPr>
          </w:p>
        </w:tc>
      </w:tr>
      <w:tr w:rsidR="00343DAD" w:rsidRPr="00F569AE" w14:paraId="4B9496F2" w14:textId="77777777" w:rsidTr="00343DAD">
        <w:tc>
          <w:tcPr>
            <w:tcW w:w="487" w:type="dxa"/>
            <w:vMerge w:val="restart"/>
          </w:tcPr>
          <w:p w14:paraId="7DAE7220" w14:textId="77777777" w:rsidR="00343DAD" w:rsidRPr="00F569AE" w:rsidRDefault="00343DAD" w:rsidP="00194466">
            <w:pPr>
              <w:spacing w:line="276" w:lineRule="auto"/>
              <w:rPr>
                <w:rFonts w:ascii="Calibri" w:hAnsi="Calibri" w:cs="Calibri"/>
                <w:lang w:val="en-US"/>
              </w:rPr>
            </w:pPr>
            <w:r w:rsidRPr="00F569AE">
              <w:rPr>
                <w:rFonts w:ascii="Calibri" w:hAnsi="Calibri" w:cs="Calibri"/>
                <w:lang w:val="en-US"/>
              </w:rPr>
              <w:t>2</w:t>
            </w:r>
          </w:p>
        </w:tc>
        <w:tc>
          <w:tcPr>
            <w:tcW w:w="3336" w:type="dxa"/>
            <w:vMerge w:val="restart"/>
          </w:tcPr>
          <w:p w14:paraId="285D238C" w14:textId="13D23F09" w:rsidR="00343DAD" w:rsidRPr="00F569AE" w:rsidRDefault="00343DAD" w:rsidP="00194466">
            <w:pPr>
              <w:spacing w:line="276" w:lineRule="auto"/>
              <w:rPr>
                <w:rFonts w:ascii="Calibri" w:hAnsi="Calibri" w:cs="Calibri"/>
                <w:sz w:val="22"/>
                <w:szCs w:val="22"/>
                <w:lang w:val="en-US"/>
              </w:rPr>
            </w:pPr>
            <w:r w:rsidRPr="00F569AE">
              <w:rPr>
                <w:rFonts w:ascii="Calibri" w:hAnsi="Calibri" w:cs="Calibri"/>
                <w:color w:val="000000"/>
                <w:sz w:val="22"/>
                <w:szCs w:val="22"/>
                <w:lang w:val="en-US" w:eastAsia="hr-HR"/>
              </w:rPr>
              <w:t xml:space="preserve">Outcome 2: Local governments improve their performance, are more accountable, inclusive and gender-responsive, and provide </w:t>
            </w:r>
            <w:r w:rsidR="007875DD" w:rsidRPr="00F569AE">
              <w:rPr>
                <w:rFonts w:ascii="Calibri" w:hAnsi="Calibri" w:cs="Calibri"/>
                <w:color w:val="000000"/>
                <w:sz w:val="22"/>
                <w:szCs w:val="22"/>
                <w:lang w:val="en-US" w:eastAsia="hr-HR"/>
              </w:rPr>
              <w:t>high-quality</w:t>
            </w:r>
            <w:r w:rsidRPr="00F569AE">
              <w:rPr>
                <w:rFonts w:ascii="Calibri" w:hAnsi="Calibri" w:cs="Calibri"/>
                <w:color w:val="000000"/>
                <w:sz w:val="22"/>
                <w:szCs w:val="22"/>
                <w:lang w:val="en-US" w:eastAsia="hr-HR"/>
              </w:rPr>
              <w:t xml:space="preserve"> services, in particular in the water sector, in a climate-smart, disaster-resilient, </w:t>
            </w:r>
            <w:r w:rsidRPr="00F569AE">
              <w:rPr>
                <w:rFonts w:ascii="Calibri" w:hAnsi="Calibri" w:cs="Calibri"/>
                <w:color w:val="000000"/>
                <w:sz w:val="22"/>
                <w:szCs w:val="22"/>
                <w:lang w:val="en-US" w:eastAsia="hr-HR"/>
              </w:rPr>
              <w:lastRenderedPageBreak/>
              <w:t>inclusive</w:t>
            </w:r>
            <w:r w:rsidR="007875DD" w:rsidRPr="00F569AE">
              <w:rPr>
                <w:rFonts w:ascii="Calibri" w:hAnsi="Calibri" w:cs="Calibri"/>
                <w:color w:val="000000"/>
                <w:sz w:val="22"/>
                <w:szCs w:val="22"/>
                <w:lang w:val="en-US" w:eastAsia="hr-HR"/>
              </w:rPr>
              <w:t>,</w:t>
            </w:r>
            <w:r w:rsidRPr="00F569AE">
              <w:rPr>
                <w:rFonts w:ascii="Calibri" w:hAnsi="Calibri" w:cs="Calibri"/>
                <w:color w:val="000000"/>
                <w:sz w:val="22"/>
                <w:szCs w:val="22"/>
                <w:lang w:val="en-US" w:eastAsia="hr-HR"/>
              </w:rPr>
              <w:t xml:space="preserve"> and sustainable way</w:t>
            </w:r>
          </w:p>
        </w:tc>
        <w:tc>
          <w:tcPr>
            <w:tcW w:w="3969" w:type="dxa"/>
          </w:tcPr>
          <w:p w14:paraId="18297752" w14:textId="56F35203" w:rsidR="00343DAD" w:rsidRPr="00F569AE" w:rsidRDefault="00343DAD" w:rsidP="00194466">
            <w:pPr>
              <w:spacing w:line="276" w:lineRule="auto"/>
              <w:rPr>
                <w:rFonts w:ascii="Calibri" w:hAnsi="Calibri" w:cs="Calibri"/>
                <w:sz w:val="22"/>
                <w:szCs w:val="22"/>
                <w:lang w:val="en-US"/>
              </w:rPr>
            </w:pPr>
            <w:r w:rsidRPr="00F569AE">
              <w:rPr>
                <w:rFonts w:ascii="Calibri" w:hAnsi="Calibri" w:cs="Calibri"/>
                <w:color w:val="000000"/>
                <w:sz w:val="22"/>
                <w:szCs w:val="22"/>
                <w:lang w:val="en-US" w:eastAsia="hr-HR"/>
              </w:rPr>
              <w:lastRenderedPageBreak/>
              <w:t xml:space="preserve">2.1 Partner local governments actively engaged in the participatory validation and introduction of a standard result </w:t>
            </w:r>
            <w:r w:rsidR="007875DD" w:rsidRPr="00F569AE">
              <w:rPr>
                <w:rFonts w:ascii="Calibri" w:hAnsi="Calibri" w:cs="Calibri"/>
                <w:color w:val="000000"/>
                <w:sz w:val="22"/>
                <w:szCs w:val="22"/>
                <w:lang w:val="en-US" w:eastAsia="hr-HR"/>
              </w:rPr>
              <w:t xml:space="preserve">result-oriented </w:t>
            </w:r>
            <w:r w:rsidRPr="00F569AE">
              <w:rPr>
                <w:rFonts w:ascii="Calibri" w:hAnsi="Calibri" w:cs="Calibri"/>
                <w:color w:val="000000"/>
                <w:sz w:val="22"/>
                <w:szCs w:val="22"/>
                <w:lang w:val="en-US" w:eastAsia="hr-HR"/>
              </w:rPr>
              <w:t>local governance model</w:t>
            </w:r>
          </w:p>
        </w:tc>
        <w:tc>
          <w:tcPr>
            <w:tcW w:w="2551" w:type="dxa"/>
            <w:vMerge/>
            <w:shd w:val="clear" w:color="auto" w:fill="DAE9F7" w:themeFill="text2" w:themeFillTint="1A"/>
          </w:tcPr>
          <w:p w14:paraId="09D346E1" w14:textId="77777777" w:rsidR="00343DAD" w:rsidRPr="00F569AE" w:rsidRDefault="00343DAD" w:rsidP="00194466">
            <w:pPr>
              <w:spacing w:line="276" w:lineRule="auto"/>
              <w:rPr>
                <w:rFonts w:ascii="Calibri" w:hAnsi="Calibri" w:cs="Calibri"/>
                <w:color w:val="000000"/>
                <w:sz w:val="22"/>
                <w:szCs w:val="22"/>
                <w:lang w:val="en-US" w:eastAsia="hr-HR"/>
              </w:rPr>
            </w:pPr>
          </w:p>
        </w:tc>
        <w:tc>
          <w:tcPr>
            <w:tcW w:w="3587" w:type="dxa"/>
            <w:shd w:val="clear" w:color="auto" w:fill="DAE9F7" w:themeFill="text2" w:themeFillTint="1A"/>
          </w:tcPr>
          <w:p w14:paraId="0952E129" w14:textId="77777777" w:rsidR="00343DAD" w:rsidRPr="00F569AE" w:rsidRDefault="00343DAD" w:rsidP="00194466">
            <w:pPr>
              <w:spacing w:line="276" w:lineRule="auto"/>
              <w:rPr>
                <w:rFonts w:ascii="Calibri" w:hAnsi="Calibri" w:cs="Calibri"/>
                <w:color w:val="000000"/>
                <w:sz w:val="22"/>
                <w:szCs w:val="22"/>
                <w:lang w:val="en-US" w:eastAsia="hr-HR"/>
              </w:rPr>
            </w:pPr>
          </w:p>
        </w:tc>
      </w:tr>
      <w:tr w:rsidR="00343DAD" w:rsidRPr="00F569AE" w14:paraId="2DC191D8" w14:textId="77777777" w:rsidTr="00343DAD">
        <w:tc>
          <w:tcPr>
            <w:tcW w:w="487" w:type="dxa"/>
            <w:vMerge/>
          </w:tcPr>
          <w:p w14:paraId="1E6F8C78" w14:textId="77777777" w:rsidR="00343DAD" w:rsidRPr="00F569AE" w:rsidRDefault="00343DAD" w:rsidP="00194466">
            <w:pPr>
              <w:spacing w:line="276" w:lineRule="auto"/>
              <w:rPr>
                <w:rFonts w:ascii="Calibri" w:hAnsi="Calibri" w:cs="Calibri"/>
                <w:lang w:val="en-US"/>
              </w:rPr>
            </w:pPr>
          </w:p>
        </w:tc>
        <w:tc>
          <w:tcPr>
            <w:tcW w:w="3336" w:type="dxa"/>
            <w:vMerge/>
          </w:tcPr>
          <w:p w14:paraId="386CA72B" w14:textId="77777777" w:rsidR="00343DAD" w:rsidRPr="00F569AE" w:rsidRDefault="00343DAD" w:rsidP="00194466">
            <w:pPr>
              <w:spacing w:line="276" w:lineRule="auto"/>
              <w:rPr>
                <w:rFonts w:ascii="Calibri" w:hAnsi="Calibri" w:cs="Calibri"/>
                <w:sz w:val="22"/>
                <w:szCs w:val="22"/>
                <w:lang w:val="en-US"/>
              </w:rPr>
            </w:pPr>
          </w:p>
        </w:tc>
        <w:tc>
          <w:tcPr>
            <w:tcW w:w="3969" w:type="dxa"/>
          </w:tcPr>
          <w:p w14:paraId="3B55F2B7" w14:textId="2E7A85F1" w:rsidR="00343DAD" w:rsidRPr="00F569AE" w:rsidRDefault="00343DAD" w:rsidP="00194466">
            <w:pPr>
              <w:spacing w:line="276" w:lineRule="auto"/>
              <w:rPr>
                <w:rFonts w:ascii="Calibri" w:hAnsi="Calibri" w:cs="Calibri"/>
                <w:sz w:val="22"/>
                <w:szCs w:val="22"/>
                <w:lang w:val="en-US"/>
              </w:rPr>
            </w:pPr>
            <w:r w:rsidRPr="00F569AE">
              <w:rPr>
                <w:rFonts w:ascii="Calibri" w:hAnsi="Calibri" w:cs="Calibri"/>
                <w:color w:val="000000"/>
                <w:sz w:val="22"/>
                <w:szCs w:val="22"/>
                <w:lang w:val="en-US" w:eastAsia="hr-HR"/>
              </w:rPr>
              <w:t xml:space="preserve">2.2 Partner local governments have acquired adequate capacities and tools to effectively plan and </w:t>
            </w:r>
            <w:r w:rsidRPr="00F569AE">
              <w:rPr>
                <w:rFonts w:ascii="Calibri" w:hAnsi="Calibri" w:cs="Calibri"/>
                <w:color w:val="000000"/>
                <w:sz w:val="22"/>
                <w:szCs w:val="22"/>
                <w:lang w:val="en-US" w:eastAsia="hr-HR"/>
              </w:rPr>
              <w:lastRenderedPageBreak/>
              <w:t>deliver public policies and services, guided by a result-oriented approach</w:t>
            </w:r>
          </w:p>
        </w:tc>
        <w:tc>
          <w:tcPr>
            <w:tcW w:w="2551" w:type="dxa"/>
            <w:vMerge/>
            <w:shd w:val="clear" w:color="auto" w:fill="DAE9F7" w:themeFill="text2" w:themeFillTint="1A"/>
          </w:tcPr>
          <w:p w14:paraId="6B4D2501" w14:textId="77777777" w:rsidR="00343DAD" w:rsidRPr="00F569AE" w:rsidRDefault="00343DAD" w:rsidP="00194466">
            <w:pPr>
              <w:spacing w:line="276" w:lineRule="auto"/>
              <w:rPr>
                <w:rFonts w:ascii="Calibri" w:hAnsi="Calibri" w:cs="Calibri"/>
                <w:color w:val="000000"/>
                <w:sz w:val="22"/>
                <w:szCs w:val="22"/>
                <w:lang w:val="en-US" w:eastAsia="hr-HR"/>
              </w:rPr>
            </w:pPr>
          </w:p>
        </w:tc>
        <w:tc>
          <w:tcPr>
            <w:tcW w:w="3587" w:type="dxa"/>
            <w:shd w:val="clear" w:color="auto" w:fill="DAE9F7" w:themeFill="text2" w:themeFillTint="1A"/>
          </w:tcPr>
          <w:p w14:paraId="09917EFE" w14:textId="77777777" w:rsidR="00343DAD" w:rsidRPr="00F569AE" w:rsidRDefault="00343DAD" w:rsidP="00194466">
            <w:pPr>
              <w:spacing w:line="276" w:lineRule="auto"/>
              <w:rPr>
                <w:rFonts w:ascii="Calibri" w:hAnsi="Calibri" w:cs="Calibri"/>
                <w:color w:val="000000"/>
                <w:sz w:val="22"/>
                <w:szCs w:val="22"/>
                <w:lang w:val="en-US" w:eastAsia="hr-HR"/>
              </w:rPr>
            </w:pPr>
          </w:p>
        </w:tc>
      </w:tr>
      <w:tr w:rsidR="00343DAD" w:rsidRPr="00F569AE" w14:paraId="6472DCE1" w14:textId="77777777" w:rsidTr="0056304E">
        <w:tc>
          <w:tcPr>
            <w:tcW w:w="487" w:type="dxa"/>
            <w:vMerge w:val="restart"/>
          </w:tcPr>
          <w:p w14:paraId="7604CE74" w14:textId="77777777" w:rsidR="00343DAD" w:rsidRPr="00F569AE" w:rsidRDefault="00343DAD" w:rsidP="00194466">
            <w:pPr>
              <w:spacing w:line="276" w:lineRule="auto"/>
              <w:rPr>
                <w:rFonts w:ascii="Calibri" w:hAnsi="Calibri" w:cs="Calibri"/>
                <w:lang w:val="en-US"/>
              </w:rPr>
            </w:pPr>
            <w:r w:rsidRPr="00F569AE">
              <w:rPr>
                <w:rFonts w:ascii="Calibri" w:hAnsi="Calibri" w:cs="Calibri"/>
                <w:lang w:val="en-US"/>
              </w:rPr>
              <w:t>3</w:t>
            </w:r>
          </w:p>
        </w:tc>
        <w:tc>
          <w:tcPr>
            <w:tcW w:w="3336" w:type="dxa"/>
            <w:vMerge w:val="restart"/>
          </w:tcPr>
          <w:p w14:paraId="317120D1" w14:textId="77777777" w:rsidR="00343DAD" w:rsidRPr="00F569AE" w:rsidRDefault="00343DAD" w:rsidP="00194466">
            <w:pPr>
              <w:spacing w:line="276" w:lineRule="auto"/>
              <w:rPr>
                <w:rFonts w:ascii="Calibri" w:hAnsi="Calibri" w:cs="Calibri"/>
                <w:sz w:val="22"/>
                <w:szCs w:val="22"/>
                <w:lang w:val="en-US"/>
              </w:rPr>
            </w:pPr>
            <w:r w:rsidRPr="00F569AE">
              <w:rPr>
                <w:rFonts w:ascii="Calibri" w:hAnsi="Calibri" w:cs="Calibri"/>
                <w:color w:val="000000"/>
                <w:sz w:val="22"/>
                <w:szCs w:val="22"/>
                <w:lang w:val="en-US" w:eastAsia="hr-HR"/>
              </w:rPr>
              <w:t>Outcome 3: Citizens, including the most vulnerable, benefit from water supply and wastewater management services provided in a more efficient, accountable, and sustainable manner</w:t>
            </w:r>
          </w:p>
        </w:tc>
        <w:tc>
          <w:tcPr>
            <w:tcW w:w="3969" w:type="dxa"/>
          </w:tcPr>
          <w:p w14:paraId="5C04C253" w14:textId="77777777" w:rsidR="00343DAD" w:rsidRPr="00F569AE" w:rsidRDefault="00343DAD" w:rsidP="00194466">
            <w:pPr>
              <w:spacing w:line="276" w:lineRule="auto"/>
              <w:rPr>
                <w:rFonts w:ascii="Calibri" w:hAnsi="Calibri" w:cs="Calibri"/>
                <w:sz w:val="22"/>
                <w:szCs w:val="22"/>
                <w:lang w:val="en-US"/>
              </w:rPr>
            </w:pPr>
            <w:r w:rsidRPr="00F569AE">
              <w:rPr>
                <w:rFonts w:ascii="Calibri" w:hAnsi="Calibri" w:cs="Calibri"/>
                <w:color w:val="000000"/>
                <w:sz w:val="22"/>
                <w:szCs w:val="22"/>
                <w:lang w:val="en-US" w:eastAsia="hr-HR"/>
              </w:rPr>
              <w:t>3.1 Local government capacitated and frameworks entailing sustainable partnerships with their water utilities enhanced to enable more effective, efficient, inclusive, and sustainable water supply and wastewater service</w:t>
            </w:r>
          </w:p>
        </w:tc>
        <w:tc>
          <w:tcPr>
            <w:tcW w:w="2551" w:type="dxa"/>
            <w:vMerge/>
          </w:tcPr>
          <w:p w14:paraId="3D9FC02C" w14:textId="77777777" w:rsidR="00343DAD" w:rsidRPr="00F569AE" w:rsidRDefault="00343DAD" w:rsidP="00194466">
            <w:pPr>
              <w:spacing w:line="276" w:lineRule="auto"/>
              <w:rPr>
                <w:rFonts w:ascii="Calibri" w:hAnsi="Calibri" w:cs="Calibri"/>
                <w:color w:val="000000"/>
                <w:sz w:val="22"/>
                <w:szCs w:val="22"/>
                <w:lang w:val="en-US" w:eastAsia="hr-HR"/>
              </w:rPr>
            </w:pPr>
          </w:p>
        </w:tc>
        <w:tc>
          <w:tcPr>
            <w:tcW w:w="3587" w:type="dxa"/>
            <w:shd w:val="clear" w:color="auto" w:fill="DAE9F7" w:themeFill="text2" w:themeFillTint="1A"/>
          </w:tcPr>
          <w:p w14:paraId="349C1F8B" w14:textId="77777777" w:rsidR="00343DAD" w:rsidRPr="00F569AE" w:rsidRDefault="00343DAD" w:rsidP="00194466">
            <w:pPr>
              <w:spacing w:line="276" w:lineRule="auto"/>
              <w:rPr>
                <w:rFonts w:ascii="Calibri" w:hAnsi="Calibri" w:cs="Calibri"/>
                <w:color w:val="000000"/>
                <w:sz w:val="22"/>
                <w:szCs w:val="22"/>
                <w:lang w:val="en-US" w:eastAsia="hr-HR"/>
              </w:rPr>
            </w:pPr>
            <w:r w:rsidRPr="00F569AE">
              <w:rPr>
                <w:rFonts w:ascii="Calibri" w:hAnsi="Calibri" w:cs="Calibri"/>
                <w:color w:val="000000"/>
                <w:sz w:val="22"/>
                <w:szCs w:val="22"/>
                <w:lang w:val="en-US" w:eastAsia="hr-HR"/>
              </w:rPr>
              <w:t xml:space="preserve">1.2 </w:t>
            </w:r>
            <w:r w:rsidRPr="00F569AE">
              <w:rPr>
                <w:rFonts w:ascii="Calibri" w:hAnsi="Calibri" w:cs="Calibri"/>
                <w:spacing w:val="-2"/>
                <w:sz w:val="22"/>
                <w:szCs w:val="22"/>
                <w:lang w:val="en-US"/>
              </w:rPr>
              <w:t xml:space="preserve">Local government capacities and </w:t>
            </w:r>
            <w:r w:rsidRPr="00F569AE">
              <w:rPr>
                <w:rFonts w:ascii="Calibri" w:hAnsi="Calibri" w:cs="Calibri"/>
                <w:i/>
                <w:spacing w:val="-2"/>
                <w:sz w:val="22"/>
                <w:szCs w:val="22"/>
                <w:lang w:val="en-US"/>
              </w:rPr>
              <w:t>frameworks</w:t>
            </w:r>
            <w:r w:rsidRPr="00F569AE">
              <w:rPr>
                <w:rFonts w:ascii="Calibri" w:hAnsi="Calibri" w:cs="Calibri"/>
                <w:spacing w:val="-2"/>
                <w:sz w:val="22"/>
                <w:szCs w:val="22"/>
                <w:lang w:val="en-US"/>
              </w:rPr>
              <w:t xml:space="preserve"> entailing sustainable partnerships with their water utilities enhanced to enable more effective, efficient, and inclusive water supply and wastewater service delivery</w:t>
            </w:r>
          </w:p>
        </w:tc>
      </w:tr>
      <w:tr w:rsidR="00343DAD" w:rsidRPr="00F569AE" w14:paraId="07AF8F7B" w14:textId="77777777" w:rsidTr="0056304E">
        <w:tc>
          <w:tcPr>
            <w:tcW w:w="487" w:type="dxa"/>
            <w:vMerge/>
          </w:tcPr>
          <w:p w14:paraId="25908539" w14:textId="77777777" w:rsidR="00343DAD" w:rsidRPr="00F569AE" w:rsidRDefault="00343DAD" w:rsidP="00194466">
            <w:pPr>
              <w:spacing w:line="276" w:lineRule="auto"/>
              <w:rPr>
                <w:rFonts w:ascii="Calibri" w:hAnsi="Calibri" w:cs="Calibri"/>
                <w:lang w:val="en-US"/>
              </w:rPr>
            </w:pPr>
          </w:p>
        </w:tc>
        <w:tc>
          <w:tcPr>
            <w:tcW w:w="3336" w:type="dxa"/>
            <w:vMerge/>
          </w:tcPr>
          <w:p w14:paraId="34539B3F" w14:textId="77777777" w:rsidR="00343DAD" w:rsidRPr="00F569AE" w:rsidRDefault="00343DAD" w:rsidP="00194466">
            <w:pPr>
              <w:spacing w:line="276" w:lineRule="auto"/>
              <w:rPr>
                <w:rFonts w:ascii="Calibri" w:hAnsi="Calibri" w:cs="Calibri"/>
                <w:sz w:val="22"/>
                <w:szCs w:val="22"/>
                <w:lang w:val="en-US"/>
              </w:rPr>
            </w:pPr>
          </w:p>
        </w:tc>
        <w:tc>
          <w:tcPr>
            <w:tcW w:w="3969" w:type="dxa"/>
          </w:tcPr>
          <w:p w14:paraId="06779AEE" w14:textId="77777777" w:rsidR="00343DAD" w:rsidRPr="00F569AE" w:rsidRDefault="00343DAD" w:rsidP="00194466">
            <w:pPr>
              <w:spacing w:line="276" w:lineRule="auto"/>
              <w:rPr>
                <w:rFonts w:ascii="Calibri" w:hAnsi="Calibri" w:cs="Calibri"/>
                <w:sz w:val="22"/>
                <w:szCs w:val="22"/>
                <w:lang w:val="en-US"/>
              </w:rPr>
            </w:pPr>
            <w:r w:rsidRPr="00F569AE">
              <w:rPr>
                <w:rFonts w:ascii="Calibri" w:hAnsi="Calibri" w:cs="Calibri"/>
                <w:color w:val="000000"/>
                <w:sz w:val="22"/>
                <w:szCs w:val="22"/>
                <w:lang w:val="en-US" w:eastAsia="hr-HR"/>
              </w:rPr>
              <w:t>3.2 Financial and operational performance of water utilities improved</w:t>
            </w:r>
          </w:p>
        </w:tc>
        <w:tc>
          <w:tcPr>
            <w:tcW w:w="2551" w:type="dxa"/>
            <w:vMerge/>
          </w:tcPr>
          <w:p w14:paraId="357F442D" w14:textId="77777777" w:rsidR="00343DAD" w:rsidRPr="00F569AE" w:rsidRDefault="00343DAD" w:rsidP="00194466">
            <w:pPr>
              <w:spacing w:line="276" w:lineRule="auto"/>
              <w:rPr>
                <w:rFonts w:ascii="Calibri" w:hAnsi="Calibri" w:cs="Calibri"/>
                <w:color w:val="000000"/>
                <w:sz w:val="22"/>
                <w:szCs w:val="22"/>
                <w:lang w:val="en-US" w:eastAsia="hr-HR"/>
              </w:rPr>
            </w:pPr>
          </w:p>
        </w:tc>
        <w:tc>
          <w:tcPr>
            <w:tcW w:w="3587" w:type="dxa"/>
            <w:shd w:val="clear" w:color="auto" w:fill="DAE9F7" w:themeFill="text2" w:themeFillTint="1A"/>
          </w:tcPr>
          <w:p w14:paraId="6E673029" w14:textId="77777777" w:rsidR="00343DAD" w:rsidRPr="00F569AE" w:rsidRDefault="00343DAD" w:rsidP="00194466">
            <w:pPr>
              <w:spacing w:line="276" w:lineRule="auto"/>
              <w:rPr>
                <w:rFonts w:ascii="Calibri" w:hAnsi="Calibri" w:cs="Calibri"/>
                <w:color w:val="000000"/>
                <w:sz w:val="22"/>
                <w:szCs w:val="22"/>
                <w:lang w:val="en-US" w:eastAsia="hr-HR"/>
              </w:rPr>
            </w:pPr>
            <w:r w:rsidRPr="00F569AE">
              <w:rPr>
                <w:rFonts w:ascii="Calibri" w:hAnsi="Calibri" w:cs="Calibri"/>
                <w:color w:val="000000"/>
                <w:sz w:val="22"/>
                <w:szCs w:val="22"/>
                <w:lang w:val="en-US" w:eastAsia="hr-HR"/>
              </w:rPr>
              <w:t xml:space="preserve">1.3 </w:t>
            </w:r>
            <w:r w:rsidRPr="00F569AE">
              <w:rPr>
                <w:rFonts w:ascii="Calibri" w:hAnsi="Calibri" w:cs="Calibri"/>
                <w:spacing w:val="-2"/>
                <w:sz w:val="22"/>
                <w:szCs w:val="22"/>
                <w:lang w:val="en-US"/>
              </w:rPr>
              <w:t>Financial and operational performance of water utilities improved.</w:t>
            </w:r>
          </w:p>
        </w:tc>
      </w:tr>
    </w:tbl>
    <w:p w14:paraId="1718AD01" w14:textId="77777777" w:rsidR="00CF095C" w:rsidRPr="00F569AE" w:rsidRDefault="00CF095C" w:rsidP="00CF095C">
      <w:pPr>
        <w:spacing w:line="276" w:lineRule="auto"/>
        <w:jc w:val="both"/>
        <w:rPr>
          <w:rFonts w:ascii="Calibri" w:hAnsi="Calibri" w:cs="Calibri"/>
          <w:color w:val="000000"/>
          <w:lang w:val="en-US"/>
        </w:rPr>
      </w:pPr>
    </w:p>
    <w:p w14:paraId="55E057DF" w14:textId="77777777" w:rsidR="008E4296" w:rsidRPr="00F569AE" w:rsidRDefault="008E4296" w:rsidP="008E4296">
      <w:pPr>
        <w:spacing w:line="276" w:lineRule="auto"/>
        <w:jc w:val="both"/>
        <w:rPr>
          <w:rFonts w:ascii="Helvetica Neue" w:eastAsiaTheme="minorHAnsi" w:hAnsi="Helvetica Neue" w:cs="Helvetica Neue"/>
          <w:color w:val="000000"/>
          <w:sz w:val="26"/>
          <w:szCs w:val="26"/>
          <w:lang w:val="en-US" w:eastAsia="en-US"/>
          <w14:ligatures w14:val="standardContextual"/>
        </w:rPr>
      </w:pPr>
      <w:r w:rsidRPr="00F569AE">
        <w:rPr>
          <w:rFonts w:ascii="Calibri" w:hAnsi="Calibri" w:cs="Calibri"/>
          <w:color w:val="000000"/>
          <w:lang w:val="en-US"/>
        </w:rPr>
        <w:t>With the total budget of USD 15,345,355.78 the project</w:t>
      </w:r>
      <w:r>
        <w:rPr>
          <w:rFonts w:ascii="Calibri" w:hAnsi="Calibri" w:cs="Calibri"/>
          <w:color w:val="000000"/>
          <w:lang w:val="en-US"/>
        </w:rPr>
        <w:t xml:space="preserve"> reached out to a wide range of</w:t>
      </w:r>
      <w:r w:rsidRPr="00F569AE">
        <w:rPr>
          <w:rFonts w:ascii="Calibri" w:hAnsi="Calibri" w:cs="Calibri"/>
          <w:color w:val="000000"/>
          <w:lang w:val="en-US"/>
        </w:rPr>
        <w:t xml:space="preserve"> </w:t>
      </w:r>
      <w:r>
        <w:rPr>
          <w:rFonts w:ascii="Calibri" w:hAnsi="Calibri" w:cs="Calibri"/>
          <w:color w:val="000000"/>
          <w:lang w:val="en-US"/>
        </w:rPr>
        <w:t>beneficiaries</w:t>
      </w:r>
      <w:r w:rsidRPr="00F569AE">
        <w:rPr>
          <w:rFonts w:ascii="Calibri" w:hAnsi="Calibri" w:cs="Calibri"/>
          <w:color w:val="000000"/>
          <w:lang w:val="en-US"/>
        </w:rPr>
        <w:t xml:space="preserve">: (i) local governments, (ii) local government leaders and staff, (iii) </w:t>
      </w:r>
      <w:r>
        <w:rPr>
          <w:rFonts w:ascii="Calibri" w:hAnsi="Calibri" w:cs="Calibri"/>
          <w:color w:val="000000"/>
          <w:lang w:val="en-US"/>
        </w:rPr>
        <w:t xml:space="preserve">the </w:t>
      </w:r>
      <w:r w:rsidRPr="00F569AE">
        <w:rPr>
          <w:rFonts w:ascii="Calibri" w:hAnsi="Calibri" w:cs="Calibri"/>
          <w:color w:val="000000"/>
          <w:lang w:val="en-US"/>
        </w:rPr>
        <w:t xml:space="preserve">leaders and staff </w:t>
      </w:r>
      <w:r>
        <w:rPr>
          <w:rFonts w:ascii="Calibri" w:hAnsi="Calibri" w:cs="Calibri"/>
          <w:color w:val="000000"/>
          <w:lang w:val="en-US"/>
        </w:rPr>
        <w:t xml:space="preserve">of the </w:t>
      </w:r>
      <w:r w:rsidRPr="00F569AE">
        <w:rPr>
          <w:rFonts w:ascii="Calibri" w:hAnsi="Calibri" w:cs="Calibri"/>
          <w:color w:val="000000"/>
          <w:lang w:val="en-US"/>
        </w:rPr>
        <w:t xml:space="preserve">local </w:t>
      </w:r>
      <w:r>
        <w:rPr>
          <w:rFonts w:ascii="Calibri" w:hAnsi="Calibri" w:cs="Calibri"/>
          <w:color w:val="000000"/>
          <w:lang w:val="en-US"/>
        </w:rPr>
        <w:t xml:space="preserve">water </w:t>
      </w:r>
      <w:r w:rsidRPr="00F569AE">
        <w:rPr>
          <w:rFonts w:ascii="Calibri" w:hAnsi="Calibri" w:cs="Calibri"/>
          <w:color w:val="000000"/>
          <w:lang w:val="en-US"/>
        </w:rPr>
        <w:t>utilit</w:t>
      </w:r>
      <w:r>
        <w:rPr>
          <w:rFonts w:ascii="Calibri" w:hAnsi="Calibri" w:cs="Calibri"/>
          <w:color w:val="000000"/>
          <w:lang w:val="en-US"/>
        </w:rPr>
        <w:t>y companies</w:t>
      </w:r>
      <w:r w:rsidRPr="00F569AE">
        <w:rPr>
          <w:rFonts w:ascii="Calibri" w:hAnsi="Calibri" w:cs="Calibri"/>
          <w:color w:val="000000"/>
          <w:lang w:val="en-US"/>
        </w:rPr>
        <w:t xml:space="preserve">, (iv) partner institutions (e.g. state and cantonal ministries benefiting from capacity development activities, association of cities ), (v) government officials  engaged in policy dialogue (e.g. state and cantonal ministries who were involved in shaping policy related outcomes of the project), (vi) citizens and particularly those most vulnerable (e.g. women, youth, people with disabilities, or those with restrict access to water services).  </w:t>
      </w:r>
    </w:p>
    <w:p w14:paraId="1A97E65F" w14:textId="77777777" w:rsidR="008E4296" w:rsidRDefault="008E4296" w:rsidP="008E4296">
      <w:pPr>
        <w:spacing w:line="276" w:lineRule="auto"/>
        <w:jc w:val="both"/>
        <w:rPr>
          <w:rFonts w:ascii="Calibri" w:hAnsi="Calibri" w:cs="Calibri"/>
          <w:lang w:val="en-US"/>
        </w:rPr>
      </w:pPr>
    </w:p>
    <w:p w14:paraId="506D949D" w14:textId="77777777" w:rsidR="008E4296" w:rsidRPr="00F569AE" w:rsidRDefault="008E4296" w:rsidP="008E4296">
      <w:pPr>
        <w:spacing w:line="276" w:lineRule="auto"/>
        <w:jc w:val="both"/>
        <w:rPr>
          <w:rFonts w:ascii="Calibri" w:hAnsi="Calibri" w:cs="Calibri"/>
          <w:lang w:val="en-US"/>
        </w:rPr>
      </w:pPr>
      <w:r w:rsidRPr="00F569AE">
        <w:rPr>
          <w:rFonts w:ascii="Calibri" w:hAnsi="Calibri" w:cs="Calibri"/>
          <w:lang w:val="en-US"/>
        </w:rPr>
        <w:t xml:space="preserve">The </w:t>
      </w:r>
      <w:r w:rsidRPr="00F569AE">
        <w:rPr>
          <w:rFonts w:ascii="Calibri" w:hAnsi="Calibri" w:cs="Calibri"/>
          <w:color w:val="000000" w:themeColor="text1"/>
          <w:lang w:val="en-US"/>
        </w:rPr>
        <w:t xml:space="preserve">MEG/EU4MEG project </w:t>
      </w:r>
      <w:r w:rsidRPr="00F569AE">
        <w:rPr>
          <w:rFonts w:ascii="Calibri" w:hAnsi="Calibri" w:cs="Calibri"/>
          <w:lang w:val="en-US"/>
        </w:rPr>
        <w:t xml:space="preserve">worked closely with the federal, cantonal (in case of FBiH) and local governments as well as with the two water professional associations and two associations of municipalities in cities in FBiH and RS respectively. </w:t>
      </w:r>
      <w:r w:rsidRPr="00F569AE">
        <w:rPr>
          <w:rFonts w:ascii="Calibri" w:hAnsi="Calibri" w:cs="Calibri"/>
          <w:color w:val="000000" w:themeColor="text1"/>
          <w:lang w:val="en-US"/>
        </w:rPr>
        <w:t xml:space="preserve">The project was implemented in 31 selected local governments (LGs) and included 10 LGs from MEGI cycle that demonstrated high performance </w:t>
      </w:r>
      <w:r>
        <w:rPr>
          <w:rFonts w:ascii="Calibri" w:hAnsi="Calibri" w:cs="Calibri"/>
          <w:color w:val="000000" w:themeColor="text1"/>
          <w:lang w:val="en-US"/>
        </w:rPr>
        <w:t xml:space="preserve">during the first phase of the MEG programme </w:t>
      </w:r>
      <w:r w:rsidRPr="00F569AE">
        <w:rPr>
          <w:rFonts w:ascii="Calibri" w:hAnsi="Calibri" w:cs="Calibri"/>
          <w:color w:val="000000" w:themeColor="text1"/>
          <w:lang w:val="en-US"/>
        </w:rPr>
        <w:t xml:space="preserve">and 21 newly selected ones. </w:t>
      </w:r>
      <w:r>
        <w:rPr>
          <w:rFonts w:ascii="Calibri" w:hAnsi="Calibri" w:cs="Calibri"/>
          <w:color w:val="000000" w:themeColor="text1"/>
          <w:lang w:val="en-US"/>
        </w:rPr>
        <w:t xml:space="preserve">In 2024, the Project Board terminated collaboration with </w:t>
      </w:r>
      <w:r w:rsidRPr="00F569AE">
        <w:rPr>
          <w:rFonts w:ascii="Calibri" w:hAnsi="Calibri" w:cs="Calibri"/>
          <w:color w:val="000000" w:themeColor="text1"/>
          <w:lang w:val="en-US"/>
        </w:rPr>
        <w:t xml:space="preserve">the </w:t>
      </w:r>
      <w:r w:rsidRPr="00F569AE">
        <w:rPr>
          <w:rFonts w:ascii="Calibri" w:hAnsi="Calibri" w:cs="Calibri"/>
          <w:lang w:val="en-US"/>
        </w:rPr>
        <w:t xml:space="preserve">Čelinac </w:t>
      </w:r>
      <w:r>
        <w:rPr>
          <w:rFonts w:ascii="Calibri" w:hAnsi="Calibri" w:cs="Calibri"/>
          <w:lang w:val="en-US"/>
        </w:rPr>
        <w:t xml:space="preserve">LG </w:t>
      </w:r>
      <w:r w:rsidRPr="00F569AE">
        <w:rPr>
          <w:rFonts w:ascii="Calibri" w:hAnsi="Calibri" w:cs="Calibri"/>
          <w:lang w:val="en-US"/>
        </w:rPr>
        <w:t>and Gacko</w:t>
      </w:r>
      <w:r>
        <w:rPr>
          <w:rFonts w:ascii="Calibri" w:hAnsi="Calibri" w:cs="Calibri"/>
          <w:lang w:val="en-US"/>
        </w:rPr>
        <w:t xml:space="preserve"> LG </w:t>
      </w:r>
      <w:r w:rsidRPr="00F569AE">
        <w:rPr>
          <w:rFonts w:ascii="Calibri" w:hAnsi="Calibri" w:cs="Calibri"/>
          <w:lang w:val="en-US"/>
        </w:rPr>
        <w:t xml:space="preserve">due to their low performance. </w:t>
      </w:r>
      <w:r w:rsidRPr="00AA0072">
        <w:rPr>
          <w:rFonts w:ascii="Calibri" w:hAnsi="Calibri" w:cs="Calibri"/>
          <w:b/>
          <w:i/>
          <w:lang w:val="en-US"/>
        </w:rPr>
        <w:t>The new partner LGs include</w:t>
      </w:r>
      <w:r w:rsidRPr="00F569AE">
        <w:rPr>
          <w:rFonts w:ascii="Calibri" w:hAnsi="Calibri" w:cs="Calibri"/>
          <w:lang w:val="en-US"/>
        </w:rPr>
        <w:t xml:space="preserve"> Bosanski Petrovac, Busovača, Bužim, Čapljina, Čelinac, Čitluk, Doboj Istok, Gacko, Ilijaš, Istočno Novo Sarajevo, Laktaši, Ljubuški, Mostar, Mrkonjić Grad, Odžak, Orašje, Srbac, Šamac, Široki Brijeg, Tomislavgrad and Trebinje.</w:t>
      </w:r>
      <w:r w:rsidRPr="00F569AE">
        <w:rPr>
          <w:rFonts w:ascii="Calibri" w:hAnsi="Calibri" w:cs="Calibri"/>
          <w:color w:val="000000" w:themeColor="text1"/>
          <w:lang w:val="en-US"/>
        </w:rPr>
        <w:t xml:space="preserve"> </w:t>
      </w:r>
      <w:r w:rsidRPr="00AA0072">
        <w:rPr>
          <w:rFonts w:ascii="Calibri" w:hAnsi="Calibri" w:cs="Calibri"/>
          <w:b/>
          <w:i/>
          <w:lang w:val="en-US"/>
        </w:rPr>
        <w:t>The old partner LGs include</w:t>
      </w:r>
      <w:r w:rsidRPr="00F569AE">
        <w:rPr>
          <w:rFonts w:ascii="Calibri" w:hAnsi="Calibri" w:cs="Calibri"/>
          <w:lang w:val="en-US"/>
        </w:rPr>
        <w:t xml:space="preserve"> Bihać, Bosanska Krupa, Gradiška, Gračanica, Prijedor, Prnjavor, Sanski Most, Teslić, Tešanj and Žepče. </w:t>
      </w:r>
    </w:p>
    <w:p w14:paraId="16EB3D87" w14:textId="77777777" w:rsidR="008E4296" w:rsidRPr="00F569AE" w:rsidRDefault="008E4296" w:rsidP="008E4296">
      <w:pPr>
        <w:spacing w:line="276" w:lineRule="auto"/>
        <w:jc w:val="both"/>
        <w:rPr>
          <w:rFonts w:ascii="Calibri" w:hAnsi="Calibri" w:cs="Calibri"/>
          <w:color w:val="000000"/>
          <w:lang w:val="en-US"/>
        </w:rPr>
      </w:pPr>
    </w:p>
    <w:p w14:paraId="59A42C7F" w14:textId="77777777" w:rsidR="008E4296" w:rsidRPr="00F569AE" w:rsidRDefault="008E4296" w:rsidP="008E4296">
      <w:pPr>
        <w:pStyle w:val="p1"/>
        <w:spacing w:line="276" w:lineRule="auto"/>
        <w:jc w:val="both"/>
        <w:rPr>
          <w:rFonts w:ascii="Calibri" w:hAnsi="Calibri" w:cs="Calibri"/>
          <w:sz w:val="24"/>
          <w:szCs w:val="24"/>
        </w:rPr>
      </w:pPr>
      <w:r w:rsidRPr="00F569AE">
        <w:rPr>
          <w:rFonts w:ascii="Calibri" w:hAnsi="Calibri" w:cs="Calibri"/>
          <w:sz w:val="24"/>
          <w:szCs w:val="24"/>
        </w:rPr>
        <w:lastRenderedPageBreak/>
        <w:t xml:space="preserve">During the MEG/EU4MEG project a wide range of activities were implemented to progress towards the project expected outcomes. </w:t>
      </w:r>
      <w:r>
        <w:rPr>
          <w:rFonts w:ascii="Calibri" w:hAnsi="Calibri" w:cs="Calibri"/>
          <w:sz w:val="24"/>
          <w:szCs w:val="24"/>
        </w:rPr>
        <w:t xml:space="preserve">Annex 3 provides more detailed description of the efforts made within the project per each outcome. </w:t>
      </w:r>
      <w:r w:rsidRPr="00F569AE">
        <w:rPr>
          <w:rFonts w:ascii="Calibri" w:hAnsi="Calibri" w:cs="Calibri"/>
          <w:sz w:val="24"/>
          <w:szCs w:val="24"/>
        </w:rPr>
        <w:t xml:space="preserve">Some highlights to reflect the scope of the </w:t>
      </w:r>
      <w:r>
        <w:rPr>
          <w:rFonts w:ascii="Calibri" w:hAnsi="Calibri" w:cs="Calibri"/>
          <w:sz w:val="24"/>
          <w:szCs w:val="24"/>
        </w:rPr>
        <w:t>institutionalization</w:t>
      </w:r>
      <w:r w:rsidRPr="00F569AE">
        <w:rPr>
          <w:rFonts w:ascii="Calibri" w:hAnsi="Calibri" w:cs="Calibri"/>
          <w:sz w:val="24"/>
          <w:szCs w:val="24"/>
        </w:rPr>
        <w:t xml:space="preserve"> of the </w:t>
      </w:r>
      <w:r>
        <w:rPr>
          <w:rFonts w:ascii="Calibri" w:hAnsi="Calibri" w:cs="Calibri"/>
          <w:sz w:val="24"/>
          <w:szCs w:val="24"/>
        </w:rPr>
        <w:t xml:space="preserve">key </w:t>
      </w:r>
      <w:r w:rsidRPr="00F569AE">
        <w:rPr>
          <w:rFonts w:ascii="Calibri" w:hAnsi="Calibri" w:cs="Calibri"/>
          <w:sz w:val="24"/>
          <w:szCs w:val="24"/>
        </w:rPr>
        <w:t xml:space="preserve">products developed within MEG/EU4MEG project </w:t>
      </w:r>
      <w:r>
        <w:rPr>
          <w:rFonts w:ascii="Calibri" w:hAnsi="Calibri" w:cs="Calibri"/>
          <w:sz w:val="24"/>
          <w:szCs w:val="24"/>
        </w:rPr>
        <w:t xml:space="preserve">by its key stakeholders </w:t>
      </w:r>
      <w:r w:rsidRPr="00F569AE">
        <w:rPr>
          <w:rFonts w:ascii="Calibri" w:hAnsi="Calibri" w:cs="Calibri"/>
          <w:sz w:val="24"/>
          <w:szCs w:val="24"/>
        </w:rPr>
        <w:t>include the following:</w:t>
      </w:r>
    </w:p>
    <w:p w14:paraId="0A4BF6C8" w14:textId="77777777" w:rsidR="008E4296" w:rsidRPr="008C6181" w:rsidRDefault="008E4296" w:rsidP="008E4296">
      <w:pPr>
        <w:pStyle w:val="p1"/>
        <w:numPr>
          <w:ilvl w:val="0"/>
          <w:numId w:val="22"/>
        </w:numPr>
        <w:spacing w:line="276" w:lineRule="auto"/>
        <w:rPr>
          <w:rFonts w:ascii="Calibri" w:hAnsi="Calibri" w:cs="Calibri"/>
          <w:sz w:val="24"/>
          <w:szCs w:val="24"/>
        </w:rPr>
      </w:pPr>
      <w:r w:rsidRPr="00F569AE">
        <w:rPr>
          <w:rFonts w:ascii="Calibri" w:hAnsi="Calibri" w:cs="Calibri"/>
          <w:sz w:val="24"/>
          <w:szCs w:val="24"/>
        </w:rPr>
        <w:t>PSAs</w:t>
      </w:r>
      <w:r>
        <w:rPr>
          <w:rFonts w:ascii="Calibri" w:hAnsi="Calibri" w:cs="Calibri"/>
          <w:sz w:val="24"/>
          <w:szCs w:val="24"/>
        </w:rPr>
        <w:t xml:space="preserve"> (including water tariff methodology and subsidy schemes for the vulnerable population):</w:t>
      </w:r>
      <w:r w:rsidRPr="008C6181">
        <w:rPr>
          <w:rFonts w:ascii="Calibri" w:hAnsi="Calibri" w:cs="Calibri"/>
          <w:sz w:val="24"/>
          <w:szCs w:val="24"/>
        </w:rPr>
        <w:t xml:space="preserve"> were in application in all target LGs except the municipality of Čilinac</w:t>
      </w:r>
    </w:p>
    <w:p w14:paraId="1F4706B0" w14:textId="77777777" w:rsidR="008E4296" w:rsidRPr="00F569AE" w:rsidRDefault="008E4296" w:rsidP="008E4296">
      <w:pPr>
        <w:pStyle w:val="p1"/>
        <w:numPr>
          <w:ilvl w:val="0"/>
          <w:numId w:val="22"/>
        </w:numPr>
        <w:spacing w:line="276" w:lineRule="auto"/>
        <w:rPr>
          <w:rFonts w:ascii="Calibri" w:hAnsi="Calibri" w:cs="Calibri"/>
          <w:sz w:val="24"/>
          <w:szCs w:val="24"/>
        </w:rPr>
      </w:pPr>
      <w:r>
        <w:rPr>
          <w:rFonts w:ascii="Calibri" w:hAnsi="Calibri" w:cs="Calibri"/>
          <w:sz w:val="24"/>
          <w:szCs w:val="24"/>
        </w:rPr>
        <w:t>e</w:t>
      </w:r>
      <w:r w:rsidRPr="00F569AE">
        <w:rPr>
          <w:rFonts w:ascii="Calibri" w:hAnsi="Calibri" w:cs="Calibri"/>
          <w:sz w:val="24"/>
          <w:szCs w:val="24"/>
        </w:rPr>
        <w:t xml:space="preserve">-citizens platform: were in application by all target LGs </w:t>
      </w:r>
    </w:p>
    <w:p w14:paraId="02D851FA" w14:textId="77777777" w:rsidR="008E4296" w:rsidRPr="00F569AE" w:rsidRDefault="008E4296" w:rsidP="008E4296">
      <w:pPr>
        <w:pStyle w:val="p1"/>
        <w:numPr>
          <w:ilvl w:val="0"/>
          <w:numId w:val="22"/>
        </w:numPr>
        <w:spacing w:line="276" w:lineRule="auto"/>
        <w:rPr>
          <w:rFonts w:ascii="Calibri" w:hAnsi="Calibri" w:cs="Calibri"/>
          <w:sz w:val="24"/>
          <w:szCs w:val="24"/>
        </w:rPr>
      </w:pPr>
      <w:r w:rsidRPr="00F569AE">
        <w:rPr>
          <w:rFonts w:ascii="Calibri" w:hAnsi="Calibri" w:cs="Calibri"/>
          <w:sz w:val="24"/>
          <w:szCs w:val="24"/>
        </w:rPr>
        <w:t>Financial operational performance plans: were in application by all target LGs except the municipality of Čilinac</w:t>
      </w:r>
    </w:p>
    <w:p w14:paraId="3FCD9499" w14:textId="0DDAF8ED" w:rsidR="008E4296" w:rsidRPr="00F569AE" w:rsidRDefault="004E25DF" w:rsidP="008E4296">
      <w:pPr>
        <w:pStyle w:val="p1"/>
        <w:numPr>
          <w:ilvl w:val="0"/>
          <w:numId w:val="22"/>
        </w:numPr>
        <w:spacing w:line="276" w:lineRule="auto"/>
        <w:rPr>
          <w:rFonts w:ascii="Calibri" w:hAnsi="Calibri" w:cs="Calibri"/>
          <w:sz w:val="24"/>
          <w:szCs w:val="24"/>
        </w:rPr>
      </w:pPr>
      <w:r>
        <w:rPr>
          <w:rFonts w:ascii="Calibri" w:hAnsi="Calibri" w:cs="Calibri"/>
          <w:sz w:val="24"/>
          <w:szCs w:val="24"/>
        </w:rPr>
        <w:t>MAP scoring system</w:t>
      </w:r>
      <w:r w:rsidR="008E4296" w:rsidRPr="00F569AE">
        <w:rPr>
          <w:rFonts w:ascii="Calibri" w:hAnsi="Calibri" w:cs="Calibri"/>
          <w:sz w:val="24"/>
          <w:szCs w:val="24"/>
        </w:rPr>
        <w:t>: were in application by all target LGs except the municipality of Čilinac</w:t>
      </w:r>
    </w:p>
    <w:p w14:paraId="4CCA94F0" w14:textId="77777777" w:rsidR="008E4296" w:rsidRPr="00F569AE" w:rsidRDefault="008E4296" w:rsidP="008E4296">
      <w:pPr>
        <w:pStyle w:val="p1"/>
        <w:numPr>
          <w:ilvl w:val="0"/>
          <w:numId w:val="22"/>
        </w:numPr>
        <w:spacing w:line="276" w:lineRule="auto"/>
        <w:rPr>
          <w:rFonts w:ascii="Calibri" w:hAnsi="Calibri" w:cs="Calibri"/>
          <w:sz w:val="24"/>
          <w:szCs w:val="24"/>
        </w:rPr>
      </w:pPr>
      <w:r w:rsidRPr="00F569AE">
        <w:rPr>
          <w:rFonts w:ascii="Calibri" w:hAnsi="Calibri" w:cs="Calibri"/>
          <w:sz w:val="24"/>
          <w:szCs w:val="24"/>
        </w:rPr>
        <w:t>Integrity plans: were in application by all target LGs except the municipalities of Lljubuśki and Gradiška</w:t>
      </w:r>
    </w:p>
    <w:p w14:paraId="12C0A67D" w14:textId="77777777" w:rsidR="008E4296" w:rsidRPr="002748A1" w:rsidRDefault="008E4296" w:rsidP="008E4296">
      <w:pPr>
        <w:pStyle w:val="p1"/>
        <w:numPr>
          <w:ilvl w:val="0"/>
          <w:numId w:val="22"/>
        </w:numPr>
        <w:spacing w:line="276" w:lineRule="auto"/>
        <w:rPr>
          <w:rFonts w:ascii="Calibri" w:hAnsi="Calibri" w:cs="Calibri"/>
          <w:sz w:val="24"/>
          <w:szCs w:val="24"/>
        </w:rPr>
      </w:pPr>
      <w:r w:rsidRPr="00F569AE">
        <w:rPr>
          <w:rFonts w:ascii="Calibri" w:hAnsi="Calibri" w:cs="Calibri"/>
          <w:sz w:val="24"/>
          <w:szCs w:val="24"/>
        </w:rPr>
        <w:t>CAF for Local LGs: were in application by the following 10 t</w:t>
      </w:r>
      <w:r>
        <w:rPr>
          <w:rFonts w:ascii="Calibri" w:hAnsi="Calibri" w:cs="Calibri"/>
          <w:sz w:val="24"/>
          <w:szCs w:val="24"/>
        </w:rPr>
        <w:t>a</w:t>
      </w:r>
      <w:r w:rsidRPr="002748A1">
        <w:rPr>
          <w:rFonts w:ascii="Calibri" w:hAnsi="Calibri" w:cs="Calibri"/>
          <w:sz w:val="24"/>
          <w:szCs w:val="24"/>
        </w:rPr>
        <w:t>rget LGs -  Bihać, Gračenica,  Prijedor, Prnjavor, Teslié, Žepěc, Laktaši, Orašje, and  Šamac</w:t>
      </w:r>
    </w:p>
    <w:p w14:paraId="03BFC116" w14:textId="77777777" w:rsidR="008E4296" w:rsidRPr="00F569AE" w:rsidRDefault="008E4296" w:rsidP="008E4296">
      <w:pPr>
        <w:pStyle w:val="p1"/>
        <w:spacing w:line="276" w:lineRule="auto"/>
        <w:jc w:val="both"/>
        <w:rPr>
          <w:rFonts w:ascii="Calibri" w:hAnsi="Calibri" w:cs="Calibri"/>
          <w:sz w:val="24"/>
          <w:szCs w:val="24"/>
        </w:rPr>
      </w:pPr>
    </w:p>
    <w:p w14:paraId="7E38394B" w14:textId="0AAD2FD8" w:rsidR="001B41D8" w:rsidRPr="00ED0452" w:rsidRDefault="008E4296" w:rsidP="00ED0452">
      <w:pPr>
        <w:spacing w:line="276" w:lineRule="auto"/>
        <w:jc w:val="both"/>
        <w:rPr>
          <w:rFonts w:ascii="Calibri" w:hAnsi="Calibri" w:cs="Calibri"/>
          <w:color w:val="000000"/>
          <w:lang w:val="en-US"/>
        </w:rPr>
      </w:pPr>
      <w:r w:rsidRPr="002748A1">
        <w:rPr>
          <w:rFonts w:ascii="Calibri" w:hAnsi="Calibri" w:cs="Calibri"/>
          <w:color w:val="000000"/>
          <w:lang w:val="en-US"/>
        </w:rPr>
        <w:t xml:space="preserve">The MEG/MEG4EU project was implemented by a team covering local governance, environmental and water management, policy coordination, and project administration. During the project period, some staff changes </w:t>
      </w:r>
      <w:r w:rsidR="00C26B75" w:rsidRPr="002748A1">
        <w:rPr>
          <w:rFonts w:ascii="Calibri" w:hAnsi="Calibri" w:cs="Calibri"/>
          <w:color w:val="000000"/>
          <w:lang w:val="en-US"/>
        </w:rPr>
        <w:t>occurred,</w:t>
      </w:r>
      <w:r w:rsidRPr="002748A1">
        <w:rPr>
          <w:rFonts w:ascii="Calibri" w:hAnsi="Calibri" w:cs="Calibri"/>
          <w:color w:val="000000"/>
          <w:lang w:val="en-US"/>
        </w:rPr>
        <w:t xml:space="preserve"> and certain positions were left vacant; however, responsibilities were redistributed within the existing team to ensure continuity. The core team was complemented by part-time specialists providing support in areas such as sector leadership, monitoring and evaluation, communications, and environmental management. </w:t>
      </w:r>
    </w:p>
    <w:p w14:paraId="4A1E8750" w14:textId="77777777" w:rsidR="001B41D8" w:rsidRDefault="001B41D8" w:rsidP="0058272E">
      <w:pPr>
        <w:tabs>
          <w:tab w:val="left" w:pos="3150"/>
        </w:tabs>
        <w:rPr>
          <w:lang w:val="en-US"/>
        </w:rPr>
      </w:pPr>
    </w:p>
    <w:p w14:paraId="77FEB1A3" w14:textId="04152CDF" w:rsidR="007055B5" w:rsidRPr="00F569AE" w:rsidRDefault="007055B5" w:rsidP="0033780B">
      <w:pPr>
        <w:pStyle w:val="Heading1"/>
        <w:numPr>
          <w:ilvl w:val="0"/>
          <w:numId w:val="1"/>
        </w:numPr>
        <w:rPr>
          <w:rFonts w:ascii="Calibri" w:hAnsi="Calibri" w:cs="Calibri"/>
        </w:rPr>
      </w:pPr>
      <w:bookmarkStart w:id="199" w:name="_Toc210058528"/>
      <w:r w:rsidRPr="00F569AE">
        <w:rPr>
          <w:rFonts w:ascii="Calibri" w:hAnsi="Calibri" w:cs="Calibri"/>
        </w:rPr>
        <w:t>EVALUATION SCOPE AND OBJECTIVES</w:t>
      </w:r>
      <w:bookmarkEnd w:id="199"/>
    </w:p>
    <w:p w14:paraId="468D7BBC" w14:textId="77777777" w:rsidR="00AF5706" w:rsidRPr="00F569AE" w:rsidRDefault="00AF5706" w:rsidP="00AF5706">
      <w:pPr>
        <w:spacing w:line="276" w:lineRule="auto"/>
        <w:jc w:val="both"/>
        <w:rPr>
          <w:rFonts w:ascii="Calibri" w:eastAsia="Calibri" w:hAnsi="Calibri" w:cs="Calibri"/>
          <w:lang w:val="en-US"/>
        </w:rPr>
      </w:pPr>
    </w:p>
    <w:p w14:paraId="108B26FB" w14:textId="433C7297" w:rsidR="00AF5706" w:rsidRPr="00F569AE" w:rsidRDefault="00AF5706" w:rsidP="00AF5706">
      <w:pPr>
        <w:spacing w:line="276" w:lineRule="auto"/>
        <w:jc w:val="both"/>
        <w:rPr>
          <w:rFonts w:ascii="Calibri" w:eastAsia="Calibri" w:hAnsi="Calibri" w:cs="Calibri"/>
          <w:lang w:val="en-US"/>
        </w:rPr>
      </w:pPr>
      <w:r w:rsidRPr="00F569AE">
        <w:rPr>
          <w:rFonts w:ascii="Calibri" w:eastAsia="Calibri" w:hAnsi="Calibri" w:cs="Calibri"/>
          <w:lang w:val="en-US"/>
        </w:rPr>
        <w:t xml:space="preserve">The </w:t>
      </w:r>
      <w:r w:rsidRPr="00F569AE">
        <w:rPr>
          <w:rFonts w:ascii="Calibri" w:eastAsia="Calibri" w:hAnsi="Calibri" w:cs="Calibri"/>
          <w:b/>
          <w:i/>
          <w:lang w:val="en-US"/>
        </w:rPr>
        <w:t>purpose</w:t>
      </w:r>
      <w:r w:rsidRPr="00F569AE">
        <w:rPr>
          <w:rFonts w:ascii="Calibri" w:eastAsia="Calibri" w:hAnsi="Calibri" w:cs="Calibri"/>
          <w:lang w:val="en-US"/>
        </w:rPr>
        <w:t xml:space="preserve"> of this evaluation </w:t>
      </w:r>
      <w:r w:rsidR="005A13FA" w:rsidRPr="00F569AE">
        <w:rPr>
          <w:rFonts w:ascii="Calibri" w:eastAsia="Calibri" w:hAnsi="Calibri" w:cs="Calibri"/>
          <w:lang w:val="en-US"/>
        </w:rPr>
        <w:t>wa</w:t>
      </w:r>
      <w:r w:rsidRPr="00F569AE">
        <w:rPr>
          <w:rFonts w:ascii="Calibri" w:eastAsia="Calibri" w:hAnsi="Calibri" w:cs="Calibri"/>
          <w:lang w:val="en-US"/>
        </w:rPr>
        <w:t xml:space="preserve">s threefold: (i) </w:t>
      </w:r>
      <w:r w:rsidRPr="00F569AE">
        <w:rPr>
          <w:rFonts w:ascii="Calibri" w:eastAsia="Calibri" w:hAnsi="Calibri" w:cs="Calibri"/>
          <w:i/>
          <w:lang w:val="en-US"/>
        </w:rPr>
        <w:t xml:space="preserve">accountability, </w:t>
      </w:r>
      <w:r w:rsidRPr="00F569AE">
        <w:rPr>
          <w:rFonts w:ascii="Calibri" w:eastAsia="Calibri" w:hAnsi="Calibri" w:cs="Calibri"/>
          <w:lang w:val="en-US"/>
        </w:rPr>
        <w:t xml:space="preserve">i.e. to provide a systematic and evidence-based review of the overall progress made towards the intended results; (ii) </w:t>
      </w:r>
      <w:r w:rsidRPr="00F569AE">
        <w:rPr>
          <w:rFonts w:ascii="Calibri" w:eastAsia="Calibri" w:hAnsi="Calibri" w:cs="Calibri"/>
          <w:i/>
          <w:lang w:val="en-US"/>
        </w:rPr>
        <w:t xml:space="preserve">learning, </w:t>
      </w:r>
      <w:r w:rsidRPr="00F569AE">
        <w:rPr>
          <w:rFonts w:ascii="Calibri" w:eastAsia="Calibri" w:hAnsi="Calibri" w:cs="Calibri"/>
          <w:lang w:val="en-US"/>
        </w:rPr>
        <w:t xml:space="preserve">i.e. to provide lessons learned to all engaged partners to further enhance their performance, and (iii) </w:t>
      </w:r>
      <w:r w:rsidRPr="00F569AE">
        <w:rPr>
          <w:rFonts w:ascii="Calibri" w:eastAsia="Calibri" w:hAnsi="Calibri" w:cs="Calibri"/>
          <w:i/>
          <w:lang w:val="en-US"/>
        </w:rPr>
        <w:t xml:space="preserve">inform the next </w:t>
      </w:r>
      <w:r w:rsidR="00BB2877" w:rsidRPr="00F569AE">
        <w:rPr>
          <w:rFonts w:ascii="Calibri" w:eastAsia="Calibri" w:hAnsi="Calibri" w:cs="Calibri"/>
          <w:i/>
          <w:lang w:val="en-US"/>
        </w:rPr>
        <w:t>cycle of the project</w:t>
      </w:r>
      <w:r w:rsidR="002D0F81" w:rsidRPr="00F569AE">
        <w:rPr>
          <w:rFonts w:ascii="Calibri" w:eastAsia="Calibri" w:hAnsi="Calibri" w:cs="Calibri"/>
          <w:i/>
          <w:lang w:val="en-US"/>
        </w:rPr>
        <w:t xml:space="preserve"> design and</w:t>
      </w:r>
      <w:r w:rsidR="00BB2877" w:rsidRPr="00F569AE">
        <w:rPr>
          <w:rFonts w:ascii="Calibri" w:eastAsia="Calibri" w:hAnsi="Calibri" w:cs="Calibri"/>
          <w:i/>
          <w:lang w:val="en-US"/>
        </w:rPr>
        <w:t xml:space="preserve"> implementation ( the </w:t>
      </w:r>
      <w:r w:rsidRPr="00F569AE">
        <w:rPr>
          <w:rFonts w:ascii="Calibri" w:eastAsia="Calibri" w:hAnsi="Calibri" w:cs="Calibri"/>
          <w:i/>
          <w:lang w:val="en-US"/>
        </w:rPr>
        <w:t>MEG</w:t>
      </w:r>
      <w:r w:rsidR="00BB2877" w:rsidRPr="00F569AE">
        <w:rPr>
          <w:rFonts w:ascii="Calibri" w:eastAsia="Calibri" w:hAnsi="Calibri" w:cs="Calibri"/>
          <w:i/>
          <w:lang w:val="en-US"/>
        </w:rPr>
        <w:t xml:space="preserve"> </w:t>
      </w:r>
      <w:r w:rsidRPr="00F569AE">
        <w:rPr>
          <w:rFonts w:ascii="Calibri" w:eastAsia="Calibri" w:hAnsi="Calibri" w:cs="Calibri"/>
          <w:i/>
          <w:lang w:val="en-US"/>
        </w:rPr>
        <w:t>III project</w:t>
      </w:r>
      <w:r w:rsidR="00BB2877" w:rsidRPr="00F569AE">
        <w:rPr>
          <w:rFonts w:ascii="Calibri" w:eastAsia="Calibri" w:hAnsi="Calibri" w:cs="Calibri"/>
          <w:i/>
          <w:lang w:val="en-US"/>
        </w:rPr>
        <w:t>)</w:t>
      </w:r>
      <w:r w:rsidRPr="00F569AE">
        <w:rPr>
          <w:rFonts w:ascii="Calibri" w:eastAsia="Calibri" w:hAnsi="Calibri" w:cs="Calibri"/>
          <w:i/>
          <w:lang w:val="en-US"/>
        </w:rPr>
        <w:t xml:space="preserve"> </w:t>
      </w:r>
      <w:r w:rsidRPr="00F569AE">
        <w:rPr>
          <w:rFonts w:ascii="Calibri" w:eastAsia="Calibri" w:hAnsi="Calibri" w:cs="Calibri"/>
          <w:lang w:val="en-US"/>
        </w:rPr>
        <w:t xml:space="preserve">through a set of strategic </w:t>
      </w:r>
      <w:r w:rsidR="00BB2877" w:rsidRPr="00F569AE">
        <w:rPr>
          <w:rFonts w:ascii="Calibri" w:eastAsia="Calibri" w:hAnsi="Calibri" w:cs="Calibri"/>
          <w:lang w:val="en-US"/>
        </w:rPr>
        <w:t xml:space="preserve">and forward oriented </w:t>
      </w:r>
      <w:r w:rsidRPr="00F569AE">
        <w:rPr>
          <w:rFonts w:ascii="Calibri" w:eastAsia="Calibri" w:hAnsi="Calibri" w:cs="Calibri"/>
          <w:lang w:val="en-US"/>
        </w:rPr>
        <w:t xml:space="preserve">recommendations based on credible and reliable evaluative reasoning. </w:t>
      </w:r>
    </w:p>
    <w:p w14:paraId="45631418" w14:textId="77777777" w:rsidR="00AF5706" w:rsidRPr="00F569AE" w:rsidRDefault="00AF5706" w:rsidP="00AF5706">
      <w:pPr>
        <w:spacing w:line="276" w:lineRule="auto"/>
        <w:jc w:val="both"/>
        <w:rPr>
          <w:rFonts w:ascii="Calibri" w:eastAsia="Calibri" w:hAnsi="Calibri" w:cs="Calibri"/>
          <w:lang w:val="en-US"/>
        </w:rPr>
      </w:pPr>
    </w:p>
    <w:p w14:paraId="0506BD4E" w14:textId="41A63ACE" w:rsidR="00AF5706" w:rsidRPr="00F569AE" w:rsidRDefault="00AF5706" w:rsidP="00AF5706">
      <w:pPr>
        <w:spacing w:line="276" w:lineRule="auto"/>
        <w:jc w:val="both"/>
        <w:rPr>
          <w:rFonts w:ascii="Calibri" w:hAnsi="Calibri" w:cs="Calibri"/>
          <w:lang w:val="en-US"/>
        </w:rPr>
      </w:pPr>
      <w:r w:rsidRPr="00F569AE">
        <w:rPr>
          <w:rFonts w:ascii="Calibri" w:hAnsi="Calibri" w:cs="Calibri"/>
          <w:lang w:val="en-US"/>
        </w:rPr>
        <w:t xml:space="preserve">The </w:t>
      </w:r>
      <w:r w:rsidRPr="00F569AE">
        <w:rPr>
          <w:rFonts w:ascii="Calibri" w:hAnsi="Calibri" w:cs="Calibri"/>
          <w:b/>
          <w:i/>
          <w:lang w:val="en-US"/>
        </w:rPr>
        <w:t xml:space="preserve">objectives </w:t>
      </w:r>
      <w:r w:rsidRPr="00F569AE">
        <w:rPr>
          <w:rFonts w:ascii="Calibri" w:hAnsi="Calibri" w:cs="Calibri"/>
          <w:lang w:val="en-US"/>
        </w:rPr>
        <w:t xml:space="preserve">of this evaluation </w:t>
      </w:r>
      <w:r w:rsidR="005A13FA" w:rsidRPr="00F569AE">
        <w:rPr>
          <w:rFonts w:ascii="Calibri" w:hAnsi="Calibri" w:cs="Calibri"/>
          <w:lang w:val="en-US"/>
        </w:rPr>
        <w:t>were</w:t>
      </w:r>
      <w:r w:rsidRPr="00F569AE">
        <w:rPr>
          <w:rFonts w:ascii="Calibri" w:hAnsi="Calibri" w:cs="Calibri"/>
          <w:lang w:val="en-US"/>
        </w:rPr>
        <w:t>:</w:t>
      </w:r>
    </w:p>
    <w:p w14:paraId="6E9911FB" w14:textId="77777777" w:rsidR="00AF5706" w:rsidRPr="00F569AE" w:rsidRDefault="00AF5706" w:rsidP="0033780B">
      <w:pPr>
        <w:numPr>
          <w:ilvl w:val="0"/>
          <w:numId w:val="3"/>
        </w:numPr>
        <w:pBdr>
          <w:top w:val="nil"/>
          <w:left w:val="nil"/>
          <w:bottom w:val="nil"/>
          <w:right w:val="nil"/>
          <w:between w:val="nil"/>
        </w:pBdr>
        <w:spacing w:line="276" w:lineRule="auto"/>
        <w:jc w:val="both"/>
        <w:rPr>
          <w:rFonts w:ascii="Calibri" w:eastAsia="Calibri" w:hAnsi="Calibri" w:cs="Calibri"/>
          <w:color w:val="000000"/>
          <w:lang w:val="en-US"/>
        </w:rPr>
      </w:pPr>
      <w:r w:rsidRPr="00F569AE">
        <w:rPr>
          <w:rFonts w:ascii="Calibri" w:eastAsia="Calibri" w:hAnsi="Calibri" w:cs="Calibri"/>
          <w:i/>
          <w:color w:val="000000"/>
          <w:lang w:val="en-US"/>
        </w:rPr>
        <w:t>To assess the performance</w:t>
      </w:r>
      <w:r w:rsidRPr="00F569AE">
        <w:rPr>
          <w:rFonts w:ascii="Calibri" w:eastAsia="Calibri" w:hAnsi="Calibri" w:cs="Calibri"/>
          <w:color w:val="000000"/>
          <w:lang w:val="en-US"/>
        </w:rPr>
        <w:t xml:space="preserve"> of the project and factors that affected the realization of its results. </w:t>
      </w:r>
    </w:p>
    <w:p w14:paraId="0153B051" w14:textId="26CFB8BB" w:rsidR="00AF5706" w:rsidRPr="00F569AE" w:rsidRDefault="00AF5706" w:rsidP="0033780B">
      <w:pPr>
        <w:numPr>
          <w:ilvl w:val="0"/>
          <w:numId w:val="3"/>
        </w:numPr>
        <w:pBdr>
          <w:top w:val="nil"/>
          <w:left w:val="nil"/>
          <w:bottom w:val="nil"/>
          <w:right w:val="nil"/>
          <w:between w:val="nil"/>
        </w:pBdr>
        <w:spacing w:line="276" w:lineRule="auto"/>
        <w:jc w:val="both"/>
        <w:rPr>
          <w:rFonts w:ascii="Calibri" w:eastAsia="Calibri" w:hAnsi="Calibri" w:cs="Calibri"/>
          <w:color w:val="000000"/>
          <w:lang w:val="en-US"/>
        </w:rPr>
      </w:pPr>
      <w:r w:rsidRPr="00F569AE">
        <w:rPr>
          <w:rFonts w:ascii="Calibri" w:eastAsia="Calibri" w:hAnsi="Calibri" w:cs="Calibri"/>
          <w:i/>
          <w:color w:val="000000"/>
          <w:lang w:val="en-US"/>
        </w:rPr>
        <w:lastRenderedPageBreak/>
        <w:t xml:space="preserve">To assess </w:t>
      </w:r>
      <w:r w:rsidRPr="00F569AE">
        <w:rPr>
          <w:rFonts w:ascii="Calibri" w:eastAsia="Calibri" w:hAnsi="Calibri" w:cs="Calibri"/>
          <w:color w:val="000000"/>
          <w:lang w:val="en-US"/>
        </w:rPr>
        <w:t xml:space="preserve">how the transversal themes (i.e. gender equality, social inclusion, disaster risk reduction, climate change, integrity and anti-corruption) </w:t>
      </w:r>
      <w:r w:rsidR="003C20BC">
        <w:rPr>
          <w:rFonts w:ascii="Calibri" w:eastAsia="Calibri" w:hAnsi="Calibri" w:cs="Calibri"/>
          <w:color w:val="000000"/>
          <w:lang w:val="en-US"/>
        </w:rPr>
        <w:t>were</w:t>
      </w:r>
      <w:r w:rsidRPr="00F569AE">
        <w:rPr>
          <w:rFonts w:ascii="Calibri" w:eastAsia="Calibri" w:hAnsi="Calibri" w:cs="Calibri"/>
          <w:color w:val="000000"/>
          <w:lang w:val="en-US"/>
        </w:rPr>
        <w:t xml:space="preserve"> integrated in the project design and implementation. </w:t>
      </w:r>
    </w:p>
    <w:p w14:paraId="029FB6B9" w14:textId="77777777" w:rsidR="00AF5706" w:rsidRPr="00F569AE" w:rsidRDefault="00AF5706" w:rsidP="0033780B">
      <w:pPr>
        <w:numPr>
          <w:ilvl w:val="0"/>
          <w:numId w:val="3"/>
        </w:numPr>
        <w:pBdr>
          <w:top w:val="nil"/>
          <w:left w:val="nil"/>
          <w:bottom w:val="nil"/>
          <w:right w:val="nil"/>
          <w:between w:val="nil"/>
        </w:pBdr>
        <w:spacing w:line="276" w:lineRule="auto"/>
        <w:jc w:val="both"/>
        <w:rPr>
          <w:rFonts w:ascii="Calibri" w:eastAsia="Calibri" w:hAnsi="Calibri" w:cs="Calibri"/>
          <w:color w:val="000000"/>
          <w:lang w:val="en-US"/>
        </w:rPr>
      </w:pPr>
      <w:r w:rsidRPr="00F569AE">
        <w:rPr>
          <w:rFonts w:ascii="Calibri" w:eastAsia="Calibri" w:hAnsi="Calibri" w:cs="Calibri"/>
          <w:color w:val="000000"/>
          <w:lang w:val="en-US"/>
        </w:rPr>
        <w:t xml:space="preserve">To capture </w:t>
      </w:r>
      <w:r w:rsidRPr="00F569AE">
        <w:rPr>
          <w:rFonts w:ascii="Calibri" w:eastAsia="Calibri" w:hAnsi="Calibri" w:cs="Calibri"/>
          <w:i/>
          <w:color w:val="000000"/>
          <w:lang w:val="en-US"/>
        </w:rPr>
        <w:t xml:space="preserve">system-level changes </w:t>
      </w:r>
      <w:r w:rsidRPr="00F569AE">
        <w:rPr>
          <w:rFonts w:ascii="Calibri" w:eastAsia="Calibri" w:hAnsi="Calibri" w:cs="Calibri"/>
          <w:color w:val="000000"/>
          <w:lang w:val="en-US"/>
        </w:rPr>
        <w:t>triggered by the project (both expected and unexpected) through exploring system dynamic and the drivers of change.</w:t>
      </w:r>
    </w:p>
    <w:p w14:paraId="44317987" w14:textId="77777777" w:rsidR="00AF5706" w:rsidRPr="00F569AE" w:rsidRDefault="00AF5706" w:rsidP="0033780B">
      <w:pPr>
        <w:numPr>
          <w:ilvl w:val="0"/>
          <w:numId w:val="3"/>
        </w:numPr>
        <w:pBdr>
          <w:top w:val="nil"/>
          <w:left w:val="nil"/>
          <w:bottom w:val="nil"/>
          <w:right w:val="nil"/>
          <w:between w:val="nil"/>
        </w:pBdr>
        <w:spacing w:line="276" w:lineRule="auto"/>
        <w:jc w:val="both"/>
        <w:rPr>
          <w:rFonts w:ascii="Calibri" w:eastAsia="Calibri" w:hAnsi="Calibri" w:cs="Calibri"/>
          <w:color w:val="000000"/>
          <w:lang w:val="en-US"/>
        </w:rPr>
      </w:pPr>
      <w:r w:rsidRPr="00F569AE">
        <w:rPr>
          <w:rFonts w:ascii="Calibri" w:eastAsia="Calibri" w:hAnsi="Calibri" w:cs="Calibri"/>
          <w:color w:val="000000"/>
          <w:lang w:val="en-US"/>
        </w:rPr>
        <w:t xml:space="preserve">To identify </w:t>
      </w:r>
      <w:r w:rsidRPr="00F569AE">
        <w:rPr>
          <w:rFonts w:ascii="Calibri" w:eastAsia="Calibri" w:hAnsi="Calibri" w:cs="Calibri"/>
          <w:i/>
          <w:color w:val="000000"/>
          <w:lang w:val="en-US"/>
        </w:rPr>
        <w:t xml:space="preserve">learning points </w:t>
      </w:r>
      <w:r w:rsidRPr="00F569AE">
        <w:rPr>
          <w:rFonts w:ascii="Calibri" w:eastAsia="Calibri" w:hAnsi="Calibri" w:cs="Calibri"/>
          <w:color w:val="000000"/>
          <w:lang w:val="en-US"/>
        </w:rPr>
        <w:t>for all partners involved in the project realization</w:t>
      </w:r>
    </w:p>
    <w:p w14:paraId="390FF65D" w14:textId="718163DB" w:rsidR="00AF5706" w:rsidRPr="00F569AE" w:rsidRDefault="00AF5706" w:rsidP="0033780B">
      <w:pPr>
        <w:numPr>
          <w:ilvl w:val="0"/>
          <w:numId w:val="3"/>
        </w:numPr>
        <w:pBdr>
          <w:top w:val="nil"/>
          <w:left w:val="nil"/>
          <w:bottom w:val="nil"/>
          <w:right w:val="nil"/>
          <w:between w:val="nil"/>
        </w:pBdr>
        <w:spacing w:line="276" w:lineRule="auto"/>
        <w:jc w:val="both"/>
        <w:rPr>
          <w:rFonts w:ascii="Calibri" w:eastAsia="Calibri" w:hAnsi="Calibri" w:cs="Calibri"/>
          <w:color w:val="000000"/>
          <w:lang w:val="en-US"/>
        </w:rPr>
      </w:pPr>
      <w:r w:rsidRPr="00F569AE">
        <w:rPr>
          <w:rFonts w:ascii="Calibri" w:eastAsia="Calibri" w:hAnsi="Calibri" w:cs="Calibri"/>
          <w:color w:val="000000"/>
          <w:lang w:val="en-US"/>
        </w:rPr>
        <w:t xml:space="preserve">To provide </w:t>
      </w:r>
      <w:r w:rsidRPr="00F569AE">
        <w:rPr>
          <w:rFonts w:ascii="Calibri" w:eastAsia="Calibri" w:hAnsi="Calibri" w:cs="Calibri"/>
          <w:i/>
          <w:color w:val="000000"/>
          <w:lang w:val="en-US"/>
        </w:rPr>
        <w:t>actionable recommendations for</w:t>
      </w:r>
      <w:r w:rsidRPr="00F569AE">
        <w:rPr>
          <w:rFonts w:ascii="Calibri" w:eastAsia="Calibri" w:hAnsi="Calibri" w:cs="Calibri"/>
          <w:color w:val="000000"/>
          <w:lang w:val="en-US"/>
        </w:rPr>
        <w:t xml:space="preserve"> </w:t>
      </w:r>
      <w:r w:rsidRPr="00F569AE">
        <w:rPr>
          <w:rFonts w:ascii="Calibri" w:eastAsia="Calibri" w:hAnsi="Calibri" w:cs="Calibri"/>
          <w:i/>
          <w:color w:val="000000"/>
          <w:lang w:val="en-US"/>
        </w:rPr>
        <w:t>areas of opportunity</w:t>
      </w:r>
      <w:r w:rsidRPr="00F569AE">
        <w:rPr>
          <w:rFonts w:ascii="Calibri" w:eastAsia="Calibri" w:hAnsi="Calibri" w:cs="Calibri"/>
          <w:color w:val="000000"/>
          <w:lang w:val="en-US"/>
        </w:rPr>
        <w:t xml:space="preserve"> to inform and validate the concept note for the next MEG</w:t>
      </w:r>
      <w:r w:rsidR="00BB2877" w:rsidRPr="00F569AE">
        <w:rPr>
          <w:rFonts w:ascii="Calibri" w:eastAsia="Calibri" w:hAnsi="Calibri" w:cs="Calibri"/>
          <w:color w:val="000000"/>
          <w:lang w:val="en-US"/>
        </w:rPr>
        <w:t xml:space="preserve"> </w:t>
      </w:r>
      <w:r w:rsidRPr="00F569AE">
        <w:rPr>
          <w:rFonts w:ascii="Calibri" w:eastAsia="Calibri" w:hAnsi="Calibri" w:cs="Calibri"/>
          <w:color w:val="000000"/>
          <w:lang w:val="en-US"/>
        </w:rPr>
        <w:t xml:space="preserve">III project. </w:t>
      </w:r>
    </w:p>
    <w:p w14:paraId="346B0F80" w14:textId="77777777" w:rsidR="00AF5706" w:rsidRPr="00F569AE" w:rsidRDefault="00AF5706" w:rsidP="00AF5706">
      <w:pPr>
        <w:spacing w:line="276" w:lineRule="auto"/>
        <w:jc w:val="both"/>
        <w:rPr>
          <w:rFonts w:ascii="Calibri" w:eastAsia="Calibri" w:hAnsi="Calibri" w:cs="Calibri"/>
          <w:lang w:val="en-US"/>
        </w:rPr>
      </w:pPr>
    </w:p>
    <w:p w14:paraId="0A3E6072" w14:textId="3151588B" w:rsidR="00AF5706" w:rsidRPr="00F569AE" w:rsidRDefault="00AF5706" w:rsidP="00AF5706">
      <w:pPr>
        <w:spacing w:line="276" w:lineRule="auto"/>
        <w:jc w:val="both"/>
        <w:rPr>
          <w:rFonts w:ascii="Calibri" w:eastAsia="Calibri" w:hAnsi="Calibri" w:cs="Calibri"/>
          <w:lang w:val="en-US"/>
        </w:rPr>
      </w:pPr>
      <w:r w:rsidRPr="00F569AE">
        <w:rPr>
          <w:rFonts w:ascii="Calibri" w:eastAsia="Calibri" w:hAnsi="Calibri" w:cs="Calibri"/>
          <w:lang w:val="en-US"/>
        </w:rPr>
        <w:t xml:space="preserve">The </w:t>
      </w:r>
      <w:r w:rsidRPr="00F569AE">
        <w:rPr>
          <w:rFonts w:ascii="Calibri" w:eastAsia="Calibri" w:hAnsi="Calibri" w:cs="Calibri"/>
          <w:b/>
          <w:i/>
          <w:lang w:val="en-US"/>
        </w:rPr>
        <w:t>scope</w:t>
      </w:r>
      <w:r w:rsidRPr="00F569AE">
        <w:rPr>
          <w:rFonts w:ascii="Calibri" w:eastAsia="Calibri" w:hAnsi="Calibri" w:cs="Calibri"/>
          <w:lang w:val="en-US"/>
        </w:rPr>
        <w:t xml:space="preserve"> of the evaluation </w:t>
      </w:r>
      <w:r w:rsidR="005A13FA" w:rsidRPr="00F569AE">
        <w:rPr>
          <w:rFonts w:ascii="Calibri" w:eastAsia="Calibri" w:hAnsi="Calibri" w:cs="Calibri"/>
          <w:lang w:val="en-US"/>
        </w:rPr>
        <w:t>wa</w:t>
      </w:r>
      <w:r w:rsidRPr="00F569AE">
        <w:rPr>
          <w:rFonts w:ascii="Calibri" w:eastAsia="Calibri" w:hAnsi="Calibri" w:cs="Calibri"/>
          <w:lang w:val="en-US"/>
        </w:rPr>
        <w:t xml:space="preserve">s defined by the following: </w:t>
      </w:r>
    </w:p>
    <w:p w14:paraId="160698B5" w14:textId="609375DE" w:rsidR="00AF5706" w:rsidRPr="00F569AE" w:rsidRDefault="00AF5706" w:rsidP="0033780B">
      <w:pPr>
        <w:numPr>
          <w:ilvl w:val="0"/>
          <w:numId w:val="2"/>
        </w:numPr>
        <w:pBdr>
          <w:top w:val="nil"/>
          <w:left w:val="nil"/>
          <w:bottom w:val="nil"/>
          <w:right w:val="nil"/>
          <w:between w:val="nil"/>
        </w:pBdr>
        <w:spacing w:line="276" w:lineRule="auto"/>
        <w:jc w:val="both"/>
        <w:rPr>
          <w:rFonts w:ascii="Calibri" w:eastAsia="Calibri" w:hAnsi="Calibri" w:cs="Calibri"/>
          <w:color w:val="000000"/>
          <w:lang w:val="en-US"/>
        </w:rPr>
      </w:pPr>
      <w:r w:rsidRPr="00F569AE">
        <w:rPr>
          <w:rFonts w:ascii="Calibri" w:eastAsia="Calibri" w:hAnsi="Calibri" w:cs="Calibri"/>
          <w:i/>
          <w:color w:val="000000" w:themeColor="text1"/>
          <w:lang w:val="en-US"/>
        </w:rPr>
        <w:t>Time period:</w:t>
      </w:r>
      <w:r w:rsidRPr="00F569AE">
        <w:rPr>
          <w:rFonts w:ascii="Calibri" w:eastAsia="Calibri" w:hAnsi="Calibri" w:cs="Calibri"/>
          <w:color w:val="000000" w:themeColor="text1"/>
          <w:lang w:val="en-US"/>
        </w:rPr>
        <w:t xml:space="preserve"> the evaluation capture</w:t>
      </w:r>
      <w:r w:rsidR="005A13FA" w:rsidRPr="00F569AE">
        <w:rPr>
          <w:rFonts w:ascii="Calibri" w:eastAsia="Calibri" w:hAnsi="Calibri" w:cs="Calibri"/>
          <w:color w:val="000000" w:themeColor="text1"/>
          <w:lang w:val="en-US"/>
        </w:rPr>
        <w:t>d</w:t>
      </w:r>
      <w:r w:rsidRPr="00F569AE">
        <w:rPr>
          <w:rFonts w:ascii="Calibri" w:eastAsia="Calibri" w:hAnsi="Calibri" w:cs="Calibri"/>
          <w:color w:val="000000" w:themeColor="text1"/>
          <w:lang w:val="en-US"/>
        </w:rPr>
        <w:t xml:space="preserve"> the active period of the implementation of the </w:t>
      </w:r>
      <w:r w:rsidRPr="00F569AE">
        <w:rPr>
          <w:rFonts w:ascii="Calibri" w:hAnsi="Calibri" w:cs="Calibri"/>
          <w:color w:val="000000"/>
          <w:lang w:val="en-US"/>
        </w:rPr>
        <w:t>MEG/EU4MEG project</w:t>
      </w:r>
      <w:r w:rsidRPr="00F569AE">
        <w:rPr>
          <w:rFonts w:ascii="Calibri" w:eastAsia="Calibri" w:hAnsi="Calibri" w:cs="Calibri"/>
          <w:color w:val="000000" w:themeColor="text1"/>
          <w:lang w:val="en-US"/>
        </w:rPr>
        <w:t xml:space="preserve">, namely April 2021 – May 2025. </w:t>
      </w:r>
    </w:p>
    <w:p w14:paraId="161D2070" w14:textId="03CD2608" w:rsidR="00AF5706" w:rsidRPr="00F569AE" w:rsidRDefault="00AF5706" w:rsidP="0033780B">
      <w:pPr>
        <w:numPr>
          <w:ilvl w:val="0"/>
          <w:numId w:val="2"/>
        </w:numPr>
        <w:pBdr>
          <w:top w:val="nil"/>
          <w:left w:val="nil"/>
          <w:bottom w:val="nil"/>
          <w:right w:val="nil"/>
          <w:between w:val="nil"/>
        </w:pBdr>
        <w:spacing w:line="276" w:lineRule="auto"/>
        <w:jc w:val="both"/>
        <w:rPr>
          <w:rFonts w:ascii="Calibri" w:eastAsia="Calibri" w:hAnsi="Calibri" w:cs="Calibri"/>
          <w:color w:val="000000"/>
          <w:lang w:val="en-US"/>
        </w:rPr>
      </w:pPr>
      <w:r w:rsidRPr="00F569AE">
        <w:rPr>
          <w:rFonts w:ascii="Calibri" w:eastAsia="Calibri" w:hAnsi="Calibri" w:cs="Calibri"/>
          <w:i/>
          <w:color w:val="000000" w:themeColor="text1"/>
          <w:lang w:val="en-US"/>
        </w:rPr>
        <w:t xml:space="preserve">Geography: </w:t>
      </w:r>
      <w:r w:rsidR="005A13FA" w:rsidRPr="00F569AE">
        <w:rPr>
          <w:rFonts w:ascii="Calibri" w:eastAsia="Calibri" w:hAnsi="Calibri" w:cs="Calibri"/>
          <w:color w:val="000000" w:themeColor="text1"/>
          <w:lang w:val="en-US"/>
        </w:rPr>
        <w:t>the project coverage that included the F</w:t>
      </w:r>
      <w:r w:rsidRPr="00F569AE">
        <w:rPr>
          <w:rFonts w:ascii="Calibri" w:eastAsia="Calibri" w:hAnsi="Calibri" w:cs="Calibri"/>
          <w:color w:val="000000" w:themeColor="text1"/>
          <w:lang w:val="en-US"/>
        </w:rPr>
        <w:t>BiH</w:t>
      </w:r>
      <w:r w:rsidR="005A13FA" w:rsidRPr="00F569AE">
        <w:rPr>
          <w:rFonts w:ascii="Calibri" w:eastAsia="Calibri" w:hAnsi="Calibri" w:cs="Calibri"/>
          <w:color w:val="000000" w:themeColor="text1"/>
          <w:lang w:val="en-US"/>
        </w:rPr>
        <w:t xml:space="preserve"> and RS</w:t>
      </w:r>
    </w:p>
    <w:p w14:paraId="76722381" w14:textId="73108A7A" w:rsidR="00AF5706" w:rsidRPr="00F569AE" w:rsidRDefault="00AF5706" w:rsidP="0033780B">
      <w:pPr>
        <w:numPr>
          <w:ilvl w:val="0"/>
          <w:numId w:val="2"/>
        </w:numPr>
        <w:pBdr>
          <w:top w:val="nil"/>
          <w:left w:val="nil"/>
          <w:bottom w:val="nil"/>
          <w:right w:val="nil"/>
          <w:between w:val="nil"/>
        </w:pBdr>
        <w:spacing w:line="276" w:lineRule="auto"/>
        <w:rPr>
          <w:rFonts w:ascii="Calibri" w:eastAsia="Calibri" w:hAnsi="Calibri" w:cs="Calibri"/>
          <w:color w:val="000000"/>
          <w:lang w:val="en-US"/>
        </w:rPr>
      </w:pPr>
      <w:r w:rsidRPr="00F569AE">
        <w:rPr>
          <w:rFonts w:ascii="Calibri" w:eastAsia="Calibri" w:hAnsi="Calibri" w:cs="Calibri"/>
          <w:i/>
          <w:color w:val="000000"/>
          <w:lang w:val="en-US"/>
        </w:rPr>
        <w:t>Programmatic focus:</w:t>
      </w:r>
      <w:r w:rsidRPr="00F569AE">
        <w:rPr>
          <w:rFonts w:ascii="Calibri" w:eastAsia="Calibri" w:hAnsi="Calibri" w:cs="Calibri"/>
          <w:color w:val="000000"/>
          <w:lang w:val="en-US"/>
        </w:rPr>
        <w:t xml:space="preserve"> the evaluation capture</w:t>
      </w:r>
      <w:r w:rsidR="005A13FA" w:rsidRPr="00F569AE">
        <w:rPr>
          <w:rFonts w:ascii="Calibri" w:eastAsia="Calibri" w:hAnsi="Calibri" w:cs="Calibri"/>
          <w:color w:val="000000"/>
          <w:lang w:val="en-US"/>
        </w:rPr>
        <w:t>d</w:t>
      </w:r>
      <w:r w:rsidRPr="00F569AE">
        <w:rPr>
          <w:rFonts w:ascii="Calibri" w:eastAsia="Calibri" w:hAnsi="Calibri" w:cs="Calibri"/>
          <w:color w:val="000000"/>
          <w:lang w:val="en-US"/>
        </w:rPr>
        <w:t xml:space="preserve"> the whole programmatic scope of the </w:t>
      </w:r>
      <w:r w:rsidRPr="00F569AE">
        <w:rPr>
          <w:rFonts w:ascii="Calibri" w:hAnsi="Calibri" w:cs="Calibri"/>
          <w:color w:val="000000"/>
          <w:lang w:val="en-US"/>
        </w:rPr>
        <w:t>MEG/EU4MEG project</w:t>
      </w:r>
      <w:r w:rsidRPr="00F569AE">
        <w:rPr>
          <w:rFonts w:ascii="Calibri" w:eastAsia="Calibri" w:hAnsi="Calibri" w:cs="Calibri"/>
          <w:color w:val="000000"/>
          <w:lang w:val="en-US"/>
        </w:rPr>
        <w:t xml:space="preserve"> across all its </w:t>
      </w:r>
      <w:r w:rsidR="00705769" w:rsidRPr="00F569AE">
        <w:rPr>
          <w:rFonts w:ascii="Calibri" w:eastAsia="Calibri" w:hAnsi="Calibri" w:cs="Calibri"/>
          <w:color w:val="000000"/>
          <w:lang w:val="en-US"/>
        </w:rPr>
        <w:t>outcomes</w:t>
      </w:r>
      <w:r w:rsidR="002D0F81" w:rsidRPr="00F569AE">
        <w:rPr>
          <w:rFonts w:ascii="Calibri" w:eastAsia="Calibri" w:hAnsi="Calibri" w:cs="Calibri"/>
          <w:color w:val="000000"/>
          <w:lang w:val="en-US"/>
        </w:rPr>
        <w:t xml:space="preserve"> and outputs</w:t>
      </w:r>
      <w:r w:rsidRPr="00F569AE">
        <w:rPr>
          <w:rFonts w:ascii="Calibri" w:eastAsia="Calibri" w:hAnsi="Calibri" w:cs="Calibri"/>
          <w:color w:val="000000"/>
          <w:lang w:val="en-US"/>
        </w:rPr>
        <w:t>.</w:t>
      </w:r>
    </w:p>
    <w:p w14:paraId="05B802BD" w14:textId="77777777" w:rsidR="00071372" w:rsidRPr="00F569AE" w:rsidRDefault="00071372" w:rsidP="009762C8">
      <w:pPr>
        <w:spacing w:line="276" w:lineRule="auto"/>
        <w:jc w:val="both"/>
        <w:rPr>
          <w:rFonts w:ascii="Calibri" w:eastAsia="Calibri" w:hAnsi="Calibri" w:cs="Calibri"/>
          <w:lang w:val="en-US"/>
        </w:rPr>
      </w:pPr>
    </w:p>
    <w:p w14:paraId="1DC1A978" w14:textId="60C666D4" w:rsidR="00425EA6" w:rsidRPr="00F569AE" w:rsidRDefault="009762C8" w:rsidP="00425EA6">
      <w:pPr>
        <w:spacing w:line="276" w:lineRule="auto"/>
        <w:jc w:val="both"/>
        <w:rPr>
          <w:rFonts w:ascii="Calibri" w:eastAsia="Calibri" w:hAnsi="Calibri" w:cs="Calibri"/>
          <w:lang w:val="en-US"/>
        </w:rPr>
      </w:pPr>
      <w:r w:rsidRPr="00F569AE">
        <w:rPr>
          <w:rFonts w:ascii="Calibri" w:eastAsia="Calibri" w:hAnsi="Calibri" w:cs="Calibri"/>
          <w:lang w:val="en-US"/>
        </w:rPr>
        <w:t>The evaluation</w:t>
      </w:r>
      <w:r w:rsidRPr="00F569AE">
        <w:rPr>
          <w:rFonts w:ascii="Calibri" w:eastAsia="Calibri" w:hAnsi="Calibri" w:cs="Calibri"/>
          <w:b/>
          <w:i/>
          <w:lang w:val="en-US"/>
        </w:rPr>
        <w:t xml:space="preserve"> </w:t>
      </w:r>
      <w:r w:rsidR="005A13FA" w:rsidRPr="00F569AE">
        <w:rPr>
          <w:rFonts w:ascii="Calibri" w:eastAsia="Calibri" w:hAnsi="Calibri" w:cs="Calibri"/>
          <w:lang w:val="en-US"/>
        </w:rPr>
        <w:t>wa</w:t>
      </w:r>
      <w:r w:rsidRPr="00F569AE">
        <w:rPr>
          <w:rFonts w:ascii="Calibri" w:eastAsia="Calibri" w:hAnsi="Calibri" w:cs="Calibri"/>
          <w:lang w:val="en-US"/>
        </w:rPr>
        <w:t>s guided by the OECD DAC evaluation criteria</w:t>
      </w:r>
      <w:r w:rsidRPr="00F569AE">
        <w:rPr>
          <w:rFonts w:ascii="Calibri" w:eastAsia="Calibri" w:hAnsi="Calibri" w:cs="Calibri"/>
          <w:vertAlign w:val="superscript"/>
          <w:lang w:val="en-US"/>
        </w:rPr>
        <w:footnoteReference w:id="32"/>
      </w:r>
      <w:r w:rsidRPr="00F569AE">
        <w:rPr>
          <w:rFonts w:ascii="Calibri" w:eastAsia="Calibri" w:hAnsi="Calibri" w:cs="Calibri"/>
          <w:lang w:val="en-US"/>
        </w:rPr>
        <w:t xml:space="preserve"> and includes the following: </w:t>
      </w:r>
      <w:r w:rsidRPr="00F569AE">
        <w:rPr>
          <w:rFonts w:ascii="Calibri" w:eastAsia="Calibri" w:hAnsi="Calibri" w:cs="Calibri"/>
          <w:i/>
          <w:lang w:val="en-US"/>
        </w:rPr>
        <w:t>relevance and adaptability, coherence, effectiveness, efficiency, sustainability</w:t>
      </w:r>
      <w:r w:rsidRPr="00F569AE">
        <w:rPr>
          <w:rFonts w:ascii="Calibri" w:eastAsia="Calibri" w:hAnsi="Calibri" w:cs="Calibri"/>
          <w:lang w:val="en-US"/>
        </w:rPr>
        <w:t xml:space="preserve">, and </w:t>
      </w:r>
      <w:r w:rsidRPr="00F569AE">
        <w:rPr>
          <w:rFonts w:ascii="Calibri" w:eastAsia="Calibri" w:hAnsi="Calibri" w:cs="Calibri"/>
          <w:i/>
          <w:lang w:val="en-US"/>
        </w:rPr>
        <w:t xml:space="preserve">impact orientation. </w:t>
      </w:r>
      <w:r w:rsidR="00E46A88" w:rsidRPr="00F569AE">
        <w:rPr>
          <w:rFonts w:ascii="Calibri" w:eastAsia="Calibri" w:hAnsi="Calibri" w:cs="Calibri"/>
          <w:lang w:val="en-US"/>
        </w:rPr>
        <w:t>T</w:t>
      </w:r>
      <w:r w:rsidRPr="00F569AE">
        <w:rPr>
          <w:rFonts w:ascii="Calibri" w:eastAsia="Calibri" w:hAnsi="Calibri" w:cs="Calibri"/>
          <w:lang w:val="en-US"/>
        </w:rPr>
        <w:t xml:space="preserve">his evaluation </w:t>
      </w:r>
      <w:r w:rsidR="00E46A88" w:rsidRPr="00F569AE">
        <w:rPr>
          <w:rFonts w:ascii="Calibri" w:eastAsia="Calibri" w:hAnsi="Calibri" w:cs="Calibri"/>
          <w:lang w:val="en-US"/>
        </w:rPr>
        <w:t>did</w:t>
      </w:r>
      <w:r w:rsidRPr="00F569AE">
        <w:rPr>
          <w:rFonts w:ascii="Calibri" w:eastAsia="Calibri" w:hAnsi="Calibri" w:cs="Calibri"/>
          <w:lang w:val="en-US"/>
        </w:rPr>
        <w:t xml:space="preserve"> not intend to explore the project impact in its full extent, instead </w:t>
      </w:r>
      <w:r w:rsidR="00E46A88" w:rsidRPr="00F569AE">
        <w:rPr>
          <w:rFonts w:ascii="Calibri" w:eastAsia="Calibri" w:hAnsi="Calibri" w:cs="Calibri"/>
          <w:lang w:val="en-US"/>
        </w:rPr>
        <w:t xml:space="preserve">it was aimed </w:t>
      </w:r>
      <w:r w:rsidRPr="00F569AE">
        <w:rPr>
          <w:rFonts w:ascii="Calibri" w:eastAsia="Calibri" w:hAnsi="Calibri" w:cs="Calibri"/>
          <w:lang w:val="en-US"/>
        </w:rPr>
        <w:t>to explore early signals of positive and negative changes and effects caused by the project at the system level, with the focus on drinking water and wastewater systems, and the system of local governance.</w:t>
      </w:r>
      <w:r w:rsidR="00425EA6" w:rsidRPr="00F569AE">
        <w:rPr>
          <w:rFonts w:ascii="Calibri" w:eastAsia="Calibri" w:hAnsi="Calibri" w:cs="Calibri"/>
          <w:lang w:val="en-US"/>
        </w:rPr>
        <w:t xml:space="preserve"> </w:t>
      </w:r>
      <w:r w:rsidR="003C7002" w:rsidRPr="00F569AE">
        <w:rPr>
          <w:rFonts w:ascii="Calibri" w:eastAsia="Calibri" w:hAnsi="Calibri" w:cs="Calibri"/>
          <w:lang w:val="en-US"/>
        </w:rPr>
        <w:t>Table 3 below provides the list of evaluation questions.</w:t>
      </w:r>
      <w:r w:rsidR="00503E31">
        <w:rPr>
          <w:rFonts w:ascii="Calibri" w:eastAsia="Calibri" w:hAnsi="Calibri" w:cs="Calibri"/>
          <w:lang w:val="en-US"/>
        </w:rPr>
        <w:t xml:space="preserve"> The evaluation questions provided in the TOR were fully revised by the evaluation team to optimize their number and focus per evaluation criteria, while maintaining their initial scope and scale. </w:t>
      </w:r>
    </w:p>
    <w:p w14:paraId="6D775EFF" w14:textId="77777777" w:rsidR="008A2B38" w:rsidRPr="00F569AE" w:rsidRDefault="008A2B38" w:rsidP="007055B5">
      <w:pPr>
        <w:rPr>
          <w:rFonts w:ascii="Calibri" w:eastAsia="Calibri" w:hAnsi="Calibri" w:cs="Calibri"/>
          <w:lang w:val="en-US"/>
        </w:rPr>
      </w:pPr>
    </w:p>
    <w:p w14:paraId="20416EF0" w14:textId="61DB741E" w:rsidR="009762C8" w:rsidRPr="00F569AE" w:rsidRDefault="009762C8" w:rsidP="009762C8">
      <w:pPr>
        <w:spacing w:line="276" w:lineRule="auto"/>
        <w:jc w:val="both"/>
        <w:rPr>
          <w:rFonts w:ascii="Calibri" w:hAnsi="Calibri" w:cs="Calibri"/>
          <w:b/>
          <w:lang w:val="en-US"/>
        </w:rPr>
      </w:pPr>
      <w:r w:rsidRPr="00F569AE">
        <w:rPr>
          <w:rFonts w:ascii="Calibri" w:eastAsia="Calibri" w:hAnsi="Calibri" w:cs="Calibri"/>
          <w:b/>
          <w:lang w:val="en-US"/>
        </w:rPr>
        <w:t xml:space="preserve">Table </w:t>
      </w:r>
      <w:r w:rsidR="003C7002" w:rsidRPr="00F569AE">
        <w:rPr>
          <w:rFonts w:ascii="Calibri" w:eastAsia="Calibri" w:hAnsi="Calibri" w:cs="Calibri"/>
          <w:b/>
          <w:lang w:val="en-US"/>
        </w:rPr>
        <w:t>3</w:t>
      </w:r>
      <w:r w:rsidRPr="00F569AE">
        <w:rPr>
          <w:rFonts w:ascii="Calibri" w:eastAsia="Calibri" w:hAnsi="Calibri" w:cs="Calibri"/>
          <w:b/>
          <w:lang w:val="en-US"/>
        </w:rPr>
        <w:t>: Evaluation questions</w:t>
      </w:r>
    </w:p>
    <w:tbl>
      <w:tblPr>
        <w:tblStyle w:val="TableGrid"/>
        <w:tblW w:w="0" w:type="auto"/>
        <w:tblLook w:val="04A0" w:firstRow="1" w:lastRow="0" w:firstColumn="1" w:lastColumn="0" w:noHBand="0" w:noVBand="1"/>
      </w:tblPr>
      <w:tblGrid>
        <w:gridCol w:w="9010"/>
      </w:tblGrid>
      <w:tr w:rsidR="009762C8" w:rsidRPr="00F569AE" w14:paraId="11207B49" w14:textId="77777777" w:rsidTr="00194466">
        <w:tc>
          <w:tcPr>
            <w:tcW w:w="9016" w:type="dxa"/>
            <w:shd w:val="clear" w:color="auto" w:fill="DAE9F7" w:themeFill="text2" w:themeFillTint="1A"/>
          </w:tcPr>
          <w:p w14:paraId="0949B07A" w14:textId="77777777" w:rsidR="009762C8" w:rsidRPr="00F569AE" w:rsidRDefault="009762C8" w:rsidP="00194466">
            <w:pPr>
              <w:jc w:val="center"/>
              <w:rPr>
                <w:rFonts w:ascii="Calibri" w:hAnsi="Calibri" w:cs="Calibri"/>
                <w:b/>
                <w:lang w:val="en-US"/>
              </w:rPr>
            </w:pPr>
            <w:r w:rsidRPr="00F569AE">
              <w:rPr>
                <w:rFonts w:ascii="Calibri" w:hAnsi="Calibri" w:cs="Calibri"/>
                <w:b/>
                <w:lang w:val="en-US"/>
              </w:rPr>
              <w:t>RELEVANCE</w:t>
            </w:r>
          </w:p>
          <w:p w14:paraId="6B03F024" w14:textId="77777777" w:rsidR="009762C8" w:rsidRPr="00F569AE" w:rsidRDefault="009762C8" w:rsidP="00194466">
            <w:pPr>
              <w:jc w:val="center"/>
              <w:rPr>
                <w:rFonts w:ascii="Calibri" w:hAnsi="Calibri" w:cs="Calibri"/>
                <w:lang w:val="en-US"/>
              </w:rPr>
            </w:pPr>
            <w:r w:rsidRPr="00F569AE">
              <w:rPr>
                <w:rFonts w:ascii="Calibri" w:hAnsi="Calibri" w:cs="Calibri"/>
                <w:b/>
                <w:i/>
                <w:lang w:val="en-US"/>
              </w:rPr>
              <w:t>Is the intervention doing the right thing?</w:t>
            </w:r>
          </w:p>
        </w:tc>
      </w:tr>
      <w:tr w:rsidR="009762C8" w:rsidRPr="00F569AE" w14:paraId="25E66259" w14:textId="77777777" w:rsidTr="00194466">
        <w:tc>
          <w:tcPr>
            <w:tcW w:w="9016" w:type="dxa"/>
          </w:tcPr>
          <w:p w14:paraId="262649B5" w14:textId="77777777" w:rsidR="009762C8" w:rsidRPr="00F569AE" w:rsidRDefault="009762C8" w:rsidP="00194466">
            <w:pPr>
              <w:rPr>
                <w:rFonts w:ascii="Calibri" w:hAnsi="Calibri" w:cs="Calibri"/>
                <w:lang w:val="en-US"/>
              </w:rPr>
            </w:pPr>
            <w:r w:rsidRPr="00F569AE">
              <w:rPr>
                <w:rFonts w:ascii="Calibri" w:hAnsi="Calibri" w:cs="Calibri"/>
                <w:lang w:val="en-US"/>
              </w:rPr>
              <w:t xml:space="preserve">1. To what extend was the project aligned with the national development strategic and sectoral strategic priorities in water/wastewater management sector priorities in BiH? </w:t>
            </w:r>
          </w:p>
        </w:tc>
      </w:tr>
      <w:tr w:rsidR="009762C8" w:rsidRPr="00F569AE" w14:paraId="48FA3970" w14:textId="77777777" w:rsidTr="00194466">
        <w:tc>
          <w:tcPr>
            <w:tcW w:w="9016" w:type="dxa"/>
          </w:tcPr>
          <w:p w14:paraId="1257AFA6" w14:textId="77777777" w:rsidR="009762C8" w:rsidRPr="00F569AE" w:rsidRDefault="009762C8" w:rsidP="00194466">
            <w:pPr>
              <w:rPr>
                <w:rFonts w:ascii="Calibri" w:hAnsi="Calibri" w:cs="Calibri"/>
                <w:lang w:val="en-US"/>
              </w:rPr>
            </w:pPr>
            <w:r w:rsidRPr="00F569AE">
              <w:rPr>
                <w:rFonts w:ascii="Calibri" w:hAnsi="Calibri" w:cs="Calibri"/>
                <w:lang w:val="en-US"/>
              </w:rPr>
              <w:t>2. To what extent the project design was responsive to the institutional landscape related to water/wastewater management sector?</w:t>
            </w:r>
          </w:p>
        </w:tc>
      </w:tr>
      <w:tr w:rsidR="009762C8" w:rsidRPr="00F569AE" w14:paraId="6A93A6AE" w14:textId="77777777" w:rsidTr="00194466">
        <w:tc>
          <w:tcPr>
            <w:tcW w:w="9016" w:type="dxa"/>
          </w:tcPr>
          <w:p w14:paraId="427A5820" w14:textId="77777777" w:rsidR="009762C8" w:rsidRPr="00F569AE" w:rsidRDefault="009762C8" w:rsidP="00194466">
            <w:pPr>
              <w:rPr>
                <w:rFonts w:ascii="Calibri" w:hAnsi="Calibri" w:cs="Calibri"/>
                <w:lang w:val="en-US"/>
              </w:rPr>
            </w:pPr>
            <w:r w:rsidRPr="00F569AE">
              <w:rPr>
                <w:rFonts w:ascii="Calibri" w:hAnsi="Calibri" w:cs="Calibri"/>
                <w:lang w:val="en-US"/>
              </w:rPr>
              <w:t>3. How agile was the project implementation to changing context?</w:t>
            </w:r>
          </w:p>
        </w:tc>
      </w:tr>
      <w:tr w:rsidR="009762C8" w:rsidRPr="00F569AE" w14:paraId="30D3CFDE" w14:textId="77777777" w:rsidTr="00194466">
        <w:tc>
          <w:tcPr>
            <w:tcW w:w="9016" w:type="dxa"/>
            <w:shd w:val="clear" w:color="auto" w:fill="DAE9F7" w:themeFill="text2" w:themeFillTint="1A"/>
          </w:tcPr>
          <w:p w14:paraId="3D6E3FFF" w14:textId="77777777" w:rsidR="009762C8" w:rsidRPr="00F569AE" w:rsidRDefault="009762C8" w:rsidP="00194466">
            <w:pPr>
              <w:jc w:val="center"/>
              <w:rPr>
                <w:rFonts w:ascii="Calibri" w:hAnsi="Calibri" w:cs="Calibri"/>
                <w:b/>
                <w:lang w:val="en-US"/>
              </w:rPr>
            </w:pPr>
            <w:r w:rsidRPr="00F569AE">
              <w:rPr>
                <w:rFonts w:ascii="Calibri" w:hAnsi="Calibri" w:cs="Calibri"/>
                <w:b/>
                <w:lang w:val="en-US"/>
              </w:rPr>
              <w:t>COHERENCE</w:t>
            </w:r>
          </w:p>
          <w:p w14:paraId="4999EADC" w14:textId="77777777" w:rsidR="009762C8" w:rsidRPr="00F569AE" w:rsidRDefault="009762C8" w:rsidP="00194466">
            <w:pPr>
              <w:jc w:val="center"/>
              <w:rPr>
                <w:rFonts w:ascii="Calibri" w:hAnsi="Calibri" w:cs="Calibri"/>
                <w:lang w:val="en-US"/>
              </w:rPr>
            </w:pPr>
            <w:r w:rsidRPr="00F569AE">
              <w:rPr>
                <w:rFonts w:ascii="Calibri" w:hAnsi="Calibri" w:cs="Calibri"/>
                <w:b/>
                <w:i/>
                <w:lang w:val="en-US"/>
              </w:rPr>
              <w:t>How well does the intervention design and logic remain valid and coherent vis-à-vis the problems and needs?</w:t>
            </w:r>
          </w:p>
        </w:tc>
      </w:tr>
      <w:tr w:rsidR="009762C8" w:rsidRPr="00F569AE" w14:paraId="00ABE6B7" w14:textId="77777777" w:rsidTr="00194466">
        <w:tc>
          <w:tcPr>
            <w:tcW w:w="9016" w:type="dxa"/>
          </w:tcPr>
          <w:p w14:paraId="49F96BDD" w14:textId="6CE5084D" w:rsidR="009762C8" w:rsidRPr="00F569AE" w:rsidRDefault="009762C8" w:rsidP="00071372">
            <w:pPr>
              <w:pStyle w:val="p1"/>
              <w:rPr>
                <w:rFonts w:ascii="Calibri" w:hAnsi="Calibri" w:cs="Calibri"/>
                <w:color w:val="auto"/>
                <w:sz w:val="24"/>
                <w:szCs w:val="24"/>
              </w:rPr>
            </w:pPr>
            <w:r w:rsidRPr="00F569AE">
              <w:rPr>
                <w:rFonts w:ascii="Calibri" w:hAnsi="Calibri" w:cs="Calibri"/>
                <w:color w:val="auto"/>
                <w:sz w:val="24"/>
                <w:szCs w:val="24"/>
              </w:rPr>
              <w:t xml:space="preserve">4. To what extent </w:t>
            </w:r>
            <w:r w:rsidR="00DA6087" w:rsidRPr="00F569AE">
              <w:rPr>
                <w:rFonts w:ascii="Calibri" w:hAnsi="Calibri" w:cs="Calibri"/>
                <w:color w:val="auto"/>
                <w:sz w:val="24"/>
                <w:szCs w:val="24"/>
              </w:rPr>
              <w:t>did</w:t>
            </w:r>
            <w:r w:rsidRPr="00F569AE">
              <w:rPr>
                <w:rFonts w:ascii="Calibri" w:hAnsi="Calibri" w:cs="Calibri"/>
                <w:color w:val="auto"/>
                <w:sz w:val="24"/>
                <w:szCs w:val="24"/>
              </w:rPr>
              <w:t xml:space="preserve"> the Project ensure complementarity, harmonization and coordination with other relevant</w:t>
            </w:r>
            <w:r w:rsidR="00071372" w:rsidRPr="00F569AE">
              <w:rPr>
                <w:rFonts w:ascii="Calibri" w:hAnsi="Calibri" w:cs="Calibri"/>
                <w:color w:val="auto"/>
                <w:sz w:val="24"/>
                <w:szCs w:val="24"/>
              </w:rPr>
              <w:t xml:space="preserve"> </w:t>
            </w:r>
            <w:r w:rsidRPr="00F569AE">
              <w:rPr>
                <w:rFonts w:ascii="Calibri" w:hAnsi="Calibri" w:cs="Calibri"/>
                <w:color w:val="auto"/>
                <w:sz w:val="24"/>
                <w:szCs w:val="24"/>
              </w:rPr>
              <w:t>interventions of the governments in Bosnia and Herzegovina and other donors, avoiding duplication of</w:t>
            </w:r>
            <w:r w:rsidR="00071372" w:rsidRPr="00F569AE">
              <w:rPr>
                <w:rFonts w:ascii="Calibri" w:hAnsi="Calibri" w:cs="Calibri"/>
                <w:color w:val="auto"/>
                <w:sz w:val="24"/>
                <w:szCs w:val="24"/>
              </w:rPr>
              <w:t xml:space="preserve"> </w:t>
            </w:r>
            <w:r w:rsidRPr="00F569AE">
              <w:rPr>
                <w:rFonts w:ascii="Calibri" w:hAnsi="Calibri" w:cs="Calibri"/>
                <w:color w:val="auto"/>
                <w:sz w:val="24"/>
                <w:szCs w:val="24"/>
              </w:rPr>
              <w:t>efforts and adding value?</w:t>
            </w:r>
          </w:p>
        </w:tc>
      </w:tr>
      <w:tr w:rsidR="009762C8" w:rsidRPr="00F569AE" w14:paraId="74A91E41" w14:textId="77777777" w:rsidTr="00194466">
        <w:tc>
          <w:tcPr>
            <w:tcW w:w="9016" w:type="dxa"/>
          </w:tcPr>
          <w:p w14:paraId="5DBE9D65" w14:textId="08542929" w:rsidR="009762C8" w:rsidRPr="00F569AE" w:rsidRDefault="009762C8" w:rsidP="00194466">
            <w:pPr>
              <w:rPr>
                <w:rFonts w:ascii="Calibri" w:hAnsi="Calibri" w:cs="Calibri"/>
                <w:lang w:val="en-US"/>
              </w:rPr>
            </w:pPr>
            <w:r w:rsidRPr="00F569AE">
              <w:rPr>
                <w:rFonts w:ascii="Calibri" w:hAnsi="Calibri" w:cs="Calibri"/>
                <w:lang w:val="en-US"/>
              </w:rPr>
              <w:t xml:space="preserve">5. To what extent the Project </w:t>
            </w:r>
            <w:r w:rsidR="00943617" w:rsidRPr="00F569AE">
              <w:rPr>
                <w:rFonts w:ascii="Calibri" w:hAnsi="Calibri" w:cs="Calibri"/>
                <w:lang w:val="en-US"/>
              </w:rPr>
              <w:t>was</w:t>
            </w:r>
            <w:r w:rsidRPr="00F569AE">
              <w:rPr>
                <w:rFonts w:ascii="Calibri" w:hAnsi="Calibri" w:cs="Calibri"/>
                <w:lang w:val="en-US"/>
              </w:rPr>
              <w:t xml:space="preserve"> integrated in the UNDP’s portfolio approach?</w:t>
            </w:r>
          </w:p>
        </w:tc>
      </w:tr>
      <w:tr w:rsidR="009762C8" w:rsidRPr="00F569AE" w14:paraId="415C2350" w14:textId="77777777" w:rsidTr="00194466">
        <w:tc>
          <w:tcPr>
            <w:tcW w:w="9016" w:type="dxa"/>
            <w:shd w:val="clear" w:color="auto" w:fill="DAE9F7" w:themeFill="text2" w:themeFillTint="1A"/>
          </w:tcPr>
          <w:p w14:paraId="16FAA4DE" w14:textId="77777777" w:rsidR="009762C8" w:rsidRPr="00F569AE" w:rsidRDefault="009762C8" w:rsidP="00194466">
            <w:pPr>
              <w:jc w:val="center"/>
              <w:rPr>
                <w:rFonts w:ascii="Calibri" w:hAnsi="Calibri" w:cs="Calibri"/>
                <w:b/>
                <w:lang w:val="en-US"/>
              </w:rPr>
            </w:pPr>
            <w:r w:rsidRPr="00F569AE">
              <w:rPr>
                <w:rFonts w:ascii="Calibri" w:hAnsi="Calibri" w:cs="Calibri"/>
                <w:b/>
                <w:lang w:val="en-US"/>
              </w:rPr>
              <w:lastRenderedPageBreak/>
              <w:t>EFFECTIVENESS</w:t>
            </w:r>
          </w:p>
          <w:p w14:paraId="289398DD" w14:textId="77777777" w:rsidR="009762C8" w:rsidRPr="00F569AE" w:rsidRDefault="009762C8" w:rsidP="00194466">
            <w:pPr>
              <w:jc w:val="center"/>
              <w:rPr>
                <w:rFonts w:ascii="Calibri" w:hAnsi="Calibri" w:cs="Calibri"/>
                <w:lang w:val="en-US"/>
              </w:rPr>
            </w:pPr>
            <w:r w:rsidRPr="00F569AE">
              <w:rPr>
                <w:rFonts w:ascii="Calibri" w:hAnsi="Calibri" w:cs="Calibri"/>
                <w:b/>
                <w:i/>
                <w:lang w:val="en-US"/>
              </w:rPr>
              <w:t>Is the intervention achieving its objectives?</w:t>
            </w:r>
          </w:p>
        </w:tc>
      </w:tr>
      <w:tr w:rsidR="009762C8" w:rsidRPr="00F569AE" w14:paraId="15953AB3" w14:textId="77777777" w:rsidTr="00194466">
        <w:tc>
          <w:tcPr>
            <w:tcW w:w="9016" w:type="dxa"/>
          </w:tcPr>
          <w:p w14:paraId="06C3836A" w14:textId="77777777" w:rsidR="009762C8" w:rsidRPr="00F569AE" w:rsidRDefault="009762C8" w:rsidP="00194466">
            <w:pPr>
              <w:rPr>
                <w:rFonts w:ascii="Calibri" w:hAnsi="Calibri" w:cs="Calibri"/>
                <w:lang w:val="en-US"/>
              </w:rPr>
            </w:pPr>
            <w:r w:rsidRPr="00F569AE">
              <w:rPr>
                <w:rFonts w:ascii="Calibri" w:hAnsi="Calibri" w:cs="Calibri"/>
                <w:lang w:val="en-US"/>
              </w:rPr>
              <w:t>6. To what extent has the project contributed to the expected outcomes as defined in the project document?</w:t>
            </w:r>
          </w:p>
        </w:tc>
      </w:tr>
      <w:tr w:rsidR="009762C8" w:rsidRPr="00F569AE" w14:paraId="3A849CBA" w14:textId="77777777" w:rsidTr="00194466">
        <w:tc>
          <w:tcPr>
            <w:tcW w:w="9016" w:type="dxa"/>
          </w:tcPr>
          <w:p w14:paraId="18F9998E" w14:textId="77777777" w:rsidR="009762C8" w:rsidRPr="00F569AE" w:rsidRDefault="009762C8" w:rsidP="00194466">
            <w:pPr>
              <w:rPr>
                <w:rFonts w:ascii="Calibri" w:hAnsi="Calibri" w:cs="Calibri"/>
                <w:lang w:val="en-US"/>
              </w:rPr>
            </w:pPr>
            <w:r w:rsidRPr="00F569AE">
              <w:rPr>
                <w:rFonts w:ascii="Calibri" w:hAnsi="Calibri" w:cs="Calibri"/>
                <w:lang w:val="en-US"/>
              </w:rPr>
              <w:t>7. To what extend the Project demonstrated innovative lenses throughout its implementation?</w:t>
            </w:r>
          </w:p>
        </w:tc>
      </w:tr>
      <w:tr w:rsidR="009762C8" w:rsidRPr="00F569AE" w14:paraId="3EB160F5" w14:textId="77777777" w:rsidTr="00194466">
        <w:tc>
          <w:tcPr>
            <w:tcW w:w="9016" w:type="dxa"/>
          </w:tcPr>
          <w:p w14:paraId="0C7D51A2" w14:textId="18D448E5" w:rsidR="009762C8" w:rsidRPr="00F569AE" w:rsidRDefault="009762C8" w:rsidP="00194466">
            <w:pPr>
              <w:rPr>
                <w:rFonts w:ascii="Calibri" w:hAnsi="Calibri" w:cs="Calibri"/>
                <w:lang w:val="en-US"/>
              </w:rPr>
            </w:pPr>
            <w:r w:rsidRPr="00F569AE">
              <w:rPr>
                <w:rFonts w:ascii="Calibri" w:hAnsi="Calibri" w:cs="Calibri"/>
                <w:lang w:val="en-US"/>
              </w:rPr>
              <w:t xml:space="preserve">8. To what extent coordination and cooperation across implementing partners </w:t>
            </w:r>
            <w:r w:rsidR="00DA6087" w:rsidRPr="00F569AE">
              <w:rPr>
                <w:rFonts w:ascii="Calibri" w:hAnsi="Calibri" w:cs="Calibri"/>
                <w:lang w:val="en-US"/>
              </w:rPr>
              <w:t>were</w:t>
            </w:r>
            <w:r w:rsidRPr="00F569AE">
              <w:rPr>
                <w:rFonts w:ascii="Calibri" w:hAnsi="Calibri" w:cs="Calibri"/>
                <w:lang w:val="en-US"/>
              </w:rPr>
              <w:t xml:space="preserve"> fostered and capitalized throughout the project design and implementation?</w:t>
            </w:r>
          </w:p>
        </w:tc>
      </w:tr>
      <w:tr w:rsidR="009762C8" w:rsidRPr="00F569AE" w14:paraId="26B2891F" w14:textId="77777777" w:rsidTr="00194466">
        <w:tc>
          <w:tcPr>
            <w:tcW w:w="9016" w:type="dxa"/>
          </w:tcPr>
          <w:p w14:paraId="35E17E2E" w14:textId="77777777" w:rsidR="009762C8" w:rsidRPr="00F569AE" w:rsidRDefault="009762C8" w:rsidP="00194466">
            <w:pPr>
              <w:rPr>
                <w:rFonts w:ascii="Calibri" w:hAnsi="Calibri" w:cs="Calibri"/>
                <w:lang w:val="en-US"/>
              </w:rPr>
            </w:pPr>
            <w:r w:rsidRPr="00F569AE">
              <w:rPr>
                <w:rFonts w:ascii="Calibri" w:hAnsi="Calibri" w:cs="Calibri"/>
                <w:lang w:val="en-US"/>
              </w:rPr>
              <w:t>9. To what extent project demonstrated adaptive management throughout its implementation?</w:t>
            </w:r>
          </w:p>
        </w:tc>
      </w:tr>
      <w:tr w:rsidR="009762C8" w:rsidRPr="00F569AE" w14:paraId="349E16B9" w14:textId="77777777" w:rsidTr="00194466">
        <w:tc>
          <w:tcPr>
            <w:tcW w:w="9016" w:type="dxa"/>
            <w:shd w:val="clear" w:color="auto" w:fill="DAE9F7" w:themeFill="text2" w:themeFillTint="1A"/>
          </w:tcPr>
          <w:p w14:paraId="2A433F02" w14:textId="77777777" w:rsidR="009762C8" w:rsidRPr="00F569AE" w:rsidRDefault="009762C8" w:rsidP="00194466">
            <w:pPr>
              <w:jc w:val="center"/>
              <w:rPr>
                <w:rFonts w:ascii="Calibri" w:hAnsi="Calibri" w:cs="Calibri"/>
                <w:b/>
                <w:lang w:val="en-US"/>
              </w:rPr>
            </w:pPr>
            <w:r w:rsidRPr="00F569AE">
              <w:rPr>
                <w:rFonts w:ascii="Calibri" w:hAnsi="Calibri" w:cs="Calibri"/>
                <w:b/>
                <w:lang w:val="en-US"/>
              </w:rPr>
              <w:t>EFFICIENCY</w:t>
            </w:r>
          </w:p>
          <w:p w14:paraId="70D4F3E9" w14:textId="77777777" w:rsidR="009762C8" w:rsidRPr="00F569AE" w:rsidRDefault="009762C8" w:rsidP="00194466">
            <w:pPr>
              <w:jc w:val="center"/>
              <w:rPr>
                <w:rFonts w:ascii="Calibri" w:hAnsi="Calibri" w:cs="Calibri"/>
                <w:lang w:val="en-US"/>
              </w:rPr>
            </w:pPr>
            <w:r w:rsidRPr="00F569AE">
              <w:rPr>
                <w:rFonts w:ascii="Calibri" w:hAnsi="Calibri" w:cs="Calibri"/>
                <w:b/>
                <w:i/>
                <w:lang w:val="en-US"/>
              </w:rPr>
              <w:t>How well are resources being used?</w:t>
            </w:r>
          </w:p>
        </w:tc>
      </w:tr>
      <w:tr w:rsidR="009762C8" w:rsidRPr="00F569AE" w14:paraId="6F2F08B3" w14:textId="77777777" w:rsidTr="00194466">
        <w:tc>
          <w:tcPr>
            <w:tcW w:w="9016" w:type="dxa"/>
          </w:tcPr>
          <w:p w14:paraId="2FDA9265" w14:textId="77777777" w:rsidR="009762C8" w:rsidRPr="00F569AE" w:rsidRDefault="009762C8" w:rsidP="00194466">
            <w:pPr>
              <w:rPr>
                <w:rFonts w:ascii="Calibri" w:hAnsi="Calibri" w:cs="Calibri"/>
                <w:lang w:val="en-US"/>
              </w:rPr>
            </w:pPr>
            <w:r w:rsidRPr="00F569AE">
              <w:rPr>
                <w:rFonts w:ascii="Calibri" w:hAnsi="Calibri" w:cs="Calibri"/>
                <w:lang w:val="en-US"/>
              </w:rPr>
              <w:t>10. To what extent did the Project make efficient use of available resources (time, money, staff) to achieve its results?</w:t>
            </w:r>
          </w:p>
        </w:tc>
      </w:tr>
      <w:tr w:rsidR="009762C8" w:rsidRPr="00F569AE" w14:paraId="5F05148F" w14:textId="77777777" w:rsidTr="00194466">
        <w:tc>
          <w:tcPr>
            <w:tcW w:w="9016" w:type="dxa"/>
          </w:tcPr>
          <w:p w14:paraId="7A6DBD53" w14:textId="77777777" w:rsidR="009762C8" w:rsidRPr="00F569AE" w:rsidRDefault="009762C8" w:rsidP="00194466">
            <w:pPr>
              <w:rPr>
                <w:rFonts w:ascii="Calibri" w:hAnsi="Calibri" w:cs="Calibri"/>
                <w:lang w:val="en-US"/>
              </w:rPr>
            </w:pPr>
            <w:r w:rsidRPr="00F569AE">
              <w:rPr>
                <w:rFonts w:ascii="Calibri" w:hAnsi="Calibri" w:cs="Calibri"/>
                <w:lang w:val="en-US"/>
              </w:rPr>
              <w:t>11. To what extent the Project mobilized value-for-money through its diverse funding schemes?</w:t>
            </w:r>
          </w:p>
        </w:tc>
      </w:tr>
      <w:tr w:rsidR="009762C8" w:rsidRPr="00F569AE" w14:paraId="54DB0B31" w14:textId="77777777" w:rsidTr="00194466">
        <w:tc>
          <w:tcPr>
            <w:tcW w:w="9016" w:type="dxa"/>
          </w:tcPr>
          <w:p w14:paraId="60F29215" w14:textId="77777777" w:rsidR="009762C8" w:rsidRPr="00F569AE" w:rsidRDefault="009762C8" w:rsidP="00194466">
            <w:pPr>
              <w:rPr>
                <w:rFonts w:ascii="Calibri" w:hAnsi="Calibri" w:cs="Calibri"/>
                <w:lang w:val="en-US"/>
              </w:rPr>
            </w:pPr>
            <w:r w:rsidRPr="00F569AE">
              <w:rPr>
                <w:rFonts w:ascii="Calibri" w:hAnsi="Calibri" w:cs="Calibri"/>
                <w:lang w:val="en-US"/>
              </w:rPr>
              <w:t>12. To what extent were the reporting, knowledge management and learning systems throughout the project implementation fit for purpose?</w:t>
            </w:r>
          </w:p>
        </w:tc>
      </w:tr>
      <w:tr w:rsidR="009762C8" w:rsidRPr="00F569AE" w14:paraId="579D5F9B" w14:textId="77777777" w:rsidTr="00194466">
        <w:tc>
          <w:tcPr>
            <w:tcW w:w="9016" w:type="dxa"/>
            <w:shd w:val="clear" w:color="auto" w:fill="DAE9F7" w:themeFill="text2" w:themeFillTint="1A"/>
          </w:tcPr>
          <w:p w14:paraId="72492F4A" w14:textId="77777777" w:rsidR="009762C8" w:rsidRPr="00F569AE" w:rsidRDefault="009762C8" w:rsidP="00194466">
            <w:pPr>
              <w:pBdr>
                <w:top w:val="nil"/>
                <w:left w:val="nil"/>
                <w:bottom w:val="nil"/>
                <w:right w:val="nil"/>
                <w:between w:val="nil"/>
              </w:pBdr>
              <w:spacing w:line="276" w:lineRule="auto"/>
              <w:jc w:val="center"/>
              <w:rPr>
                <w:rFonts w:ascii="Calibri" w:hAnsi="Calibri" w:cs="Calibri"/>
                <w:b/>
                <w:color w:val="000000"/>
                <w:lang w:val="en-US"/>
              </w:rPr>
            </w:pPr>
            <w:r w:rsidRPr="00F569AE">
              <w:rPr>
                <w:rFonts w:ascii="Calibri" w:hAnsi="Calibri" w:cs="Calibri"/>
                <w:b/>
                <w:color w:val="000000"/>
                <w:lang w:val="en-US"/>
              </w:rPr>
              <w:t>SUSTAINABILITY</w:t>
            </w:r>
          </w:p>
          <w:p w14:paraId="7CA81793" w14:textId="77777777" w:rsidR="009762C8" w:rsidRPr="00F569AE" w:rsidRDefault="009762C8" w:rsidP="00194466">
            <w:pPr>
              <w:jc w:val="center"/>
              <w:rPr>
                <w:rFonts w:ascii="Calibri" w:hAnsi="Calibri" w:cs="Calibri"/>
                <w:lang w:val="en-US"/>
              </w:rPr>
            </w:pPr>
            <w:r w:rsidRPr="00F569AE">
              <w:rPr>
                <w:rFonts w:ascii="Calibri" w:hAnsi="Calibri" w:cs="Calibri"/>
                <w:b/>
                <w:i/>
                <w:color w:val="000000"/>
                <w:lang w:val="en-US"/>
              </w:rPr>
              <w:t>Will the benefits or change last?</w:t>
            </w:r>
          </w:p>
        </w:tc>
      </w:tr>
      <w:tr w:rsidR="009762C8" w:rsidRPr="00F569AE" w14:paraId="75642268" w14:textId="77777777" w:rsidTr="00194466">
        <w:tc>
          <w:tcPr>
            <w:tcW w:w="9016" w:type="dxa"/>
          </w:tcPr>
          <w:p w14:paraId="4BEE928C" w14:textId="77777777" w:rsidR="00EF499A" w:rsidRDefault="009762C8" w:rsidP="00194466">
            <w:pPr>
              <w:pStyle w:val="p1"/>
              <w:rPr>
                <w:rFonts w:ascii="Calibri" w:hAnsi="Calibri" w:cs="Calibri"/>
                <w:sz w:val="24"/>
                <w:szCs w:val="24"/>
              </w:rPr>
            </w:pPr>
            <w:r w:rsidRPr="00F569AE">
              <w:rPr>
                <w:rFonts w:ascii="Calibri" w:hAnsi="Calibri" w:cs="Calibri"/>
                <w:sz w:val="24"/>
                <w:szCs w:val="24"/>
              </w:rPr>
              <w:t xml:space="preserve">13. </w:t>
            </w:r>
            <w:r w:rsidRPr="00F569AE">
              <w:rPr>
                <w:rStyle w:val="apple-converted-space"/>
                <w:rFonts w:ascii="Calibri" w:eastAsiaTheme="majorEastAsia" w:hAnsi="Calibri" w:cs="Calibri"/>
                <w:sz w:val="24"/>
                <w:szCs w:val="24"/>
              </w:rPr>
              <w:t xml:space="preserve"> To what extend did the Project </w:t>
            </w:r>
            <w:r w:rsidRPr="00F569AE">
              <w:rPr>
                <w:rFonts w:ascii="Calibri" w:hAnsi="Calibri" w:cs="Calibri"/>
                <w:sz w:val="24"/>
                <w:szCs w:val="24"/>
              </w:rPr>
              <w:t xml:space="preserve">contribute to the enabling environment in local governance and water services sector </w:t>
            </w:r>
          </w:p>
          <w:p w14:paraId="2FDABBD2" w14:textId="5A3204CA" w:rsidR="009762C8" w:rsidRPr="00F569AE" w:rsidRDefault="009762C8" w:rsidP="00194466">
            <w:pPr>
              <w:pStyle w:val="p1"/>
              <w:rPr>
                <w:rFonts w:ascii="Calibri" w:hAnsi="Calibri" w:cs="Calibri"/>
                <w:sz w:val="24"/>
                <w:szCs w:val="24"/>
              </w:rPr>
            </w:pPr>
            <w:r w:rsidRPr="00F569AE">
              <w:rPr>
                <w:rFonts w:ascii="Calibri" w:hAnsi="Calibri" w:cs="Calibri"/>
                <w:sz w:val="24"/>
                <w:szCs w:val="24"/>
              </w:rPr>
              <w:t>in Bosnia and Herzegovina to enable future transformative change in this area?</w:t>
            </w:r>
          </w:p>
        </w:tc>
      </w:tr>
      <w:tr w:rsidR="009762C8" w:rsidRPr="00F569AE" w14:paraId="257A759D" w14:textId="77777777" w:rsidTr="00194466">
        <w:tc>
          <w:tcPr>
            <w:tcW w:w="9016" w:type="dxa"/>
            <w:shd w:val="clear" w:color="auto" w:fill="DAE9F7" w:themeFill="text2" w:themeFillTint="1A"/>
          </w:tcPr>
          <w:p w14:paraId="1D88D5B0" w14:textId="77777777" w:rsidR="009762C8" w:rsidRPr="00F569AE" w:rsidRDefault="009762C8" w:rsidP="00194466">
            <w:pPr>
              <w:jc w:val="center"/>
              <w:rPr>
                <w:rFonts w:ascii="Calibri" w:hAnsi="Calibri" w:cs="Calibri"/>
                <w:lang w:val="en-US"/>
              </w:rPr>
            </w:pPr>
            <w:r w:rsidRPr="00F569AE">
              <w:rPr>
                <w:rFonts w:ascii="Calibri" w:hAnsi="Calibri" w:cs="Calibri"/>
                <w:b/>
                <w:lang w:val="en-US"/>
              </w:rPr>
              <w:t>IMPACT ORIENTATION (early signs of impact)</w:t>
            </w:r>
            <w:r w:rsidRPr="00F569AE">
              <w:rPr>
                <w:rFonts w:ascii="Calibri" w:hAnsi="Calibri" w:cs="Calibri"/>
                <w:b/>
                <w:i/>
                <w:lang w:val="en-US"/>
              </w:rPr>
              <w:br/>
              <w:t>What difference does the intervention make?</w:t>
            </w:r>
          </w:p>
        </w:tc>
      </w:tr>
      <w:tr w:rsidR="009762C8" w:rsidRPr="00F569AE" w14:paraId="7C68D459" w14:textId="77777777" w:rsidTr="00194466">
        <w:tc>
          <w:tcPr>
            <w:tcW w:w="9016" w:type="dxa"/>
          </w:tcPr>
          <w:p w14:paraId="65FED61C" w14:textId="140377A1" w:rsidR="009762C8" w:rsidRPr="00F569AE" w:rsidRDefault="009762C8" w:rsidP="00194466">
            <w:pPr>
              <w:pStyle w:val="p1"/>
              <w:rPr>
                <w:rFonts w:ascii="Calibri" w:hAnsi="Calibri" w:cs="Calibri"/>
                <w:sz w:val="24"/>
                <w:szCs w:val="24"/>
              </w:rPr>
            </w:pPr>
            <w:r w:rsidRPr="00F569AE">
              <w:rPr>
                <w:rFonts w:ascii="Calibri" w:hAnsi="Calibri" w:cs="Calibri"/>
                <w:sz w:val="24"/>
                <w:szCs w:val="24"/>
              </w:rPr>
              <w:t xml:space="preserve">14. </w:t>
            </w:r>
            <w:r w:rsidR="00DA6087" w:rsidRPr="00F569AE">
              <w:rPr>
                <w:rFonts w:ascii="Calibri" w:hAnsi="Calibri" w:cs="Calibri"/>
                <w:sz w:val="24"/>
                <w:szCs w:val="24"/>
              </w:rPr>
              <w:t>Were</w:t>
            </w:r>
            <w:r w:rsidRPr="00F569AE">
              <w:rPr>
                <w:rFonts w:ascii="Calibri" w:hAnsi="Calibri" w:cs="Calibri"/>
                <w:sz w:val="24"/>
                <w:szCs w:val="24"/>
              </w:rPr>
              <w:t xml:space="preserve"> there any signs of transformative change in the water sector ecosystem, that is a plausible contribution of the MEG / EU4MEG interventions?</w:t>
            </w:r>
          </w:p>
        </w:tc>
      </w:tr>
    </w:tbl>
    <w:p w14:paraId="5CA754EA" w14:textId="77777777" w:rsidR="009762C8" w:rsidRPr="00F569AE" w:rsidRDefault="009762C8" w:rsidP="009762C8">
      <w:pPr>
        <w:rPr>
          <w:rFonts w:ascii="Calibri" w:hAnsi="Calibri" w:cs="Calibri"/>
          <w:lang w:val="en-US"/>
        </w:rPr>
      </w:pPr>
    </w:p>
    <w:p w14:paraId="62E44596" w14:textId="77777777" w:rsidR="009F4434" w:rsidRPr="00F569AE" w:rsidRDefault="009F4434" w:rsidP="007055B5">
      <w:pPr>
        <w:rPr>
          <w:rFonts w:ascii="Calibri" w:eastAsiaTheme="majorEastAsia" w:hAnsi="Calibri" w:cs="Calibri"/>
          <w:color w:val="0F4761" w:themeColor="accent1" w:themeShade="BF"/>
          <w:sz w:val="40"/>
          <w:szCs w:val="40"/>
          <w:lang w:val="en-US"/>
        </w:rPr>
      </w:pPr>
    </w:p>
    <w:p w14:paraId="325EE80E" w14:textId="13425958" w:rsidR="007055B5" w:rsidRPr="00F569AE" w:rsidRDefault="007055B5" w:rsidP="0033780B">
      <w:pPr>
        <w:pStyle w:val="Heading1"/>
        <w:numPr>
          <w:ilvl w:val="0"/>
          <w:numId w:val="1"/>
        </w:numPr>
        <w:rPr>
          <w:rFonts w:ascii="Calibri" w:hAnsi="Calibri" w:cs="Calibri"/>
        </w:rPr>
      </w:pPr>
      <w:bookmarkStart w:id="200" w:name="_Toc210058529"/>
      <w:r w:rsidRPr="00F569AE">
        <w:rPr>
          <w:rFonts w:ascii="Calibri" w:hAnsi="Calibri" w:cs="Calibri"/>
        </w:rPr>
        <w:t>EVALUATION APPROACH AND METHODS</w:t>
      </w:r>
      <w:bookmarkEnd w:id="200"/>
    </w:p>
    <w:p w14:paraId="122D4F38" w14:textId="77777777" w:rsidR="00A7251C" w:rsidRPr="00F569AE" w:rsidRDefault="00A7251C" w:rsidP="007055B5">
      <w:pPr>
        <w:rPr>
          <w:rFonts w:ascii="Calibri" w:eastAsiaTheme="majorEastAsia" w:hAnsi="Calibri" w:cs="Calibri"/>
          <w:color w:val="0F4761" w:themeColor="accent1" w:themeShade="BF"/>
          <w:lang w:val="en-US"/>
        </w:rPr>
      </w:pPr>
    </w:p>
    <w:p w14:paraId="043EB452" w14:textId="78F5ABE7" w:rsidR="00591995" w:rsidRPr="00F569AE" w:rsidRDefault="00D25F33" w:rsidP="00591995">
      <w:pPr>
        <w:spacing w:line="276" w:lineRule="auto"/>
        <w:jc w:val="both"/>
        <w:rPr>
          <w:rFonts w:ascii="Calibri" w:eastAsia="Calibri" w:hAnsi="Calibri" w:cs="Calibri"/>
          <w:color w:val="000000"/>
          <w:lang w:val="en-US"/>
        </w:rPr>
      </w:pPr>
      <w:r w:rsidRPr="00F569AE">
        <w:rPr>
          <w:rFonts w:ascii="Calibri" w:hAnsi="Calibri" w:cs="Calibri"/>
          <w:lang w:val="en-US"/>
        </w:rPr>
        <w:t xml:space="preserve">Following a brief evaluability assessment, the evaluation team shaped the evaluation methodology reflecting the complexity of the project design and implementation, employing a variety of tools for data collection and a variety of conceptual approaches for data analysis. The whole evaluation process was managed </w:t>
      </w:r>
      <w:r w:rsidR="00425EA6" w:rsidRPr="00F569AE">
        <w:rPr>
          <w:rFonts w:ascii="Calibri" w:hAnsi="Calibri" w:cs="Calibri"/>
          <w:lang w:val="en-US"/>
        </w:rPr>
        <w:t xml:space="preserve">in </w:t>
      </w:r>
      <w:r w:rsidR="00425EA6" w:rsidRPr="00F569AE">
        <w:rPr>
          <w:rFonts w:ascii="Calibri" w:eastAsia="Calibri" w:hAnsi="Calibri" w:cs="Calibri"/>
          <w:lang w:val="en-US"/>
        </w:rPr>
        <w:t>ful</w:t>
      </w:r>
      <w:r w:rsidR="00FE5A55" w:rsidRPr="00F569AE">
        <w:rPr>
          <w:rFonts w:ascii="Calibri" w:eastAsia="Calibri" w:hAnsi="Calibri" w:cs="Calibri"/>
          <w:lang w:val="en-US"/>
        </w:rPr>
        <w:t>l</w:t>
      </w:r>
      <w:r w:rsidR="00425EA6" w:rsidRPr="00F569AE">
        <w:rPr>
          <w:rFonts w:ascii="Calibri" w:eastAsia="Calibri" w:hAnsi="Calibri" w:cs="Calibri"/>
          <w:lang w:val="en-US"/>
        </w:rPr>
        <w:t xml:space="preserve"> </w:t>
      </w:r>
      <w:r w:rsidR="00C97252" w:rsidRPr="00F569AE">
        <w:rPr>
          <w:rFonts w:ascii="Calibri" w:eastAsia="Calibri" w:hAnsi="Calibri" w:cs="Calibri"/>
          <w:lang w:val="en-US"/>
        </w:rPr>
        <w:t>adherence</w:t>
      </w:r>
      <w:r w:rsidR="00425EA6" w:rsidRPr="00F569AE">
        <w:rPr>
          <w:rFonts w:ascii="Calibri" w:eastAsia="Calibri" w:hAnsi="Calibri" w:cs="Calibri"/>
          <w:lang w:val="en-US"/>
        </w:rPr>
        <w:t xml:space="preserve"> to UNEG Norms and Standards for Evaluation</w:t>
      </w:r>
      <w:r w:rsidR="00CA331C" w:rsidRPr="00F569AE">
        <w:rPr>
          <w:rFonts w:ascii="Calibri" w:eastAsia="Calibri" w:hAnsi="Calibri" w:cs="Calibri"/>
          <w:lang w:val="en-US"/>
        </w:rPr>
        <w:t>,</w:t>
      </w:r>
      <w:r w:rsidR="00425EA6" w:rsidRPr="00F569AE">
        <w:rPr>
          <w:rStyle w:val="FootnoteReference"/>
          <w:rFonts w:ascii="Calibri" w:eastAsia="Calibri" w:hAnsi="Calibri" w:cs="Calibri"/>
          <w:lang w:val="en-US"/>
        </w:rPr>
        <w:footnoteReference w:id="33"/>
      </w:r>
      <w:r w:rsidR="00425EA6" w:rsidRPr="00F569AE">
        <w:rPr>
          <w:rFonts w:ascii="Calibri" w:eastAsia="Calibri" w:hAnsi="Calibri" w:cs="Calibri"/>
          <w:lang w:val="en-US"/>
        </w:rPr>
        <w:t xml:space="preserve"> UNEG Ethical Code of Conduct,</w:t>
      </w:r>
      <w:r w:rsidR="00425EA6" w:rsidRPr="00F569AE">
        <w:rPr>
          <w:rStyle w:val="FootnoteReference"/>
          <w:rFonts w:ascii="Calibri" w:eastAsia="Calibri" w:hAnsi="Calibri" w:cs="Calibri"/>
          <w:lang w:val="en-US"/>
        </w:rPr>
        <w:footnoteReference w:id="34"/>
      </w:r>
      <w:r w:rsidR="00425EA6" w:rsidRPr="00F569AE">
        <w:rPr>
          <w:rFonts w:ascii="Calibri" w:eastAsia="Calibri" w:hAnsi="Calibri" w:cs="Calibri"/>
          <w:lang w:val="en-US"/>
        </w:rPr>
        <w:t xml:space="preserve"> </w:t>
      </w:r>
      <w:r w:rsidR="00CA331C" w:rsidRPr="00F569AE">
        <w:rPr>
          <w:rFonts w:ascii="Calibri" w:eastAsia="Calibri" w:hAnsi="Calibri" w:cs="Calibri"/>
          <w:lang w:val="en-US"/>
        </w:rPr>
        <w:t>and UNDP Evaluation Guidelines</w:t>
      </w:r>
      <w:r w:rsidR="00CA331C" w:rsidRPr="00F569AE">
        <w:rPr>
          <w:rStyle w:val="FootnoteReference"/>
          <w:rFonts w:ascii="Calibri" w:eastAsia="Calibri" w:hAnsi="Calibri" w:cs="Calibri"/>
          <w:lang w:val="en-US"/>
        </w:rPr>
        <w:footnoteReference w:id="35"/>
      </w:r>
      <w:r w:rsidR="00CA331C" w:rsidRPr="00F569AE">
        <w:rPr>
          <w:rFonts w:ascii="Calibri" w:eastAsia="Calibri" w:hAnsi="Calibri" w:cs="Calibri"/>
          <w:lang w:val="en-US"/>
        </w:rPr>
        <w:t xml:space="preserve"> </w:t>
      </w:r>
      <w:r w:rsidR="00425EA6" w:rsidRPr="00F569AE">
        <w:rPr>
          <w:rFonts w:ascii="Calibri" w:eastAsia="Calibri" w:hAnsi="Calibri" w:cs="Calibri"/>
          <w:lang w:val="en-US"/>
        </w:rPr>
        <w:t xml:space="preserve">and </w:t>
      </w:r>
      <w:r w:rsidRPr="00F569AE">
        <w:rPr>
          <w:rFonts w:ascii="Calibri" w:hAnsi="Calibri" w:cs="Calibri"/>
          <w:lang w:val="en-US"/>
        </w:rPr>
        <w:t>with explicit focus on gender equality and leave no one behind principle (LNOB)</w:t>
      </w:r>
      <w:r w:rsidR="004735FA" w:rsidRPr="00F569AE">
        <w:rPr>
          <w:rFonts w:ascii="Calibri" w:hAnsi="Calibri" w:cs="Calibri"/>
          <w:lang w:val="en-US"/>
        </w:rPr>
        <w:t xml:space="preserve">. Specifically, the </w:t>
      </w:r>
      <w:r w:rsidR="004735FA" w:rsidRPr="00F569AE">
        <w:rPr>
          <w:rFonts w:ascii="Calibri" w:hAnsi="Calibri" w:cs="Calibri"/>
          <w:lang w:val="en-US"/>
        </w:rPr>
        <w:lastRenderedPageBreak/>
        <w:t>evaluation ensured that gender and LNOB perspective were adequately translated in the data collection and analysis. Acknowledging highly complex development context of the project, t</w:t>
      </w:r>
      <w:r w:rsidRPr="00F569AE">
        <w:rPr>
          <w:rFonts w:ascii="Calibri" w:hAnsi="Calibri" w:cs="Calibri"/>
          <w:lang w:val="en-US"/>
        </w:rPr>
        <w:t>he evaluation</w:t>
      </w:r>
      <w:r w:rsidR="00FE5A55" w:rsidRPr="00F569AE">
        <w:rPr>
          <w:rFonts w:ascii="Calibri" w:hAnsi="Calibri" w:cs="Calibri"/>
          <w:lang w:val="en-US"/>
        </w:rPr>
        <w:t xml:space="preserve"> was conducted in</w:t>
      </w:r>
      <w:r w:rsidRPr="00F569AE">
        <w:rPr>
          <w:rFonts w:ascii="Calibri" w:eastAsia="Calibri" w:hAnsi="Calibri" w:cs="Calibri"/>
          <w:color w:val="000000"/>
          <w:lang w:val="en-US"/>
        </w:rPr>
        <w:t xml:space="preserve"> culturally sensitive ma</w:t>
      </w:r>
      <w:r w:rsidRPr="00F569AE">
        <w:rPr>
          <w:rFonts w:ascii="Calibri" w:eastAsia="Calibri" w:hAnsi="Calibri" w:cs="Calibri"/>
          <w:color w:val="000000"/>
          <w:highlight w:val="white"/>
          <w:lang w:val="en-US"/>
        </w:rPr>
        <w:t>nner</w:t>
      </w:r>
      <w:r w:rsidR="00425EA6" w:rsidRPr="00F569AE">
        <w:rPr>
          <w:rFonts w:ascii="Calibri" w:eastAsia="Calibri" w:hAnsi="Calibri" w:cs="Calibri"/>
          <w:color w:val="000000"/>
          <w:highlight w:val="white"/>
          <w:lang w:val="en-US"/>
        </w:rPr>
        <w:t>.</w:t>
      </w:r>
      <w:r w:rsidRPr="00F569AE">
        <w:rPr>
          <w:rFonts w:ascii="Calibri" w:eastAsia="Calibri" w:hAnsi="Calibri" w:cs="Calibri"/>
          <w:color w:val="000000"/>
          <w:highlight w:val="white"/>
          <w:lang w:val="en-US"/>
        </w:rPr>
        <w:t xml:space="preserve"> </w:t>
      </w:r>
      <w:r w:rsidR="00425EA6" w:rsidRPr="00F569AE">
        <w:rPr>
          <w:rFonts w:ascii="Calibri" w:eastAsia="Calibri" w:hAnsi="Calibri" w:cs="Calibri"/>
          <w:color w:val="000000"/>
          <w:lang w:val="en-US"/>
        </w:rPr>
        <w:t>T</w:t>
      </w:r>
      <w:r w:rsidRPr="00F569AE">
        <w:rPr>
          <w:rFonts w:ascii="Calibri" w:eastAsia="Calibri" w:hAnsi="Calibri" w:cs="Calibri"/>
          <w:color w:val="000000"/>
          <w:lang w:val="en-US"/>
        </w:rPr>
        <w:t xml:space="preserve">he data collected were triangulated through the prism of complex cultural and governance landscape of </w:t>
      </w:r>
      <w:r w:rsidR="00E01655">
        <w:rPr>
          <w:rFonts w:ascii="Calibri" w:eastAsia="Calibri" w:hAnsi="Calibri" w:cs="Calibri"/>
          <w:color w:val="000000"/>
          <w:lang w:val="en-US"/>
        </w:rPr>
        <w:t>BiH</w:t>
      </w:r>
      <w:r w:rsidRPr="00F569AE">
        <w:rPr>
          <w:rFonts w:ascii="Calibri" w:eastAsia="Calibri" w:hAnsi="Calibri" w:cs="Calibri"/>
          <w:color w:val="000000"/>
          <w:lang w:val="en-US"/>
        </w:rPr>
        <w:t xml:space="preserve"> and its entities, </w:t>
      </w:r>
      <w:r w:rsidR="00AA71E1" w:rsidRPr="00F569AE">
        <w:rPr>
          <w:rFonts w:ascii="Calibri" w:eastAsia="Calibri" w:hAnsi="Calibri" w:cs="Calibri"/>
          <w:color w:val="000000"/>
          <w:lang w:val="en-US"/>
        </w:rPr>
        <w:t xml:space="preserve">namely, </w:t>
      </w:r>
      <w:r w:rsidRPr="00F569AE">
        <w:rPr>
          <w:rFonts w:ascii="Calibri" w:eastAsia="Calibri" w:hAnsi="Calibri" w:cs="Calibri"/>
          <w:color w:val="000000"/>
          <w:lang w:val="en-US"/>
        </w:rPr>
        <w:t>the F</w:t>
      </w:r>
      <w:r w:rsidR="000125CE" w:rsidRPr="00F569AE">
        <w:rPr>
          <w:rFonts w:ascii="Calibri" w:eastAsia="Calibri" w:hAnsi="Calibri" w:cs="Calibri"/>
          <w:color w:val="000000"/>
          <w:lang w:val="en-US"/>
        </w:rPr>
        <w:t>B</w:t>
      </w:r>
      <w:r w:rsidRPr="00F569AE">
        <w:rPr>
          <w:rFonts w:ascii="Calibri" w:eastAsia="Calibri" w:hAnsi="Calibri" w:cs="Calibri"/>
          <w:color w:val="000000"/>
          <w:lang w:val="en-US"/>
        </w:rPr>
        <w:t xml:space="preserve">iH and RS. </w:t>
      </w:r>
      <w:r w:rsidR="00591995" w:rsidRPr="00F569AE">
        <w:rPr>
          <w:rFonts w:ascii="Calibri" w:eastAsia="Calibri" w:hAnsi="Calibri" w:cs="Calibri"/>
          <w:color w:val="000000"/>
          <w:lang w:val="en-US"/>
        </w:rPr>
        <w:t xml:space="preserve">The evaluation was implemented in accordance with the Inception Report, as presented in </w:t>
      </w:r>
      <w:r w:rsidR="00591995" w:rsidRPr="00F569AE">
        <w:rPr>
          <w:rFonts w:ascii="Calibri" w:hAnsi="Calibri" w:cs="Calibri"/>
          <w:lang w:val="en-US"/>
        </w:rPr>
        <w:t>Annex 11.</w:t>
      </w:r>
    </w:p>
    <w:p w14:paraId="7A610862" w14:textId="77777777" w:rsidR="00825349" w:rsidRPr="00F569AE" w:rsidRDefault="00825349" w:rsidP="00DC256B">
      <w:pPr>
        <w:spacing w:line="276" w:lineRule="auto"/>
        <w:jc w:val="both"/>
        <w:rPr>
          <w:rFonts w:ascii="Calibri" w:eastAsia="Calibri" w:hAnsi="Calibri" w:cs="Calibri"/>
          <w:color w:val="000000"/>
          <w:lang w:val="en-US"/>
        </w:rPr>
      </w:pPr>
    </w:p>
    <w:p w14:paraId="3FA21EB9" w14:textId="4DB431A9" w:rsidR="00825349" w:rsidRPr="00F569AE" w:rsidRDefault="00825349" w:rsidP="00DC256B">
      <w:pPr>
        <w:spacing w:line="276" w:lineRule="auto"/>
        <w:jc w:val="both"/>
        <w:rPr>
          <w:rFonts w:ascii="Calibri" w:eastAsiaTheme="majorEastAsia" w:hAnsi="Calibri" w:cs="Calibri"/>
          <w:i/>
          <w:color w:val="000000" w:themeColor="text1"/>
          <w:lang w:val="en-US"/>
        </w:rPr>
      </w:pPr>
      <w:r w:rsidRPr="00F569AE">
        <w:rPr>
          <w:rFonts w:ascii="Calibri" w:eastAsia="Calibri" w:hAnsi="Calibri" w:cs="Calibri"/>
          <w:color w:val="000000"/>
          <w:lang w:val="en-US"/>
        </w:rPr>
        <w:t xml:space="preserve">The evaluation team </w:t>
      </w:r>
      <w:r w:rsidR="00E01655">
        <w:rPr>
          <w:rFonts w:ascii="Calibri" w:eastAsia="Calibri" w:hAnsi="Calibri" w:cs="Calibri"/>
          <w:color w:val="000000"/>
          <w:lang w:val="en-US"/>
        </w:rPr>
        <w:t>comprised</w:t>
      </w:r>
      <w:r w:rsidRPr="00F569AE">
        <w:rPr>
          <w:rFonts w:ascii="Calibri" w:eastAsia="Calibri" w:hAnsi="Calibri" w:cs="Calibri"/>
          <w:color w:val="000000"/>
          <w:lang w:val="en-US"/>
        </w:rPr>
        <w:t xml:space="preserve"> one international expert with </w:t>
      </w:r>
      <w:r w:rsidR="00591995" w:rsidRPr="00F569AE">
        <w:rPr>
          <w:rFonts w:ascii="Calibri" w:eastAsia="Calibri" w:hAnsi="Calibri" w:cs="Calibri"/>
          <w:color w:val="000000"/>
          <w:lang w:val="en-US"/>
        </w:rPr>
        <w:t>extensive international</w:t>
      </w:r>
      <w:r w:rsidRPr="00F569AE">
        <w:rPr>
          <w:rFonts w:ascii="Calibri" w:eastAsia="Calibri" w:hAnsi="Calibri" w:cs="Calibri"/>
          <w:color w:val="000000"/>
          <w:lang w:val="en-US"/>
        </w:rPr>
        <w:t xml:space="preserve"> expertise in development programming and complex evaluations, and two national experts with strong track records in local governance and water sector performance respectively. The team composition included two females and one </w:t>
      </w:r>
      <w:r w:rsidR="00E01655">
        <w:rPr>
          <w:rFonts w:ascii="Calibri" w:eastAsia="Calibri" w:hAnsi="Calibri" w:cs="Calibri"/>
          <w:color w:val="000000"/>
          <w:lang w:val="en-US"/>
        </w:rPr>
        <w:t>male</w:t>
      </w:r>
      <w:r w:rsidRPr="00F569AE">
        <w:rPr>
          <w:rFonts w:ascii="Calibri" w:eastAsia="Calibri" w:hAnsi="Calibri" w:cs="Calibri"/>
          <w:color w:val="000000"/>
          <w:lang w:val="en-US"/>
        </w:rPr>
        <w:t xml:space="preserve"> expert, with </w:t>
      </w:r>
      <w:r w:rsidR="004B5A23" w:rsidRPr="00F569AE">
        <w:rPr>
          <w:rFonts w:ascii="Calibri" w:eastAsia="Calibri" w:hAnsi="Calibri" w:cs="Calibri"/>
          <w:color w:val="000000"/>
          <w:lang w:val="en-US"/>
        </w:rPr>
        <w:t>solid</w:t>
      </w:r>
      <w:r w:rsidRPr="00F569AE">
        <w:rPr>
          <w:rFonts w:ascii="Calibri" w:eastAsia="Calibri" w:hAnsi="Calibri" w:cs="Calibri"/>
          <w:color w:val="000000"/>
          <w:lang w:val="en-US"/>
        </w:rPr>
        <w:t xml:space="preserve"> mixture of technical skills and knowledge of local specifics and international best practices.</w:t>
      </w:r>
      <w:r w:rsidR="005E79B0" w:rsidRPr="00F569AE">
        <w:rPr>
          <w:rFonts w:ascii="Calibri" w:eastAsia="Calibri" w:hAnsi="Calibri" w:cs="Calibri"/>
          <w:color w:val="000000"/>
          <w:lang w:val="en-US"/>
        </w:rPr>
        <w:t xml:space="preserve"> </w:t>
      </w:r>
      <w:r w:rsidR="005E79B0" w:rsidRPr="00F569AE">
        <w:rPr>
          <w:rFonts w:ascii="Calibri" w:eastAsiaTheme="majorEastAsia" w:hAnsi="Calibri" w:cs="Calibri"/>
          <w:i/>
          <w:color w:val="000000" w:themeColor="text1"/>
          <w:lang w:val="en-US"/>
        </w:rPr>
        <w:t xml:space="preserve">Throughout the data collection and data analysis the evaluation team enjoyed full independence and confidentiality of its work, </w:t>
      </w:r>
      <w:r w:rsidR="00E01655">
        <w:rPr>
          <w:rFonts w:ascii="Calibri" w:eastAsiaTheme="majorEastAsia" w:hAnsi="Calibri" w:cs="Calibri"/>
          <w:i/>
          <w:color w:val="000000" w:themeColor="text1"/>
          <w:lang w:val="en-US"/>
        </w:rPr>
        <w:t xml:space="preserve">which </w:t>
      </w:r>
      <w:r w:rsidR="005E79B0" w:rsidRPr="00F569AE">
        <w:rPr>
          <w:rFonts w:ascii="Calibri" w:eastAsiaTheme="majorEastAsia" w:hAnsi="Calibri" w:cs="Calibri"/>
          <w:i/>
          <w:color w:val="000000" w:themeColor="text1"/>
          <w:lang w:val="en-US"/>
        </w:rPr>
        <w:t>provi</w:t>
      </w:r>
      <w:r w:rsidR="00E01655">
        <w:rPr>
          <w:rFonts w:ascii="Calibri" w:eastAsiaTheme="majorEastAsia" w:hAnsi="Calibri" w:cs="Calibri"/>
          <w:i/>
          <w:color w:val="000000" w:themeColor="text1"/>
          <w:lang w:val="en-US"/>
        </w:rPr>
        <w:t>ed</w:t>
      </w:r>
      <w:r w:rsidR="005E79B0" w:rsidRPr="00F569AE">
        <w:rPr>
          <w:rFonts w:ascii="Calibri" w:eastAsiaTheme="majorEastAsia" w:hAnsi="Calibri" w:cs="Calibri"/>
          <w:i/>
          <w:color w:val="000000" w:themeColor="text1"/>
          <w:lang w:val="en-US"/>
        </w:rPr>
        <w:t xml:space="preserve"> solid foundation for impartial assessment of the project in line with the professional integrity and expertise of the evaluation team.</w:t>
      </w:r>
    </w:p>
    <w:p w14:paraId="01EC88E7" w14:textId="77777777" w:rsidR="00D25F33" w:rsidRPr="00F569AE" w:rsidRDefault="00D25F33" w:rsidP="00DC256B">
      <w:pPr>
        <w:spacing w:line="276" w:lineRule="auto"/>
        <w:jc w:val="both"/>
        <w:rPr>
          <w:rFonts w:ascii="Calibri" w:eastAsia="Calibri" w:hAnsi="Calibri" w:cs="Calibri"/>
          <w:color w:val="000000"/>
          <w:lang w:val="en-US"/>
        </w:rPr>
      </w:pPr>
    </w:p>
    <w:p w14:paraId="595B71E7" w14:textId="5BCB13E1" w:rsidR="00DC256B" w:rsidRPr="00F569AE" w:rsidRDefault="00FE5A55" w:rsidP="00DC256B">
      <w:pPr>
        <w:spacing w:line="276" w:lineRule="auto"/>
        <w:jc w:val="both"/>
        <w:rPr>
          <w:rFonts w:ascii="Calibri" w:hAnsi="Calibri" w:cs="Calibri"/>
          <w:lang w:val="en-US"/>
        </w:rPr>
      </w:pPr>
      <w:r w:rsidRPr="00F569AE">
        <w:rPr>
          <w:rFonts w:ascii="Calibri" w:hAnsi="Calibri" w:cs="Calibri"/>
          <w:lang w:val="en-US"/>
        </w:rPr>
        <w:t>To</w:t>
      </w:r>
      <w:r w:rsidR="00DC256B" w:rsidRPr="00F569AE">
        <w:rPr>
          <w:rFonts w:ascii="Calibri" w:hAnsi="Calibri" w:cs="Calibri"/>
          <w:lang w:val="en-US"/>
        </w:rPr>
        <w:t xml:space="preserve"> capture the complexity of the MEG/EU4MEG project</w:t>
      </w:r>
      <w:r w:rsidRPr="00F569AE">
        <w:rPr>
          <w:rFonts w:ascii="Calibri" w:hAnsi="Calibri" w:cs="Calibri"/>
          <w:lang w:val="en-US"/>
        </w:rPr>
        <w:t>,</w:t>
      </w:r>
      <w:r w:rsidR="004735FA" w:rsidRPr="00F569AE">
        <w:rPr>
          <w:rFonts w:ascii="Calibri" w:hAnsi="Calibri" w:cs="Calibri"/>
          <w:lang w:val="en-US"/>
        </w:rPr>
        <w:t xml:space="preserve"> </w:t>
      </w:r>
      <w:r w:rsidRPr="00F569AE">
        <w:rPr>
          <w:rFonts w:ascii="Calibri" w:hAnsi="Calibri" w:cs="Calibri"/>
          <w:lang w:val="en-US"/>
        </w:rPr>
        <w:t>t</w:t>
      </w:r>
      <w:r w:rsidR="004735FA" w:rsidRPr="00F569AE">
        <w:rPr>
          <w:rFonts w:ascii="Calibri" w:hAnsi="Calibri" w:cs="Calibri"/>
          <w:lang w:val="en-US"/>
        </w:rPr>
        <w:t>he</w:t>
      </w:r>
      <w:r w:rsidRPr="00F569AE">
        <w:rPr>
          <w:rFonts w:ascii="Calibri" w:hAnsi="Calibri" w:cs="Calibri"/>
          <w:lang w:val="en-US"/>
        </w:rPr>
        <w:t xml:space="preserve"> evaluation</w:t>
      </w:r>
      <w:r w:rsidR="004735FA" w:rsidRPr="00F569AE">
        <w:rPr>
          <w:rFonts w:ascii="Calibri" w:hAnsi="Calibri" w:cs="Calibri"/>
          <w:lang w:val="en-US"/>
        </w:rPr>
        <w:t xml:space="preserve"> </w:t>
      </w:r>
      <w:r w:rsidR="00DC256B" w:rsidRPr="00F569AE">
        <w:rPr>
          <w:rFonts w:ascii="Calibri" w:hAnsi="Calibri" w:cs="Calibri"/>
          <w:lang w:val="en-US"/>
        </w:rPr>
        <w:t xml:space="preserve">team </w:t>
      </w:r>
      <w:r w:rsidRPr="00F569AE">
        <w:rPr>
          <w:rFonts w:ascii="Calibri" w:hAnsi="Calibri" w:cs="Calibri"/>
          <w:lang w:val="en-US"/>
        </w:rPr>
        <w:t>applied distinct</w:t>
      </w:r>
      <w:r w:rsidR="00DC256B" w:rsidRPr="00F569AE">
        <w:rPr>
          <w:rFonts w:ascii="Calibri" w:hAnsi="Calibri" w:cs="Calibri"/>
          <w:lang w:val="en-US"/>
        </w:rPr>
        <w:t xml:space="preserve"> </w:t>
      </w:r>
      <w:r w:rsidR="004735FA" w:rsidRPr="00F569AE">
        <w:rPr>
          <w:rFonts w:ascii="Calibri" w:hAnsi="Calibri" w:cs="Calibri"/>
          <w:b/>
          <w:i/>
          <w:lang w:val="en-US"/>
        </w:rPr>
        <w:t>methodological approaches</w:t>
      </w:r>
      <w:r w:rsidR="00DC256B" w:rsidRPr="00F569AE">
        <w:rPr>
          <w:rFonts w:ascii="Calibri" w:hAnsi="Calibri" w:cs="Calibri"/>
          <w:lang w:val="en-US"/>
        </w:rPr>
        <w:t xml:space="preserve"> </w:t>
      </w:r>
      <w:r w:rsidRPr="00F569AE">
        <w:rPr>
          <w:rFonts w:ascii="Calibri" w:hAnsi="Calibri" w:cs="Calibri"/>
          <w:lang w:val="en-US"/>
        </w:rPr>
        <w:t>to</w:t>
      </w:r>
      <w:r w:rsidR="00DC256B" w:rsidRPr="00F569AE">
        <w:rPr>
          <w:rFonts w:ascii="Calibri" w:hAnsi="Calibri" w:cs="Calibri"/>
          <w:lang w:val="en-US"/>
        </w:rPr>
        <w:t xml:space="preserve"> </w:t>
      </w:r>
      <w:r w:rsidRPr="00F569AE">
        <w:rPr>
          <w:rFonts w:ascii="Calibri" w:hAnsi="Calibri" w:cs="Calibri"/>
          <w:lang w:val="en-US"/>
        </w:rPr>
        <w:t>inform</w:t>
      </w:r>
      <w:r w:rsidR="00DC256B" w:rsidRPr="00F569AE">
        <w:rPr>
          <w:rFonts w:ascii="Calibri" w:hAnsi="Calibri" w:cs="Calibri"/>
          <w:lang w:val="en-US"/>
        </w:rPr>
        <w:t xml:space="preserve"> the whole </w:t>
      </w:r>
      <w:r w:rsidR="004735FA" w:rsidRPr="00F569AE">
        <w:rPr>
          <w:rFonts w:ascii="Calibri" w:hAnsi="Calibri" w:cs="Calibri"/>
          <w:lang w:val="en-US"/>
        </w:rPr>
        <w:t xml:space="preserve">evaluation </w:t>
      </w:r>
      <w:r w:rsidR="00DC256B" w:rsidRPr="00F569AE">
        <w:rPr>
          <w:rFonts w:ascii="Calibri" w:hAnsi="Calibri" w:cs="Calibri"/>
          <w:lang w:val="en-US"/>
        </w:rPr>
        <w:t>process:</w:t>
      </w:r>
    </w:p>
    <w:p w14:paraId="242D8608" w14:textId="680A6E08" w:rsidR="00DC256B" w:rsidRPr="00F569AE" w:rsidRDefault="00DC256B" w:rsidP="00E83FFC">
      <w:pPr>
        <w:spacing w:line="276" w:lineRule="auto"/>
        <w:jc w:val="both"/>
        <w:rPr>
          <w:rFonts w:ascii="Calibri" w:eastAsiaTheme="minorHAnsi" w:hAnsi="Calibri" w:cs="Calibri"/>
          <w:lang w:val="en-US"/>
        </w:rPr>
      </w:pPr>
      <w:r w:rsidRPr="00F569AE">
        <w:rPr>
          <w:rFonts w:ascii="Calibri" w:eastAsia="Calibri" w:hAnsi="Calibri" w:cs="Calibri"/>
          <w:b/>
          <w:i/>
          <w:color w:val="4C94D8" w:themeColor="text2" w:themeTint="80"/>
          <w:lang w:val="en-US"/>
        </w:rPr>
        <w:t>Results-based approach or Theory of Change (TOC) approach</w:t>
      </w:r>
      <w:r w:rsidRPr="00F569AE">
        <w:rPr>
          <w:rFonts w:ascii="Calibri" w:eastAsia="Calibri" w:hAnsi="Calibri" w:cs="Calibri"/>
          <w:b/>
          <w:color w:val="4C94D8" w:themeColor="text2" w:themeTint="80"/>
          <w:lang w:val="en-US"/>
        </w:rPr>
        <w:t>:</w:t>
      </w:r>
      <w:r w:rsidRPr="00F569AE">
        <w:rPr>
          <w:rFonts w:ascii="Calibri" w:eastAsia="Calibri" w:hAnsi="Calibri" w:cs="Calibri"/>
          <w:color w:val="4C94D8" w:themeColor="text2" w:themeTint="80"/>
          <w:lang w:val="en-US"/>
        </w:rPr>
        <w:t xml:space="preserve"> </w:t>
      </w:r>
      <w:r w:rsidRPr="00F569AE">
        <w:rPr>
          <w:rFonts w:ascii="Calibri" w:eastAsia="Calibri" w:hAnsi="Calibri" w:cs="Calibri"/>
          <w:color w:val="000000" w:themeColor="text1"/>
          <w:lang w:val="en-US"/>
        </w:rPr>
        <w:t>main</w:t>
      </w:r>
      <w:r w:rsidRPr="00842C02">
        <w:rPr>
          <w:rFonts w:ascii="Calibri" w:eastAsia="Calibri" w:hAnsi="Calibri" w:cs="Calibri"/>
          <w:color w:val="000000"/>
          <w:lang w:val="en-US"/>
        </w:rPr>
        <w:t xml:space="preserve">taining the focus on activities-output-outcome-impact chain of the </w:t>
      </w:r>
      <w:r w:rsidR="004B5A23" w:rsidRPr="00842C02">
        <w:rPr>
          <w:rFonts w:ascii="Calibri" w:eastAsia="Calibri" w:hAnsi="Calibri" w:cs="Calibri"/>
          <w:color w:val="000000"/>
          <w:lang w:val="en-US"/>
        </w:rPr>
        <w:t>intervention logic</w:t>
      </w:r>
      <w:r w:rsidR="00E6648D" w:rsidRPr="00842C02">
        <w:rPr>
          <w:rFonts w:ascii="Calibri" w:eastAsia="Calibri" w:hAnsi="Calibri" w:cs="Calibri"/>
          <w:color w:val="000000"/>
          <w:lang w:val="en-US"/>
        </w:rPr>
        <w:t xml:space="preserve"> or how pathway has evolved </w:t>
      </w:r>
      <w:r w:rsidR="00882E6B" w:rsidRPr="00842C02">
        <w:rPr>
          <w:rFonts w:ascii="Calibri" w:eastAsia="Calibri" w:hAnsi="Calibri" w:cs="Calibri"/>
          <w:color w:val="000000"/>
          <w:lang w:val="en-US"/>
        </w:rPr>
        <w:t>during</w:t>
      </w:r>
      <w:r w:rsidR="00E6648D" w:rsidRPr="00842C02">
        <w:rPr>
          <w:rFonts w:ascii="Calibri" w:eastAsia="Calibri" w:hAnsi="Calibri" w:cs="Calibri"/>
          <w:color w:val="000000"/>
          <w:lang w:val="en-US"/>
        </w:rPr>
        <w:t xml:space="preserve"> the project implementation</w:t>
      </w:r>
      <w:r w:rsidRPr="00842C02">
        <w:rPr>
          <w:rFonts w:ascii="Calibri" w:eastAsia="Calibri" w:hAnsi="Calibri" w:cs="Calibri"/>
          <w:color w:val="000000"/>
          <w:lang w:val="en-US"/>
        </w:rPr>
        <w:t>;</w:t>
      </w:r>
    </w:p>
    <w:p w14:paraId="017BB5F4" w14:textId="516A2AFB" w:rsidR="00DC256B" w:rsidRPr="00F569AE" w:rsidRDefault="00DC256B" w:rsidP="00E83FFC">
      <w:pPr>
        <w:spacing w:line="276" w:lineRule="auto"/>
        <w:jc w:val="both"/>
        <w:rPr>
          <w:rFonts w:ascii="Calibri" w:hAnsi="Calibri" w:cs="Calibri"/>
          <w:lang w:val="en-US"/>
        </w:rPr>
      </w:pPr>
      <w:r w:rsidRPr="00F569AE">
        <w:rPr>
          <w:rFonts w:ascii="Calibri" w:eastAsia="Calibri" w:hAnsi="Calibri" w:cs="Calibri"/>
          <w:b/>
          <w:i/>
          <w:color w:val="4C94D8" w:themeColor="text2" w:themeTint="80"/>
          <w:lang w:val="en-US"/>
        </w:rPr>
        <w:t>System</w:t>
      </w:r>
      <w:r w:rsidRPr="00F569AE">
        <w:rPr>
          <w:rFonts w:ascii="Calibri" w:eastAsia="Calibri" w:hAnsi="Calibri" w:cs="Calibri"/>
          <w:b/>
          <w:color w:val="4C94D8" w:themeColor="text2" w:themeTint="80"/>
          <w:lang w:val="en-US"/>
        </w:rPr>
        <w:t>-</w:t>
      </w:r>
      <w:r w:rsidRPr="00F569AE">
        <w:rPr>
          <w:rFonts w:ascii="Calibri" w:eastAsia="Calibri" w:hAnsi="Calibri" w:cs="Calibri"/>
          <w:b/>
          <w:i/>
          <w:color w:val="4C94D8" w:themeColor="text2" w:themeTint="80"/>
          <w:lang w:val="en-US"/>
        </w:rPr>
        <w:t>based approach:</w:t>
      </w:r>
      <w:r w:rsidRPr="00F569AE">
        <w:rPr>
          <w:rFonts w:ascii="Calibri" w:eastAsia="Calibri" w:hAnsi="Calibri" w:cs="Calibri"/>
          <w:i/>
          <w:color w:val="4C94D8" w:themeColor="text2" w:themeTint="80"/>
          <w:lang w:val="en-US"/>
        </w:rPr>
        <w:t xml:space="preserve"> </w:t>
      </w:r>
      <w:r w:rsidRPr="00F569AE">
        <w:rPr>
          <w:rFonts w:ascii="Calibri" w:eastAsia="Calibri" w:hAnsi="Calibri" w:cs="Calibri"/>
          <w:color w:val="000000" w:themeColor="text1"/>
          <w:lang w:val="en-US"/>
        </w:rPr>
        <w:t xml:space="preserve">acknowledging the project as a system with its elements, i.e. the relationships, interactions, (inter)dependencies, and the synergy of individual components; </w:t>
      </w:r>
    </w:p>
    <w:p w14:paraId="4E6F31CA" w14:textId="7B7CE5F2" w:rsidR="00175C16" w:rsidRPr="00175C16" w:rsidRDefault="00DC256B" w:rsidP="00E83FFC">
      <w:pPr>
        <w:spacing w:line="276" w:lineRule="auto"/>
        <w:jc w:val="both"/>
        <w:rPr>
          <w:rFonts w:ascii="Calibri" w:eastAsia="Calibri" w:hAnsi="Calibri" w:cs="Calibri"/>
          <w:color w:val="000000" w:themeColor="text1"/>
          <w:lang w:val="en-US"/>
        </w:rPr>
      </w:pPr>
      <w:r w:rsidRPr="00F569AE">
        <w:rPr>
          <w:rFonts w:ascii="Calibri" w:eastAsia="Calibri" w:hAnsi="Calibri" w:cs="Calibri"/>
          <w:b/>
          <w:i/>
          <w:color w:val="4C94D8" w:themeColor="text2" w:themeTint="80"/>
          <w:lang w:val="en-US"/>
        </w:rPr>
        <w:t>Participatory approach</w:t>
      </w:r>
      <w:r w:rsidRPr="00F569AE">
        <w:rPr>
          <w:rFonts w:ascii="Calibri" w:eastAsia="Calibri" w:hAnsi="Calibri" w:cs="Calibri"/>
          <w:b/>
          <w:color w:val="4C94D8" w:themeColor="text2" w:themeTint="80"/>
          <w:lang w:val="en-US"/>
        </w:rPr>
        <w:t>:</w:t>
      </w:r>
      <w:r w:rsidRPr="00F569AE">
        <w:rPr>
          <w:rFonts w:ascii="Calibri" w:eastAsia="Calibri" w:hAnsi="Calibri" w:cs="Calibri"/>
          <w:color w:val="4C94D8" w:themeColor="text2" w:themeTint="80"/>
          <w:lang w:val="en-US"/>
        </w:rPr>
        <w:t xml:space="preserve"> </w:t>
      </w:r>
      <w:r w:rsidRPr="00F569AE">
        <w:rPr>
          <w:rFonts w:ascii="Calibri" w:eastAsia="Calibri" w:hAnsi="Calibri" w:cs="Calibri"/>
          <w:color w:val="000000" w:themeColor="text1"/>
          <w:lang w:val="en-US"/>
        </w:rPr>
        <w:t xml:space="preserve">ensuring meaningful engagement of a wide range of stakeholders: </w:t>
      </w:r>
      <w:r w:rsidRPr="00F569AE">
        <w:rPr>
          <w:rFonts w:ascii="Calibri" w:hAnsi="Calibri" w:cs="Calibri"/>
          <w:lang w:val="en-US"/>
        </w:rPr>
        <w:t xml:space="preserve">(i) government partners / ministries and associations, (ii) government partners at entity level and at the level of local governments, (iii) water utility companies, (iv) water professional associations, (v) CSOs, academia, </w:t>
      </w:r>
      <w:r w:rsidR="00E74D61" w:rsidRPr="00F569AE">
        <w:rPr>
          <w:rFonts w:ascii="Calibri" w:hAnsi="Calibri" w:cs="Calibri"/>
          <w:lang w:val="en-US"/>
        </w:rPr>
        <w:t xml:space="preserve">(no contacts with media were arranged within this evaluation); </w:t>
      </w:r>
      <w:r w:rsidRPr="00F569AE">
        <w:rPr>
          <w:rFonts w:ascii="Calibri" w:hAnsi="Calibri" w:cs="Calibri"/>
          <w:lang w:val="en-US"/>
        </w:rPr>
        <w:t xml:space="preserve">(vi) donors, and (vii) UN and other development partners. </w:t>
      </w:r>
      <w:r w:rsidRPr="00F569AE">
        <w:rPr>
          <w:rFonts w:ascii="Calibri" w:eastAsia="Calibri" w:hAnsi="Calibri" w:cs="Calibri"/>
          <w:color w:val="000000" w:themeColor="text1"/>
          <w:lang w:val="en-US"/>
        </w:rPr>
        <w:t xml:space="preserve"> </w:t>
      </w:r>
    </w:p>
    <w:p w14:paraId="7FA2BAA5" w14:textId="77777777" w:rsidR="00DC256B" w:rsidRPr="00F569AE" w:rsidRDefault="00DC256B" w:rsidP="00DC256B">
      <w:pPr>
        <w:spacing w:line="276" w:lineRule="auto"/>
        <w:jc w:val="both"/>
        <w:rPr>
          <w:rFonts w:ascii="Calibri" w:eastAsia="Calibri" w:hAnsi="Calibri" w:cs="Calibri"/>
          <w:color w:val="000000"/>
          <w:lang w:val="en-US"/>
        </w:rPr>
      </w:pPr>
    </w:p>
    <w:p w14:paraId="09BE6523" w14:textId="0CE4C751" w:rsidR="00882E6B" w:rsidRDefault="004735FA" w:rsidP="00DC256B">
      <w:pPr>
        <w:spacing w:line="276" w:lineRule="auto"/>
        <w:jc w:val="both"/>
        <w:rPr>
          <w:rFonts w:ascii="Calibri" w:eastAsia="Calibri" w:hAnsi="Calibri" w:cs="Calibri"/>
          <w:i/>
          <w:lang w:val="en-US"/>
        </w:rPr>
      </w:pPr>
      <w:r w:rsidRPr="00F569AE">
        <w:rPr>
          <w:rFonts w:ascii="Calibri" w:eastAsia="Calibri" w:hAnsi="Calibri" w:cs="Calibri"/>
          <w:lang w:val="en-US"/>
        </w:rPr>
        <w:t xml:space="preserve">The </w:t>
      </w:r>
      <w:r w:rsidRPr="00F569AE">
        <w:rPr>
          <w:rFonts w:ascii="Calibri" w:eastAsia="Calibri" w:hAnsi="Calibri" w:cs="Calibri"/>
          <w:b/>
          <w:i/>
          <w:lang w:val="en-US"/>
        </w:rPr>
        <w:t>data collection</w:t>
      </w:r>
      <w:r w:rsidRPr="00F569AE">
        <w:rPr>
          <w:rFonts w:ascii="Calibri" w:eastAsia="Calibri" w:hAnsi="Calibri" w:cs="Calibri"/>
          <w:lang w:val="en-US"/>
        </w:rPr>
        <w:t xml:space="preserve"> was organized along the evaluation questions to explore the project performance as defined in its theory of change</w:t>
      </w:r>
      <w:r w:rsidR="000125CE" w:rsidRPr="00F569AE">
        <w:rPr>
          <w:rFonts w:ascii="Calibri" w:eastAsia="Calibri" w:hAnsi="Calibri" w:cs="Calibri"/>
          <w:lang w:val="en-US"/>
        </w:rPr>
        <w:t>,</w:t>
      </w:r>
      <w:r w:rsidRPr="00F569AE">
        <w:rPr>
          <w:rFonts w:ascii="Calibri" w:eastAsia="Calibri" w:hAnsi="Calibri" w:cs="Calibri"/>
          <w:lang w:val="en-US"/>
        </w:rPr>
        <w:t xml:space="preserve"> as well as to explore any unexpected (both negative and positive) results. </w:t>
      </w:r>
      <w:r w:rsidR="00DC256B" w:rsidRPr="00F569AE">
        <w:rPr>
          <w:rFonts w:ascii="Calibri" w:eastAsia="Calibri" w:hAnsi="Calibri" w:cs="Calibri"/>
          <w:lang w:val="en-US"/>
        </w:rPr>
        <w:t xml:space="preserve">To ensure that the </w:t>
      </w:r>
      <w:r w:rsidR="000125CE" w:rsidRPr="00F569AE">
        <w:rPr>
          <w:rFonts w:ascii="Calibri" w:eastAsia="Calibri" w:hAnsi="Calibri" w:cs="Calibri"/>
          <w:lang w:val="en-US"/>
        </w:rPr>
        <w:t xml:space="preserve">collected </w:t>
      </w:r>
      <w:r w:rsidR="00DC256B" w:rsidRPr="00F569AE">
        <w:rPr>
          <w:rFonts w:ascii="Calibri" w:eastAsia="Calibri" w:hAnsi="Calibri" w:cs="Calibri"/>
          <w:lang w:val="en-US"/>
        </w:rPr>
        <w:t xml:space="preserve">information is valid, reliable and sufficient to meet the evaluation objectives, </w:t>
      </w:r>
      <w:r w:rsidRPr="00F569AE">
        <w:rPr>
          <w:rFonts w:ascii="Calibri" w:eastAsia="Calibri" w:hAnsi="Calibri" w:cs="Calibri"/>
          <w:lang w:val="en-US"/>
        </w:rPr>
        <w:t>a</w:t>
      </w:r>
      <w:r w:rsidR="00DC256B" w:rsidRPr="00F569AE">
        <w:rPr>
          <w:rFonts w:ascii="Calibri" w:eastAsia="Calibri" w:hAnsi="Calibri" w:cs="Calibri"/>
          <w:lang w:val="en-US"/>
        </w:rPr>
        <w:t xml:space="preserve"> combination of primary and secondary data collection methods</w:t>
      </w:r>
      <w:r w:rsidRPr="00F569AE">
        <w:rPr>
          <w:rFonts w:ascii="Calibri" w:eastAsia="Calibri" w:hAnsi="Calibri" w:cs="Calibri"/>
          <w:lang w:val="en-US"/>
        </w:rPr>
        <w:t xml:space="preserve"> </w:t>
      </w:r>
      <w:r w:rsidR="00314753" w:rsidRPr="00F569AE">
        <w:rPr>
          <w:rFonts w:ascii="Calibri" w:eastAsia="Calibri" w:hAnsi="Calibri" w:cs="Calibri"/>
          <w:lang w:val="en-US"/>
        </w:rPr>
        <w:t>was</w:t>
      </w:r>
      <w:r w:rsidR="00DC256B" w:rsidRPr="00F569AE">
        <w:rPr>
          <w:rFonts w:ascii="Calibri" w:eastAsia="Calibri" w:hAnsi="Calibri" w:cs="Calibri"/>
          <w:lang w:val="en-US"/>
        </w:rPr>
        <w:t xml:space="preserve"> employed, i.e. the </w:t>
      </w:r>
      <w:r w:rsidR="00DC256B" w:rsidRPr="00F569AE">
        <w:rPr>
          <w:rFonts w:ascii="Calibri" w:eastAsia="Calibri" w:hAnsi="Calibri" w:cs="Calibri"/>
          <w:i/>
          <w:lang w:val="en-US"/>
        </w:rPr>
        <w:t xml:space="preserve">desk review, semi-structured stakeholder interviews (individual and group), focus group discussions (FGDs), surveys among local authorities and water utilities, micro-narratives, and case study. </w:t>
      </w:r>
    </w:p>
    <w:p w14:paraId="27368E91" w14:textId="77777777" w:rsidR="00882E6B" w:rsidRDefault="00882E6B" w:rsidP="00DC256B">
      <w:pPr>
        <w:spacing w:line="276" w:lineRule="auto"/>
        <w:jc w:val="both"/>
        <w:rPr>
          <w:rFonts w:ascii="Calibri" w:eastAsia="Calibri" w:hAnsi="Calibri" w:cs="Calibri"/>
          <w: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7"/>
        <w:gridCol w:w="7703"/>
      </w:tblGrid>
      <w:tr w:rsidR="00882E6B" w14:paraId="50C705D5" w14:textId="77777777" w:rsidTr="00882E6B">
        <w:tc>
          <w:tcPr>
            <w:tcW w:w="988" w:type="dxa"/>
          </w:tcPr>
          <w:p w14:paraId="69B68FDE" w14:textId="08FEA23C" w:rsidR="00882E6B" w:rsidRDefault="00882E6B" w:rsidP="00DC256B">
            <w:pPr>
              <w:spacing w:line="276" w:lineRule="auto"/>
              <w:jc w:val="both"/>
              <w:rPr>
                <w:rFonts w:ascii="Calibri" w:eastAsia="Calibri" w:hAnsi="Calibri" w:cs="Calibri"/>
                <w:i/>
                <w:lang w:val="en-US"/>
              </w:rPr>
            </w:pPr>
            <w:r w:rsidRPr="00F569AE">
              <w:rPr>
                <w:rFonts w:ascii="Calibri" w:eastAsia="Calibri" w:hAnsi="Calibri" w:cs="Calibri"/>
                <w:b/>
                <w:i/>
                <w:color w:val="215E99" w:themeColor="text2" w:themeTint="BF"/>
                <w:lang w:val="en-US"/>
              </w:rPr>
              <w:t>Desk review:</w:t>
            </w:r>
          </w:p>
        </w:tc>
        <w:tc>
          <w:tcPr>
            <w:tcW w:w="8022" w:type="dxa"/>
          </w:tcPr>
          <w:p w14:paraId="1BBA2FC3" w14:textId="1AE8C1CA" w:rsidR="00882E6B" w:rsidRPr="00882E6B" w:rsidRDefault="00882E6B" w:rsidP="00DC256B">
            <w:pPr>
              <w:spacing w:line="276" w:lineRule="auto"/>
              <w:jc w:val="both"/>
              <w:rPr>
                <w:rFonts w:ascii="Calibri" w:eastAsia="Calibri" w:hAnsi="Calibri" w:cs="Calibri"/>
                <w:color w:val="000000"/>
                <w:lang w:val="en-US"/>
              </w:rPr>
            </w:pPr>
            <w:r>
              <w:rPr>
                <w:rFonts w:ascii="Calibri" w:eastAsia="Calibri" w:hAnsi="Calibri" w:cs="Calibri"/>
                <w:color w:val="000000"/>
                <w:lang w:val="en-US"/>
              </w:rPr>
              <w:t>D</w:t>
            </w:r>
            <w:r w:rsidRPr="00F569AE">
              <w:rPr>
                <w:rFonts w:ascii="Calibri" w:eastAsia="Calibri" w:hAnsi="Calibri" w:cs="Calibri"/>
                <w:color w:val="000000"/>
                <w:lang w:val="en-US"/>
              </w:rPr>
              <w:t>uring this stage, the evaluation team analyzed the project context, its implementation, monitoring, coordination, information exchange, reporting and decision-making processes. The desk review set the context for the evaluation. The list of documents analyzed is presented in Annex 5.</w:t>
            </w:r>
          </w:p>
        </w:tc>
      </w:tr>
      <w:tr w:rsidR="00882E6B" w14:paraId="3C39C1D3" w14:textId="77777777" w:rsidTr="00882E6B">
        <w:tc>
          <w:tcPr>
            <w:tcW w:w="988" w:type="dxa"/>
          </w:tcPr>
          <w:p w14:paraId="7E37ACD8" w14:textId="1AAC016C" w:rsidR="00882E6B" w:rsidRDefault="00882E6B" w:rsidP="00DC256B">
            <w:pPr>
              <w:spacing w:line="276" w:lineRule="auto"/>
              <w:jc w:val="both"/>
              <w:rPr>
                <w:rFonts w:ascii="Calibri" w:eastAsia="Calibri" w:hAnsi="Calibri" w:cs="Calibri"/>
                <w:i/>
                <w:lang w:val="en-US"/>
              </w:rPr>
            </w:pPr>
            <w:r w:rsidRPr="00F569AE">
              <w:rPr>
                <w:rFonts w:ascii="Calibri" w:eastAsia="Calibri" w:hAnsi="Calibri" w:cs="Calibri"/>
                <w:b/>
                <w:i/>
                <w:color w:val="215E99" w:themeColor="text2" w:themeTint="BF"/>
                <w:lang w:val="en-US"/>
              </w:rPr>
              <w:lastRenderedPageBreak/>
              <w:t>Site visits:</w:t>
            </w:r>
          </w:p>
        </w:tc>
        <w:tc>
          <w:tcPr>
            <w:tcW w:w="8022" w:type="dxa"/>
          </w:tcPr>
          <w:p w14:paraId="38EECCF6" w14:textId="542F3343" w:rsidR="00882E6B" w:rsidRDefault="00882E6B" w:rsidP="00DC256B">
            <w:pPr>
              <w:spacing w:line="276" w:lineRule="auto"/>
              <w:jc w:val="both"/>
              <w:rPr>
                <w:rFonts w:ascii="Calibri" w:eastAsia="Calibri" w:hAnsi="Calibri" w:cs="Calibri"/>
                <w:i/>
                <w:lang w:val="en-US"/>
              </w:rPr>
            </w:pPr>
            <w:r>
              <w:rPr>
                <w:rFonts w:ascii="Calibri" w:eastAsia="Calibri" w:hAnsi="Calibri" w:cs="Calibri"/>
                <w:lang w:val="en-US"/>
              </w:rPr>
              <w:t>T</w:t>
            </w:r>
            <w:r w:rsidRPr="00F569AE">
              <w:rPr>
                <w:rFonts w:ascii="Calibri" w:eastAsia="Calibri" w:hAnsi="Calibri" w:cs="Calibri"/>
                <w:lang w:val="en-US"/>
              </w:rPr>
              <w:t xml:space="preserve">he purpose of the site visits was to explore the results of the project in the selected sites </w:t>
            </w:r>
            <w:r w:rsidRPr="00F569AE">
              <w:rPr>
                <w:rFonts w:ascii="Calibri" w:eastAsia="Calibri" w:hAnsi="Calibri" w:cs="Calibri"/>
                <w:i/>
                <w:lang w:val="en-US"/>
              </w:rPr>
              <w:t>with specific focus on infrastructure co-financing.</w:t>
            </w:r>
            <w:r w:rsidRPr="00F569AE">
              <w:rPr>
                <w:rFonts w:ascii="Calibri" w:eastAsia="Calibri" w:hAnsi="Calibri" w:cs="Calibri"/>
                <w:lang w:val="en-US"/>
              </w:rPr>
              <w:t xml:space="preserve"> The following LGs were visited: </w:t>
            </w:r>
            <w:r w:rsidRPr="00F569AE">
              <w:rPr>
                <w:rFonts w:ascii="Calibri" w:hAnsi="Calibri" w:cs="Calibri"/>
                <w:color w:val="000000" w:themeColor="text1"/>
                <w:lang w:val="en-US"/>
              </w:rPr>
              <w:t xml:space="preserve">Ilijaš (joint visit by all evaluation team members) and Prnjavor, Tešanj, Prijedor, and Srbac (visited individually by each the experts). The selection of the sites was based on the following </w:t>
            </w:r>
            <w:r w:rsidRPr="00F569AE">
              <w:rPr>
                <w:rFonts w:ascii="Calibri" w:eastAsia="Calibri" w:hAnsi="Calibri" w:cs="Calibri"/>
                <w:lang w:val="en-US"/>
              </w:rPr>
              <w:t>criteria: (i) representatives of both entity; (ii) representative of ‘old’ and ‘new’ LGs; (iiI) size of the co-financing grant received from the project (the selection was on those that received largest funding and smallest funding), and (vi) population size (to select those with largest population size and with smallest population size).</w:t>
            </w:r>
          </w:p>
        </w:tc>
      </w:tr>
      <w:tr w:rsidR="00882E6B" w14:paraId="43D61498" w14:textId="77777777" w:rsidTr="00882E6B">
        <w:tc>
          <w:tcPr>
            <w:tcW w:w="988" w:type="dxa"/>
          </w:tcPr>
          <w:p w14:paraId="0ECD87EF" w14:textId="683B91A6" w:rsidR="00882E6B" w:rsidRDefault="00882E6B" w:rsidP="00DC256B">
            <w:pPr>
              <w:spacing w:line="276" w:lineRule="auto"/>
              <w:jc w:val="both"/>
              <w:rPr>
                <w:rFonts w:ascii="Calibri" w:eastAsia="Calibri" w:hAnsi="Calibri" w:cs="Calibri"/>
                <w:i/>
                <w:lang w:val="en-US"/>
              </w:rPr>
            </w:pPr>
            <w:r w:rsidRPr="00F569AE">
              <w:rPr>
                <w:rFonts w:ascii="Calibri" w:eastAsia="Calibri" w:hAnsi="Calibri" w:cs="Calibri"/>
                <w:b/>
                <w:i/>
                <w:color w:val="215E99" w:themeColor="text2" w:themeTint="BF"/>
                <w:lang w:val="en-US"/>
              </w:rPr>
              <w:t>Case study:</w:t>
            </w:r>
          </w:p>
        </w:tc>
        <w:tc>
          <w:tcPr>
            <w:tcW w:w="8022" w:type="dxa"/>
          </w:tcPr>
          <w:p w14:paraId="7DE48BDA" w14:textId="0F90716E" w:rsidR="00882E6B" w:rsidRPr="00882E6B" w:rsidRDefault="00882E6B" w:rsidP="00DC256B">
            <w:pPr>
              <w:spacing w:line="276" w:lineRule="auto"/>
              <w:jc w:val="both"/>
              <w:rPr>
                <w:rFonts w:ascii="Calibri" w:eastAsia="Calibri" w:hAnsi="Calibri" w:cs="Calibri"/>
                <w:color w:val="000000"/>
                <w:lang w:val="en-US"/>
              </w:rPr>
            </w:pPr>
            <w:r>
              <w:rPr>
                <w:rFonts w:ascii="Calibri" w:eastAsia="Calibri" w:hAnsi="Calibri" w:cs="Calibri"/>
                <w:lang w:val="en-US"/>
              </w:rPr>
              <w:t>The c</w:t>
            </w:r>
            <w:r w:rsidRPr="00F569AE">
              <w:rPr>
                <w:rFonts w:ascii="Calibri" w:eastAsia="Calibri" w:hAnsi="Calibri" w:cs="Calibri"/>
                <w:lang w:val="en-US"/>
              </w:rPr>
              <w:t xml:space="preserve">ase study was administered </w:t>
            </w:r>
            <w:r w:rsidRPr="00F569AE">
              <w:rPr>
                <w:rFonts w:ascii="Calibri" w:eastAsia="Calibri" w:hAnsi="Calibri" w:cs="Calibri"/>
                <w:i/>
                <w:lang w:val="en-US"/>
              </w:rPr>
              <w:t>with specific focus on the design and institutionalization of the Public Service Agreements (PSA).</w:t>
            </w:r>
            <w:r w:rsidRPr="00F569AE">
              <w:rPr>
                <w:rFonts w:ascii="Calibri" w:eastAsia="Calibri" w:hAnsi="Calibri" w:cs="Calibri"/>
                <w:lang w:val="en-US"/>
              </w:rPr>
              <w:t xml:space="preserve"> The case studies were carried out in Srbac (RS) and Bihać (FBiH) selected based on the following criteria: (i) equal representation from each entity; (ii) formalized and signed PSA, (iii) availability of water subsidy scheme covering more than </w:t>
            </w:r>
            <w:r w:rsidR="001637BA">
              <w:rPr>
                <w:rFonts w:ascii="Calibri" w:eastAsia="Calibri" w:hAnsi="Calibri" w:cs="Calibri"/>
                <w:lang w:val="en-US"/>
              </w:rPr>
              <w:t>three</w:t>
            </w:r>
            <w:r w:rsidRPr="00F569AE">
              <w:rPr>
                <w:rFonts w:ascii="Calibri" w:eastAsia="Calibri" w:hAnsi="Calibri" w:cs="Calibri"/>
                <w:lang w:val="en-US"/>
              </w:rPr>
              <w:t xml:space="preserve"> different socially vulnerable groups, (iv) adopted new water service</w:t>
            </w:r>
            <w:r>
              <w:rPr>
                <w:rFonts w:ascii="Calibri" w:eastAsia="Calibri" w:hAnsi="Calibri" w:cs="Calibri"/>
                <w:lang w:val="en-US"/>
              </w:rPr>
              <w:t>s</w:t>
            </w:r>
            <w:r w:rsidRPr="00F569AE">
              <w:rPr>
                <w:rFonts w:ascii="Calibri" w:eastAsia="Calibri" w:hAnsi="Calibri" w:cs="Calibri"/>
                <w:lang w:val="en-US"/>
              </w:rPr>
              <w:t xml:space="preserve"> tariffs and Action plan. The case study findings from both LGs are presented in Annex 9.</w:t>
            </w:r>
          </w:p>
        </w:tc>
      </w:tr>
      <w:tr w:rsidR="00882E6B" w14:paraId="74CE9496" w14:textId="77777777" w:rsidTr="00882E6B">
        <w:tc>
          <w:tcPr>
            <w:tcW w:w="988" w:type="dxa"/>
          </w:tcPr>
          <w:p w14:paraId="06E0E25D" w14:textId="3F63F32E" w:rsidR="00882E6B" w:rsidRDefault="00882E6B" w:rsidP="00DC256B">
            <w:pPr>
              <w:spacing w:line="276" w:lineRule="auto"/>
              <w:jc w:val="both"/>
              <w:rPr>
                <w:rFonts w:ascii="Calibri" w:eastAsia="Calibri" w:hAnsi="Calibri" w:cs="Calibri"/>
                <w:i/>
                <w:lang w:val="en-US"/>
              </w:rPr>
            </w:pPr>
            <w:r w:rsidRPr="00F569AE">
              <w:rPr>
                <w:rFonts w:ascii="Calibri" w:hAnsi="Calibri" w:cs="Calibri"/>
                <w:b/>
                <w:i/>
                <w:color w:val="215E99" w:themeColor="text2" w:themeTint="BF"/>
                <w:lang w:val="en-US"/>
              </w:rPr>
              <w:t>Micro narratives:</w:t>
            </w:r>
          </w:p>
        </w:tc>
        <w:tc>
          <w:tcPr>
            <w:tcW w:w="8022" w:type="dxa"/>
          </w:tcPr>
          <w:p w14:paraId="7C58C6C6" w14:textId="521E853F" w:rsidR="00882E6B" w:rsidRPr="00882E6B" w:rsidRDefault="00882E6B" w:rsidP="00DC256B">
            <w:pPr>
              <w:spacing w:line="276" w:lineRule="auto"/>
              <w:jc w:val="both"/>
              <w:rPr>
                <w:rFonts w:ascii="Calibri" w:hAnsi="Calibri" w:cs="Calibri"/>
                <w:lang w:val="en-US"/>
              </w:rPr>
            </w:pPr>
            <w:r>
              <w:rPr>
                <w:rFonts w:ascii="Calibri" w:hAnsi="Calibri" w:cs="Calibri"/>
                <w:color w:val="000000" w:themeColor="text1"/>
                <w:lang w:val="en-US"/>
              </w:rPr>
              <w:t>The purpose was t</w:t>
            </w:r>
            <w:r w:rsidRPr="00F569AE">
              <w:rPr>
                <w:rFonts w:ascii="Calibri" w:hAnsi="Calibri" w:cs="Calibri"/>
                <w:color w:val="000000" w:themeColor="text1"/>
                <w:lang w:val="en-US"/>
              </w:rPr>
              <w:t xml:space="preserve">o capture the </w:t>
            </w:r>
            <w:r w:rsidRPr="00F569AE">
              <w:rPr>
                <w:rFonts w:ascii="Calibri" w:hAnsi="Calibri" w:cs="Calibri"/>
                <w:i/>
                <w:color w:val="000000" w:themeColor="text1"/>
                <w:lang w:val="en-US"/>
              </w:rPr>
              <w:t>stories of how the project impacted on the lives of the beneficiaries.</w:t>
            </w:r>
            <w:r w:rsidRPr="00F569AE">
              <w:rPr>
                <w:rFonts w:ascii="Calibri" w:hAnsi="Calibri" w:cs="Calibri"/>
                <w:color w:val="000000" w:themeColor="text1"/>
                <w:lang w:val="en-US"/>
              </w:rPr>
              <w:t xml:space="preserve"> In total 4 micro-narratives during the site visits as presented in Annex 13. </w:t>
            </w:r>
          </w:p>
        </w:tc>
      </w:tr>
      <w:tr w:rsidR="00882E6B" w14:paraId="22E0E906" w14:textId="77777777" w:rsidTr="00882E6B">
        <w:tc>
          <w:tcPr>
            <w:tcW w:w="988" w:type="dxa"/>
          </w:tcPr>
          <w:p w14:paraId="342725AB" w14:textId="3E8B8022" w:rsidR="00882E6B" w:rsidRDefault="00882E6B" w:rsidP="00DC256B">
            <w:pPr>
              <w:spacing w:line="276" w:lineRule="auto"/>
              <w:jc w:val="both"/>
              <w:rPr>
                <w:rFonts w:ascii="Calibri" w:eastAsia="Calibri" w:hAnsi="Calibri" w:cs="Calibri"/>
                <w:i/>
                <w:lang w:val="en-US"/>
              </w:rPr>
            </w:pPr>
            <w:r w:rsidRPr="00F569AE">
              <w:rPr>
                <w:rFonts w:ascii="Calibri" w:eastAsia="Calibri" w:hAnsi="Calibri" w:cs="Calibri"/>
                <w:b/>
                <w:i/>
                <w:color w:val="215E99" w:themeColor="text2" w:themeTint="BF"/>
                <w:lang w:val="en-US"/>
              </w:rPr>
              <w:t>Surveys</w:t>
            </w:r>
            <w:r w:rsidRPr="00F569AE">
              <w:rPr>
                <w:rFonts w:ascii="Calibri" w:eastAsia="Calibri" w:hAnsi="Calibri" w:cs="Calibri"/>
                <w:b/>
                <w:color w:val="215E99" w:themeColor="text2" w:themeTint="BF"/>
                <w:lang w:val="en-US"/>
              </w:rPr>
              <w:t>:</w:t>
            </w:r>
          </w:p>
        </w:tc>
        <w:tc>
          <w:tcPr>
            <w:tcW w:w="8022" w:type="dxa"/>
          </w:tcPr>
          <w:p w14:paraId="5CDCEF9B" w14:textId="6C74DF3C" w:rsidR="00882E6B" w:rsidRPr="00882E6B" w:rsidRDefault="00882E6B" w:rsidP="00DC256B">
            <w:pPr>
              <w:spacing w:line="276" w:lineRule="auto"/>
              <w:jc w:val="both"/>
              <w:rPr>
                <w:rFonts w:ascii="Calibri" w:eastAsia="Calibri" w:hAnsi="Calibri" w:cs="Calibri"/>
                <w:color w:val="000000"/>
                <w:lang w:val="en-US"/>
              </w:rPr>
            </w:pPr>
            <w:r>
              <w:rPr>
                <w:rFonts w:ascii="Calibri" w:eastAsia="Calibri" w:hAnsi="Calibri" w:cs="Calibri"/>
                <w:lang w:val="en-US"/>
              </w:rPr>
              <w:t>T</w:t>
            </w:r>
            <w:r w:rsidRPr="00F569AE">
              <w:rPr>
                <w:rFonts w:ascii="Calibri" w:eastAsia="Calibri" w:hAnsi="Calibri" w:cs="Calibri"/>
                <w:lang w:val="en-US"/>
              </w:rPr>
              <w:t xml:space="preserve">wo surveys were administered: (i) among all LGs and (ii) among all local water utility companies (WUCs). In total 23 responses were received from the LGs (79% response rate) and 12 responses from the WUs (41% response rate) out of 29 possible. The survey explored the </w:t>
            </w:r>
            <w:r w:rsidRPr="00F569AE">
              <w:rPr>
                <w:rFonts w:ascii="Calibri" w:eastAsia="Calibri" w:hAnsi="Calibri" w:cs="Calibri"/>
                <w:i/>
                <w:lang w:val="en-US"/>
              </w:rPr>
              <w:t>perception of the project, the benefits it delivered to each stakeholder category, and recommendations for the future.</w:t>
            </w:r>
            <w:r w:rsidRPr="00F569AE">
              <w:rPr>
                <w:rFonts w:ascii="Calibri" w:eastAsia="Calibri" w:hAnsi="Calibri" w:cs="Calibri"/>
                <w:lang w:val="en-US"/>
              </w:rPr>
              <w:t xml:space="preserve"> The detailed analysis of both surveys </w:t>
            </w:r>
            <w:r>
              <w:rPr>
                <w:rFonts w:ascii="Calibri" w:eastAsia="Calibri" w:hAnsi="Calibri" w:cs="Calibri"/>
                <w:lang w:val="en-US"/>
              </w:rPr>
              <w:t xml:space="preserve">is </w:t>
            </w:r>
            <w:r w:rsidRPr="00F569AE">
              <w:rPr>
                <w:rFonts w:ascii="Calibri" w:eastAsia="Calibri" w:hAnsi="Calibri" w:cs="Calibri"/>
                <w:lang w:val="en-US"/>
              </w:rPr>
              <w:t>provided in Annex 8.</w:t>
            </w:r>
          </w:p>
        </w:tc>
      </w:tr>
      <w:tr w:rsidR="00882E6B" w14:paraId="57ED4469" w14:textId="77777777" w:rsidTr="00882E6B">
        <w:tc>
          <w:tcPr>
            <w:tcW w:w="988" w:type="dxa"/>
          </w:tcPr>
          <w:p w14:paraId="29584B3F" w14:textId="5B873B8D" w:rsidR="00882E6B" w:rsidRDefault="00882E6B" w:rsidP="00DC256B">
            <w:pPr>
              <w:spacing w:line="276" w:lineRule="auto"/>
              <w:jc w:val="both"/>
              <w:rPr>
                <w:rFonts w:ascii="Calibri" w:eastAsia="Calibri" w:hAnsi="Calibri" w:cs="Calibri"/>
                <w:i/>
                <w:lang w:val="en-US"/>
              </w:rPr>
            </w:pPr>
            <w:r w:rsidRPr="00F569AE">
              <w:rPr>
                <w:rFonts w:ascii="Calibri" w:eastAsia="Calibri" w:hAnsi="Calibri" w:cs="Calibri"/>
                <w:b/>
                <w:i/>
                <w:color w:val="215E99" w:themeColor="text2" w:themeTint="BF"/>
                <w:lang w:val="en-US"/>
              </w:rPr>
              <w:t>Semi-structured individual and group interviews:</w:t>
            </w:r>
          </w:p>
        </w:tc>
        <w:tc>
          <w:tcPr>
            <w:tcW w:w="8022" w:type="dxa"/>
          </w:tcPr>
          <w:p w14:paraId="02182DAF" w14:textId="77777777" w:rsidR="00882E6B" w:rsidRDefault="00882E6B" w:rsidP="00DC256B">
            <w:pPr>
              <w:spacing w:line="276" w:lineRule="auto"/>
              <w:jc w:val="both"/>
              <w:rPr>
                <w:rFonts w:ascii="Calibri" w:eastAsia="Calibri" w:hAnsi="Calibri" w:cs="Calibri"/>
                <w:color w:val="000000" w:themeColor="text1"/>
                <w:lang w:val="en-US"/>
              </w:rPr>
            </w:pPr>
            <w:r w:rsidRPr="00F569AE">
              <w:rPr>
                <w:rFonts w:ascii="Calibri" w:eastAsia="Calibri" w:hAnsi="Calibri" w:cs="Calibri"/>
                <w:color w:val="000000" w:themeColor="text1"/>
                <w:lang w:val="en-US"/>
              </w:rPr>
              <w:t xml:space="preserve">From the initial long list of 112 stakeholders </w:t>
            </w:r>
            <w:r>
              <w:rPr>
                <w:rFonts w:ascii="Calibri" w:eastAsia="Calibri" w:hAnsi="Calibri" w:cs="Calibri"/>
                <w:color w:val="000000" w:themeColor="text1"/>
                <w:lang w:val="en-US"/>
              </w:rPr>
              <w:t>provided</w:t>
            </w:r>
            <w:r w:rsidRPr="00F569AE">
              <w:rPr>
                <w:rFonts w:ascii="Calibri" w:eastAsia="Calibri" w:hAnsi="Calibri" w:cs="Calibri"/>
                <w:color w:val="000000" w:themeColor="text1"/>
                <w:lang w:val="en-US"/>
              </w:rPr>
              <w:t xml:space="preserve"> by </w:t>
            </w:r>
            <w:r>
              <w:rPr>
                <w:rFonts w:ascii="Calibri" w:eastAsia="Calibri" w:hAnsi="Calibri" w:cs="Calibri"/>
                <w:color w:val="000000" w:themeColor="text1"/>
                <w:lang w:val="en-US"/>
              </w:rPr>
              <w:t xml:space="preserve">the </w:t>
            </w:r>
            <w:r w:rsidRPr="00F569AE">
              <w:rPr>
                <w:rFonts w:ascii="Calibri" w:eastAsia="Calibri" w:hAnsi="Calibri" w:cs="Calibri"/>
                <w:color w:val="000000" w:themeColor="text1"/>
                <w:lang w:val="en-US"/>
              </w:rPr>
              <w:t xml:space="preserve">MEG/EU4MEG project team, 30% were targeted for interviews (using both availability-based and purpose-based sampling). While 10% sampling would be sufficient, the evaluation team expanded the sampling to allow for more rigorous data triangulation. The complexity and high sensitivity of the project landscape required extensive triangulation to ensure rigor of the methodology and certainty of evaluative reasoning based on the patterns observed by the evaluators. Besides, an additional group of stakeholders was identified – the project sub-contractors. Hence, in total, 63 </w:t>
            </w:r>
            <w:r w:rsidRPr="008E71B1">
              <w:rPr>
                <w:rFonts w:ascii="Calibri" w:eastAsia="Calibri" w:hAnsi="Calibri" w:cs="Calibri"/>
                <w:color w:val="000000" w:themeColor="text1"/>
                <w:lang w:val="en-US"/>
              </w:rPr>
              <w:t>interviews (M-39 / F-24)</w:t>
            </w:r>
            <w:r w:rsidRPr="00F569AE">
              <w:rPr>
                <w:rFonts w:ascii="Calibri" w:eastAsia="Calibri" w:hAnsi="Calibri" w:cs="Calibri"/>
                <w:color w:val="000000" w:themeColor="text1"/>
                <w:lang w:val="en-US"/>
              </w:rPr>
              <w:t xml:space="preserve"> (or 56%</w:t>
            </w:r>
            <w:r>
              <w:rPr>
                <w:rFonts w:ascii="Calibri" w:eastAsia="Calibri" w:hAnsi="Calibri" w:cs="Calibri"/>
                <w:color w:val="000000" w:themeColor="text1"/>
                <w:lang w:val="en-US"/>
              </w:rPr>
              <w:t xml:space="preserve"> of the long list</w:t>
            </w:r>
            <w:r w:rsidRPr="00F569AE">
              <w:rPr>
                <w:rFonts w:ascii="Calibri" w:eastAsia="Calibri" w:hAnsi="Calibri" w:cs="Calibri"/>
                <w:color w:val="000000" w:themeColor="text1"/>
                <w:lang w:val="en-US"/>
              </w:rPr>
              <w:t>) were conducted as explained in Table 4. During the individual and group interviews, a range of evaluation questions were discussed based on careful tailoring to the professional capacities of each interviewee. Annex 4 provides the list of stakeholders interviewed.</w:t>
            </w:r>
          </w:p>
          <w:p w14:paraId="3B4B6EFA" w14:textId="0B95E4A2" w:rsidR="00503E31" w:rsidRPr="00882E6B" w:rsidRDefault="00503E31" w:rsidP="00DC256B">
            <w:pPr>
              <w:spacing w:line="276" w:lineRule="auto"/>
              <w:jc w:val="both"/>
              <w:rPr>
                <w:rFonts w:ascii="Calibri" w:eastAsia="Calibri" w:hAnsi="Calibri" w:cs="Calibri"/>
                <w:color w:val="000000"/>
                <w:lang w:val="en-US"/>
              </w:rPr>
            </w:pPr>
          </w:p>
        </w:tc>
      </w:tr>
    </w:tbl>
    <w:p w14:paraId="0014E375" w14:textId="7193105B" w:rsidR="00DC256B" w:rsidRPr="00F569AE" w:rsidRDefault="00DC256B" w:rsidP="00DC256B">
      <w:pPr>
        <w:spacing w:line="276" w:lineRule="auto"/>
        <w:jc w:val="both"/>
        <w:rPr>
          <w:rFonts w:ascii="Calibri" w:eastAsia="Calibri" w:hAnsi="Calibri" w:cs="Calibri"/>
          <w:b/>
          <w:color w:val="000000" w:themeColor="text1"/>
          <w:lang w:val="en-US"/>
        </w:rPr>
      </w:pPr>
      <w:r w:rsidRPr="00F569AE">
        <w:rPr>
          <w:rFonts w:ascii="Calibri" w:eastAsia="Calibri" w:hAnsi="Calibri" w:cs="Calibri"/>
          <w:b/>
          <w:color w:val="000000" w:themeColor="text1"/>
          <w:lang w:val="en-US"/>
        </w:rPr>
        <w:lastRenderedPageBreak/>
        <w:t xml:space="preserve">Table </w:t>
      </w:r>
      <w:r w:rsidR="004325C1" w:rsidRPr="00F569AE">
        <w:rPr>
          <w:rFonts w:ascii="Calibri" w:eastAsia="Calibri" w:hAnsi="Calibri" w:cs="Calibri"/>
          <w:b/>
          <w:color w:val="000000" w:themeColor="text1"/>
          <w:lang w:val="en-US"/>
        </w:rPr>
        <w:t>4</w:t>
      </w:r>
      <w:r w:rsidRPr="00F569AE">
        <w:rPr>
          <w:rFonts w:ascii="Calibri" w:eastAsia="Calibri" w:hAnsi="Calibri" w:cs="Calibri"/>
          <w:b/>
          <w:color w:val="000000" w:themeColor="text1"/>
          <w:lang w:val="en-US"/>
        </w:rPr>
        <w:t>: Number of interviews planned and conducted</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1276"/>
        <w:gridCol w:w="1134"/>
        <w:gridCol w:w="850"/>
        <w:gridCol w:w="992"/>
        <w:gridCol w:w="1134"/>
        <w:gridCol w:w="993"/>
        <w:gridCol w:w="850"/>
        <w:gridCol w:w="1134"/>
      </w:tblGrid>
      <w:tr w:rsidR="00AD4634" w:rsidRPr="00F569AE" w14:paraId="427848C4" w14:textId="454811B4" w:rsidTr="00625413">
        <w:tc>
          <w:tcPr>
            <w:tcW w:w="851" w:type="dxa"/>
            <w:shd w:val="clear" w:color="auto" w:fill="D9D9D9" w:themeFill="background1" w:themeFillShade="D9"/>
          </w:tcPr>
          <w:p w14:paraId="3C66A21F" w14:textId="77777777" w:rsidR="008A2B38" w:rsidRPr="00F569AE" w:rsidRDefault="008A2B38" w:rsidP="00194466">
            <w:pPr>
              <w:spacing w:line="276" w:lineRule="auto"/>
              <w:rPr>
                <w:rFonts w:ascii="Calibri" w:eastAsia="Calibri" w:hAnsi="Calibri" w:cs="Calibri"/>
                <w:b/>
                <w:i/>
                <w:sz w:val="17"/>
                <w:szCs w:val="17"/>
                <w:lang w:val="en-US"/>
              </w:rPr>
            </w:pPr>
            <w:r w:rsidRPr="00F569AE">
              <w:rPr>
                <w:rFonts w:ascii="Calibri" w:eastAsia="Calibri" w:hAnsi="Calibri" w:cs="Calibri"/>
                <w:b/>
                <w:i/>
                <w:sz w:val="17"/>
                <w:szCs w:val="17"/>
                <w:lang w:val="en-US"/>
              </w:rPr>
              <w:t>Total number / short-listed number</w:t>
            </w:r>
          </w:p>
        </w:tc>
        <w:tc>
          <w:tcPr>
            <w:tcW w:w="1276" w:type="dxa"/>
            <w:shd w:val="clear" w:color="auto" w:fill="D9D9D9" w:themeFill="background1" w:themeFillShade="D9"/>
          </w:tcPr>
          <w:p w14:paraId="486655F4" w14:textId="77777777" w:rsidR="008A2B38" w:rsidRPr="00F569AE" w:rsidRDefault="008A2B38" w:rsidP="00194466">
            <w:pPr>
              <w:spacing w:line="276" w:lineRule="auto"/>
              <w:rPr>
                <w:rFonts w:ascii="Calibri" w:eastAsia="Calibri" w:hAnsi="Calibri" w:cs="Calibri"/>
                <w:b/>
                <w:i/>
                <w:sz w:val="17"/>
                <w:szCs w:val="17"/>
                <w:lang w:val="en-US"/>
              </w:rPr>
            </w:pPr>
            <w:r w:rsidRPr="00F569AE">
              <w:rPr>
                <w:rFonts w:ascii="Calibri" w:eastAsia="Calibri" w:hAnsi="Calibri" w:cs="Calibri"/>
                <w:b/>
                <w:i/>
                <w:sz w:val="17"/>
                <w:szCs w:val="17"/>
                <w:lang w:val="en-US"/>
              </w:rPr>
              <w:t>UN and international development partners</w:t>
            </w:r>
          </w:p>
        </w:tc>
        <w:tc>
          <w:tcPr>
            <w:tcW w:w="1134" w:type="dxa"/>
            <w:shd w:val="clear" w:color="auto" w:fill="D9D9D9" w:themeFill="background1" w:themeFillShade="D9"/>
          </w:tcPr>
          <w:p w14:paraId="18FC5F30" w14:textId="6D7C72CC" w:rsidR="008A2B38" w:rsidRPr="00F569AE" w:rsidRDefault="008A2B38" w:rsidP="00194466">
            <w:pPr>
              <w:spacing w:line="276" w:lineRule="auto"/>
              <w:rPr>
                <w:rFonts w:ascii="Calibri" w:eastAsia="Calibri" w:hAnsi="Calibri" w:cs="Calibri"/>
                <w:b/>
                <w:i/>
                <w:sz w:val="17"/>
                <w:szCs w:val="17"/>
                <w:lang w:val="en-US"/>
              </w:rPr>
            </w:pPr>
            <w:r w:rsidRPr="00F569AE">
              <w:rPr>
                <w:rFonts w:ascii="Calibri" w:eastAsia="Calibri" w:hAnsi="Calibri" w:cs="Calibri"/>
                <w:b/>
                <w:i/>
                <w:sz w:val="17"/>
                <w:szCs w:val="17"/>
                <w:lang w:val="en-US"/>
              </w:rPr>
              <w:t xml:space="preserve">Government partners / </w:t>
            </w:r>
            <w:r w:rsidRPr="00F569AE">
              <w:rPr>
                <w:rFonts w:ascii="Calibri" w:hAnsi="Calibri" w:cs="Calibri"/>
                <w:b/>
                <w:sz w:val="17"/>
                <w:szCs w:val="17"/>
                <w:lang w:val="en-US"/>
              </w:rPr>
              <w:t>Ministries and Associations</w:t>
            </w:r>
          </w:p>
        </w:tc>
        <w:tc>
          <w:tcPr>
            <w:tcW w:w="850" w:type="dxa"/>
            <w:shd w:val="clear" w:color="auto" w:fill="D9D9D9" w:themeFill="background1" w:themeFillShade="D9"/>
          </w:tcPr>
          <w:p w14:paraId="39C168B1" w14:textId="63A56485" w:rsidR="008A2B38" w:rsidRPr="00F569AE" w:rsidRDefault="008A2B38" w:rsidP="00425EA6">
            <w:pPr>
              <w:widowControl w:val="0"/>
              <w:spacing w:line="276" w:lineRule="auto"/>
              <w:jc w:val="center"/>
              <w:rPr>
                <w:rFonts w:ascii="Calibri" w:hAnsi="Calibri" w:cs="Calibri"/>
                <w:b/>
                <w:sz w:val="17"/>
                <w:szCs w:val="17"/>
                <w:lang w:val="en-US"/>
              </w:rPr>
            </w:pPr>
            <w:r w:rsidRPr="00F569AE">
              <w:rPr>
                <w:rFonts w:ascii="Calibri" w:eastAsia="Calibri" w:hAnsi="Calibri" w:cs="Calibri"/>
                <w:b/>
                <w:i/>
                <w:sz w:val="17"/>
                <w:szCs w:val="17"/>
                <w:lang w:val="en-US"/>
              </w:rPr>
              <w:t xml:space="preserve">Government partners / </w:t>
            </w:r>
            <w:r w:rsidRPr="00F569AE">
              <w:rPr>
                <w:rFonts w:ascii="Calibri" w:hAnsi="Calibri" w:cs="Calibri"/>
                <w:b/>
                <w:sz w:val="17"/>
                <w:szCs w:val="17"/>
                <w:lang w:val="en-US"/>
              </w:rPr>
              <w:t>Local Governments</w:t>
            </w:r>
          </w:p>
        </w:tc>
        <w:tc>
          <w:tcPr>
            <w:tcW w:w="992" w:type="dxa"/>
            <w:shd w:val="clear" w:color="auto" w:fill="D9D9D9" w:themeFill="background1" w:themeFillShade="D9"/>
          </w:tcPr>
          <w:p w14:paraId="4BDA3254" w14:textId="77777777" w:rsidR="008A2B38" w:rsidRPr="00F569AE" w:rsidRDefault="008A2B38" w:rsidP="00194466">
            <w:pPr>
              <w:widowControl w:val="0"/>
              <w:spacing w:line="276" w:lineRule="auto"/>
              <w:jc w:val="center"/>
              <w:rPr>
                <w:rFonts w:ascii="Calibri" w:hAnsi="Calibri" w:cs="Calibri"/>
                <w:b/>
                <w:sz w:val="17"/>
                <w:szCs w:val="17"/>
                <w:lang w:val="en-US"/>
              </w:rPr>
            </w:pPr>
            <w:r w:rsidRPr="00F569AE">
              <w:rPr>
                <w:rFonts w:ascii="Calibri" w:hAnsi="Calibri" w:cs="Calibri"/>
                <w:b/>
                <w:sz w:val="17"/>
                <w:szCs w:val="17"/>
                <w:lang w:val="en-US"/>
              </w:rPr>
              <w:t>Water utility companies</w:t>
            </w:r>
          </w:p>
          <w:p w14:paraId="0CC9AD2A" w14:textId="77777777" w:rsidR="008A2B38" w:rsidRPr="00F569AE" w:rsidRDefault="008A2B38" w:rsidP="00194466">
            <w:pPr>
              <w:spacing w:line="276" w:lineRule="auto"/>
              <w:rPr>
                <w:rFonts w:ascii="Calibri" w:eastAsia="Calibri" w:hAnsi="Calibri" w:cs="Calibri"/>
                <w:b/>
                <w:i/>
                <w:sz w:val="17"/>
                <w:szCs w:val="17"/>
                <w:lang w:val="en-US"/>
              </w:rPr>
            </w:pPr>
          </w:p>
        </w:tc>
        <w:tc>
          <w:tcPr>
            <w:tcW w:w="1134" w:type="dxa"/>
            <w:shd w:val="clear" w:color="auto" w:fill="D9D9D9" w:themeFill="background1" w:themeFillShade="D9"/>
          </w:tcPr>
          <w:p w14:paraId="3004E645" w14:textId="77777777" w:rsidR="008A2B38" w:rsidRPr="00F569AE" w:rsidRDefault="008A2B38" w:rsidP="00194466">
            <w:pPr>
              <w:widowControl w:val="0"/>
              <w:spacing w:line="276" w:lineRule="auto"/>
              <w:jc w:val="center"/>
              <w:rPr>
                <w:rFonts w:ascii="Calibri" w:hAnsi="Calibri" w:cs="Calibri"/>
                <w:b/>
                <w:sz w:val="17"/>
                <w:szCs w:val="17"/>
                <w:lang w:val="en-US"/>
              </w:rPr>
            </w:pPr>
            <w:r w:rsidRPr="00F569AE">
              <w:rPr>
                <w:rFonts w:ascii="Calibri" w:hAnsi="Calibri" w:cs="Calibri"/>
                <w:b/>
                <w:sz w:val="17"/>
                <w:szCs w:val="17"/>
                <w:lang w:val="en-US"/>
              </w:rPr>
              <w:t>Water professional associations</w:t>
            </w:r>
          </w:p>
          <w:p w14:paraId="4702BFE1" w14:textId="77777777" w:rsidR="008A2B38" w:rsidRPr="00F569AE" w:rsidRDefault="008A2B38" w:rsidP="00194466">
            <w:pPr>
              <w:spacing w:line="276" w:lineRule="auto"/>
              <w:rPr>
                <w:rFonts w:ascii="Calibri" w:eastAsia="Calibri" w:hAnsi="Calibri" w:cs="Calibri"/>
                <w:b/>
                <w:i/>
                <w:sz w:val="17"/>
                <w:szCs w:val="17"/>
                <w:lang w:val="en-US"/>
              </w:rPr>
            </w:pPr>
          </w:p>
        </w:tc>
        <w:tc>
          <w:tcPr>
            <w:tcW w:w="993" w:type="dxa"/>
            <w:shd w:val="clear" w:color="auto" w:fill="D9D9D9" w:themeFill="background1" w:themeFillShade="D9"/>
          </w:tcPr>
          <w:p w14:paraId="4F87FA45" w14:textId="4A76AD79" w:rsidR="008A2B38" w:rsidRPr="00F569AE" w:rsidRDefault="008A2B38" w:rsidP="00194466">
            <w:pPr>
              <w:spacing w:line="276" w:lineRule="auto"/>
              <w:rPr>
                <w:rFonts w:ascii="Calibri" w:eastAsia="Calibri" w:hAnsi="Calibri" w:cs="Calibri"/>
                <w:b/>
                <w:i/>
                <w:sz w:val="17"/>
                <w:szCs w:val="17"/>
                <w:lang w:val="en-US"/>
              </w:rPr>
            </w:pPr>
            <w:r w:rsidRPr="00F569AE">
              <w:rPr>
                <w:rFonts w:ascii="Calibri" w:eastAsia="Calibri" w:hAnsi="Calibri" w:cs="Calibri"/>
                <w:b/>
                <w:i/>
                <w:sz w:val="17"/>
                <w:szCs w:val="17"/>
                <w:lang w:val="en-US"/>
              </w:rPr>
              <w:t>CSOs, Academia</w:t>
            </w:r>
          </w:p>
        </w:tc>
        <w:tc>
          <w:tcPr>
            <w:tcW w:w="850" w:type="dxa"/>
            <w:shd w:val="clear" w:color="auto" w:fill="D9D9D9" w:themeFill="background1" w:themeFillShade="D9"/>
          </w:tcPr>
          <w:p w14:paraId="2E99199C" w14:textId="77777777" w:rsidR="008A2B38" w:rsidRPr="00F569AE" w:rsidRDefault="008A2B38" w:rsidP="00194466">
            <w:pPr>
              <w:spacing w:line="276" w:lineRule="auto"/>
              <w:rPr>
                <w:rFonts w:ascii="Calibri" w:eastAsia="Calibri" w:hAnsi="Calibri" w:cs="Calibri"/>
                <w:b/>
                <w:i/>
                <w:sz w:val="17"/>
                <w:szCs w:val="17"/>
                <w:lang w:val="en-US"/>
              </w:rPr>
            </w:pPr>
            <w:r w:rsidRPr="00F569AE">
              <w:rPr>
                <w:rFonts w:ascii="Calibri" w:eastAsia="Calibri" w:hAnsi="Calibri" w:cs="Calibri"/>
                <w:b/>
                <w:i/>
                <w:sz w:val="17"/>
                <w:szCs w:val="17"/>
                <w:lang w:val="en-US"/>
              </w:rPr>
              <w:t>Donors</w:t>
            </w:r>
          </w:p>
        </w:tc>
        <w:tc>
          <w:tcPr>
            <w:tcW w:w="1134" w:type="dxa"/>
            <w:shd w:val="clear" w:color="auto" w:fill="D9D9D9" w:themeFill="background1" w:themeFillShade="D9"/>
          </w:tcPr>
          <w:p w14:paraId="78DC0B17" w14:textId="236CB96F" w:rsidR="008A2B38" w:rsidRPr="00F569AE" w:rsidRDefault="008A2B38" w:rsidP="00194466">
            <w:pPr>
              <w:spacing w:line="276" w:lineRule="auto"/>
              <w:rPr>
                <w:rFonts w:ascii="Calibri" w:eastAsia="Calibri" w:hAnsi="Calibri" w:cs="Calibri"/>
                <w:b/>
                <w:i/>
                <w:sz w:val="17"/>
                <w:szCs w:val="17"/>
                <w:lang w:val="en-US"/>
              </w:rPr>
            </w:pPr>
            <w:r w:rsidRPr="00F569AE">
              <w:rPr>
                <w:rFonts w:ascii="Calibri" w:eastAsia="Calibri" w:hAnsi="Calibri" w:cs="Calibri"/>
                <w:b/>
                <w:i/>
                <w:sz w:val="17"/>
                <w:szCs w:val="17"/>
                <w:lang w:val="en-US"/>
              </w:rPr>
              <w:t>Project contractors</w:t>
            </w:r>
          </w:p>
        </w:tc>
      </w:tr>
      <w:tr w:rsidR="00AB4E2F" w:rsidRPr="00F569AE" w14:paraId="2EAE0CDB" w14:textId="2CA2765B" w:rsidTr="00625413">
        <w:tc>
          <w:tcPr>
            <w:tcW w:w="851" w:type="dxa"/>
          </w:tcPr>
          <w:p w14:paraId="1B8C71E7" w14:textId="77777777" w:rsidR="008A2B38" w:rsidRPr="00F569AE" w:rsidRDefault="008A2B38" w:rsidP="00194466">
            <w:pPr>
              <w:spacing w:line="276" w:lineRule="auto"/>
              <w:rPr>
                <w:rFonts w:ascii="Calibri" w:eastAsia="Calibri" w:hAnsi="Calibri" w:cs="Calibri"/>
                <w:b/>
                <w:i/>
                <w:sz w:val="17"/>
                <w:szCs w:val="17"/>
                <w:lang w:val="en-US"/>
              </w:rPr>
            </w:pPr>
            <w:r w:rsidRPr="00F569AE">
              <w:rPr>
                <w:rFonts w:ascii="Calibri" w:eastAsia="Calibri" w:hAnsi="Calibri" w:cs="Calibri"/>
                <w:b/>
                <w:i/>
                <w:sz w:val="17"/>
                <w:szCs w:val="17"/>
                <w:lang w:val="en-US"/>
              </w:rPr>
              <w:t>Total #</w:t>
            </w:r>
          </w:p>
        </w:tc>
        <w:tc>
          <w:tcPr>
            <w:tcW w:w="1276" w:type="dxa"/>
          </w:tcPr>
          <w:p w14:paraId="75FA7791"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11</w:t>
            </w:r>
          </w:p>
        </w:tc>
        <w:tc>
          <w:tcPr>
            <w:tcW w:w="1134" w:type="dxa"/>
          </w:tcPr>
          <w:p w14:paraId="24C9EEE9"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15</w:t>
            </w:r>
          </w:p>
        </w:tc>
        <w:tc>
          <w:tcPr>
            <w:tcW w:w="850" w:type="dxa"/>
          </w:tcPr>
          <w:p w14:paraId="71DF366F"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45</w:t>
            </w:r>
          </w:p>
        </w:tc>
        <w:tc>
          <w:tcPr>
            <w:tcW w:w="992" w:type="dxa"/>
          </w:tcPr>
          <w:p w14:paraId="1B383FB4"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31</w:t>
            </w:r>
          </w:p>
        </w:tc>
        <w:tc>
          <w:tcPr>
            <w:tcW w:w="1134" w:type="dxa"/>
          </w:tcPr>
          <w:p w14:paraId="57F0AE23"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2</w:t>
            </w:r>
          </w:p>
        </w:tc>
        <w:tc>
          <w:tcPr>
            <w:tcW w:w="993" w:type="dxa"/>
          </w:tcPr>
          <w:p w14:paraId="47555513"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3</w:t>
            </w:r>
          </w:p>
        </w:tc>
        <w:tc>
          <w:tcPr>
            <w:tcW w:w="850" w:type="dxa"/>
          </w:tcPr>
          <w:p w14:paraId="2FAD8402" w14:textId="77777777" w:rsidR="008A2B38" w:rsidRPr="00F569AE" w:rsidRDefault="008A2B38" w:rsidP="00194466">
            <w:pPr>
              <w:spacing w:line="276" w:lineRule="auto"/>
              <w:rPr>
                <w:rFonts w:ascii="Calibri" w:eastAsia="Calibri" w:hAnsi="Calibri" w:cs="Calibri"/>
                <w:sz w:val="17"/>
                <w:szCs w:val="17"/>
                <w:lang w:val="en-US"/>
              </w:rPr>
            </w:pPr>
            <w:r w:rsidRPr="00F569AE">
              <w:rPr>
                <w:rFonts w:ascii="Calibri" w:eastAsia="Calibri" w:hAnsi="Calibri" w:cs="Calibri"/>
                <w:sz w:val="17"/>
                <w:szCs w:val="17"/>
                <w:lang w:val="en-US"/>
              </w:rPr>
              <w:t>5</w:t>
            </w:r>
          </w:p>
        </w:tc>
        <w:tc>
          <w:tcPr>
            <w:tcW w:w="1134" w:type="dxa"/>
          </w:tcPr>
          <w:p w14:paraId="6FA3446B" w14:textId="4BAB211B" w:rsidR="008A2B38" w:rsidRPr="00F569AE" w:rsidRDefault="008A2B38" w:rsidP="00194466">
            <w:pPr>
              <w:spacing w:line="276" w:lineRule="auto"/>
              <w:rPr>
                <w:rFonts w:ascii="Calibri" w:eastAsia="Calibri" w:hAnsi="Calibri" w:cs="Calibri"/>
                <w:sz w:val="17"/>
                <w:szCs w:val="17"/>
                <w:lang w:val="en-US"/>
              </w:rPr>
            </w:pPr>
            <w:r w:rsidRPr="00F569AE">
              <w:rPr>
                <w:rFonts w:ascii="Calibri" w:eastAsia="Calibri" w:hAnsi="Calibri" w:cs="Calibri"/>
                <w:sz w:val="17"/>
                <w:szCs w:val="17"/>
                <w:lang w:val="en-US"/>
              </w:rPr>
              <w:t>-</w:t>
            </w:r>
          </w:p>
        </w:tc>
      </w:tr>
      <w:tr w:rsidR="00AB4E2F" w:rsidRPr="00F569AE" w14:paraId="10C33A7B" w14:textId="6584A206" w:rsidTr="00625413">
        <w:tc>
          <w:tcPr>
            <w:tcW w:w="851" w:type="dxa"/>
          </w:tcPr>
          <w:p w14:paraId="662FF603" w14:textId="77777777" w:rsidR="008A2B38" w:rsidRPr="00F569AE" w:rsidRDefault="008A2B38" w:rsidP="00194466">
            <w:pPr>
              <w:spacing w:line="276" w:lineRule="auto"/>
              <w:rPr>
                <w:rFonts w:ascii="Calibri" w:eastAsia="Calibri" w:hAnsi="Calibri" w:cs="Calibri"/>
                <w:b/>
                <w:i/>
                <w:sz w:val="17"/>
                <w:szCs w:val="17"/>
                <w:lang w:val="en-US"/>
              </w:rPr>
            </w:pPr>
            <w:r w:rsidRPr="00F569AE">
              <w:rPr>
                <w:rFonts w:ascii="Calibri" w:eastAsia="Calibri" w:hAnsi="Calibri" w:cs="Calibri"/>
                <w:b/>
                <w:i/>
                <w:sz w:val="17"/>
                <w:szCs w:val="17"/>
                <w:lang w:val="en-US"/>
              </w:rPr>
              <w:t>Short-listed #</w:t>
            </w:r>
          </w:p>
        </w:tc>
        <w:tc>
          <w:tcPr>
            <w:tcW w:w="1276" w:type="dxa"/>
          </w:tcPr>
          <w:p w14:paraId="58FDC3BB"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4</w:t>
            </w:r>
          </w:p>
        </w:tc>
        <w:tc>
          <w:tcPr>
            <w:tcW w:w="1134" w:type="dxa"/>
          </w:tcPr>
          <w:p w14:paraId="1A4AB354"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6</w:t>
            </w:r>
          </w:p>
        </w:tc>
        <w:tc>
          <w:tcPr>
            <w:tcW w:w="850" w:type="dxa"/>
          </w:tcPr>
          <w:p w14:paraId="3ECE618D"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12</w:t>
            </w:r>
          </w:p>
        </w:tc>
        <w:tc>
          <w:tcPr>
            <w:tcW w:w="992" w:type="dxa"/>
          </w:tcPr>
          <w:p w14:paraId="0E81355E"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9</w:t>
            </w:r>
          </w:p>
        </w:tc>
        <w:tc>
          <w:tcPr>
            <w:tcW w:w="1134" w:type="dxa"/>
          </w:tcPr>
          <w:p w14:paraId="0DE91425"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2</w:t>
            </w:r>
          </w:p>
        </w:tc>
        <w:tc>
          <w:tcPr>
            <w:tcW w:w="993" w:type="dxa"/>
          </w:tcPr>
          <w:p w14:paraId="41B67D5F" w14:textId="77777777"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1</w:t>
            </w:r>
          </w:p>
        </w:tc>
        <w:tc>
          <w:tcPr>
            <w:tcW w:w="850" w:type="dxa"/>
          </w:tcPr>
          <w:p w14:paraId="10F48C9E" w14:textId="77777777" w:rsidR="008A2B38" w:rsidRPr="00F569AE" w:rsidRDefault="008A2B38" w:rsidP="00194466">
            <w:pPr>
              <w:spacing w:line="276" w:lineRule="auto"/>
              <w:rPr>
                <w:rFonts w:ascii="Calibri" w:eastAsia="Calibri" w:hAnsi="Calibri" w:cs="Calibri"/>
                <w:color w:val="000000"/>
                <w:sz w:val="17"/>
                <w:szCs w:val="17"/>
                <w:lang w:val="en-US"/>
              </w:rPr>
            </w:pPr>
            <w:r w:rsidRPr="00F569AE">
              <w:rPr>
                <w:rFonts w:ascii="Calibri" w:eastAsia="Calibri" w:hAnsi="Calibri" w:cs="Calibri"/>
                <w:color w:val="000000"/>
                <w:sz w:val="17"/>
                <w:szCs w:val="17"/>
                <w:lang w:val="en-US"/>
              </w:rPr>
              <w:t>5</w:t>
            </w:r>
          </w:p>
        </w:tc>
        <w:tc>
          <w:tcPr>
            <w:tcW w:w="1134" w:type="dxa"/>
          </w:tcPr>
          <w:p w14:paraId="2C48A243" w14:textId="5370BB6C" w:rsidR="008A2B38" w:rsidRPr="00F569AE" w:rsidRDefault="008A2B38" w:rsidP="00194466">
            <w:pPr>
              <w:spacing w:line="276" w:lineRule="auto"/>
              <w:rPr>
                <w:rFonts w:ascii="Calibri" w:eastAsia="Calibri" w:hAnsi="Calibri" w:cs="Calibri"/>
                <w:color w:val="000000"/>
                <w:sz w:val="17"/>
                <w:szCs w:val="17"/>
                <w:lang w:val="en-US"/>
              </w:rPr>
            </w:pPr>
            <w:r w:rsidRPr="00F569AE">
              <w:rPr>
                <w:rFonts w:ascii="Calibri" w:eastAsia="Calibri" w:hAnsi="Calibri" w:cs="Calibri"/>
                <w:color w:val="000000"/>
                <w:sz w:val="17"/>
                <w:szCs w:val="17"/>
                <w:lang w:val="en-US"/>
              </w:rPr>
              <w:t>-</w:t>
            </w:r>
          </w:p>
        </w:tc>
      </w:tr>
      <w:tr w:rsidR="00AD4634" w:rsidRPr="00F569AE" w14:paraId="7A5F5634" w14:textId="7985B542" w:rsidTr="00625413">
        <w:tc>
          <w:tcPr>
            <w:tcW w:w="851" w:type="dxa"/>
          </w:tcPr>
          <w:p w14:paraId="2CA73330" w14:textId="77777777" w:rsidR="008A2B38" w:rsidRPr="00F569AE" w:rsidRDefault="008A2B38" w:rsidP="00194466">
            <w:pPr>
              <w:spacing w:line="276" w:lineRule="auto"/>
              <w:rPr>
                <w:rFonts w:ascii="Calibri" w:eastAsia="Calibri" w:hAnsi="Calibri" w:cs="Calibri"/>
                <w:b/>
                <w:i/>
                <w:sz w:val="17"/>
                <w:szCs w:val="17"/>
                <w:lang w:val="en-US"/>
              </w:rPr>
            </w:pPr>
            <w:r w:rsidRPr="00F569AE">
              <w:rPr>
                <w:rFonts w:ascii="Calibri" w:eastAsia="Calibri" w:hAnsi="Calibri" w:cs="Calibri"/>
                <w:b/>
                <w:i/>
                <w:sz w:val="17"/>
                <w:szCs w:val="17"/>
                <w:lang w:val="en-US"/>
              </w:rPr>
              <w:t>Implemented</w:t>
            </w:r>
          </w:p>
        </w:tc>
        <w:tc>
          <w:tcPr>
            <w:tcW w:w="1276" w:type="dxa"/>
            <w:shd w:val="clear" w:color="auto" w:fill="D9F2D0" w:themeFill="accent6" w:themeFillTint="33"/>
          </w:tcPr>
          <w:p w14:paraId="25637C40" w14:textId="09CA9F84"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12</w:t>
            </w:r>
            <w:r w:rsidR="004A2650" w:rsidRPr="00F569AE">
              <w:rPr>
                <w:rFonts w:ascii="Calibri" w:eastAsia="Calibri" w:hAnsi="Calibri" w:cs="Calibri"/>
                <w:color w:val="000000" w:themeColor="text1"/>
                <w:sz w:val="17"/>
                <w:szCs w:val="17"/>
                <w:lang w:val="en-US"/>
              </w:rPr>
              <w:t xml:space="preserve"> (M- </w:t>
            </w:r>
            <w:r w:rsidR="00753650" w:rsidRPr="00F569AE">
              <w:rPr>
                <w:rFonts w:ascii="Calibri" w:eastAsia="Calibri" w:hAnsi="Calibri" w:cs="Calibri"/>
                <w:color w:val="000000" w:themeColor="text1"/>
                <w:sz w:val="17"/>
                <w:szCs w:val="17"/>
                <w:lang w:val="en-US"/>
              </w:rPr>
              <w:t>5</w:t>
            </w:r>
            <w:r w:rsidR="004A2650" w:rsidRPr="00F569AE">
              <w:rPr>
                <w:rFonts w:ascii="Calibri" w:eastAsia="Calibri" w:hAnsi="Calibri" w:cs="Calibri"/>
                <w:color w:val="000000" w:themeColor="text1"/>
                <w:sz w:val="17"/>
                <w:szCs w:val="17"/>
                <w:lang w:val="en-US"/>
              </w:rPr>
              <w:t>/ F-</w:t>
            </w:r>
            <w:r w:rsidR="00753650" w:rsidRPr="00F569AE">
              <w:rPr>
                <w:rFonts w:ascii="Calibri" w:eastAsia="Calibri" w:hAnsi="Calibri" w:cs="Calibri"/>
                <w:color w:val="000000" w:themeColor="text1"/>
                <w:sz w:val="17"/>
                <w:szCs w:val="17"/>
                <w:lang w:val="en-US"/>
              </w:rPr>
              <w:t>7</w:t>
            </w:r>
            <w:r w:rsidR="004A2650" w:rsidRPr="00F569AE">
              <w:rPr>
                <w:rFonts w:ascii="Calibri" w:eastAsia="Calibri" w:hAnsi="Calibri" w:cs="Calibri"/>
                <w:color w:val="000000" w:themeColor="text1"/>
                <w:sz w:val="17"/>
                <w:szCs w:val="17"/>
                <w:lang w:val="en-US"/>
              </w:rPr>
              <w:t>)</w:t>
            </w:r>
          </w:p>
        </w:tc>
        <w:tc>
          <w:tcPr>
            <w:tcW w:w="1134" w:type="dxa"/>
            <w:shd w:val="clear" w:color="auto" w:fill="D9F2D0" w:themeFill="accent6" w:themeFillTint="33"/>
          </w:tcPr>
          <w:p w14:paraId="74A2657C" w14:textId="33E1AE63" w:rsidR="008A2B38" w:rsidRPr="00F569AE" w:rsidRDefault="00AC285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9</w:t>
            </w:r>
            <w:r w:rsidR="004A2650" w:rsidRPr="00F569AE">
              <w:rPr>
                <w:rFonts w:ascii="Calibri" w:eastAsia="Calibri" w:hAnsi="Calibri" w:cs="Calibri"/>
                <w:color w:val="000000" w:themeColor="text1"/>
                <w:sz w:val="17"/>
                <w:szCs w:val="17"/>
                <w:lang w:val="en-US"/>
              </w:rPr>
              <w:t xml:space="preserve"> (M- </w:t>
            </w:r>
            <w:r w:rsidR="00753650" w:rsidRPr="00F569AE">
              <w:rPr>
                <w:rFonts w:ascii="Calibri" w:eastAsia="Calibri" w:hAnsi="Calibri" w:cs="Calibri"/>
                <w:color w:val="000000" w:themeColor="text1"/>
                <w:sz w:val="17"/>
                <w:szCs w:val="17"/>
                <w:lang w:val="en-US"/>
              </w:rPr>
              <w:t>6</w:t>
            </w:r>
            <w:r w:rsidR="004A2650" w:rsidRPr="00F569AE">
              <w:rPr>
                <w:rFonts w:ascii="Calibri" w:eastAsia="Calibri" w:hAnsi="Calibri" w:cs="Calibri"/>
                <w:color w:val="000000" w:themeColor="text1"/>
                <w:sz w:val="17"/>
                <w:szCs w:val="17"/>
                <w:lang w:val="en-US"/>
              </w:rPr>
              <w:t>/ F-</w:t>
            </w:r>
            <w:r w:rsidR="00753650" w:rsidRPr="00F569AE">
              <w:rPr>
                <w:rFonts w:ascii="Calibri" w:eastAsia="Calibri" w:hAnsi="Calibri" w:cs="Calibri"/>
                <w:color w:val="000000" w:themeColor="text1"/>
                <w:sz w:val="17"/>
                <w:szCs w:val="17"/>
                <w:lang w:val="en-US"/>
              </w:rPr>
              <w:t>4</w:t>
            </w:r>
            <w:r w:rsidR="004A2650" w:rsidRPr="00F569AE">
              <w:rPr>
                <w:rFonts w:ascii="Calibri" w:eastAsia="Calibri" w:hAnsi="Calibri" w:cs="Calibri"/>
                <w:color w:val="000000" w:themeColor="text1"/>
                <w:sz w:val="17"/>
                <w:szCs w:val="17"/>
                <w:lang w:val="en-US"/>
              </w:rPr>
              <w:t>)</w:t>
            </w:r>
          </w:p>
        </w:tc>
        <w:tc>
          <w:tcPr>
            <w:tcW w:w="850" w:type="dxa"/>
            <w:shd w:val="clear" w:color="auto" w:fill="D9F2D0" w:themeFill="accent6" w:themeFillTint="33"/>
          </w:tcPr>
          <w:p w14:paraId="151C35C5" w14:textId="64B7407E" w:rsidR="008A2B38" w:rsidRPr="00F569AE" w:rsidRDefault="00AC285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20</w:t>
            </w:r>
            <w:r w:rsidR="004A2650" w:rsidRPr="00F569AE">
              <w:rPr>
                <w:rFonts w:ascii="Calibri" w:eastAsia="Calibri" w:hAnsi="Calibri" w:cs="Calibri"/>
                <w:color w:val="000000" w:themeColor="text1"/>
                <w:sz w:val="17"/>
                <w:szCs w:val="17"/>
                <w:lang w:val="en-US"/>
              </w:rPr>
              <w:t xml:space="preserve"> (M- / F-)</w:t>
            </w:r>
          </w:p>
        </w:tc>
        <w:tc>
          <w:tcPr>
            <w:tcW w:w="992" w:type="dxa"/>
          </w:tcPr>
          <w:p w14:paraId="76477372" w14:textId="3C269E25"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9</w:t>
            </w:r>
            <w:r w:rsidR="004A2650" w:rsidRPr="00F569AE">
              <w:rPr>
                <w:rFonts w:ascii="Calibri" w:eastAsia="Calibri" w:hAnsi="Calibri" w:cs="Calibri"/>
                <w:color w:val="000000" w:themeColor="text1"/>
                <w:sz w:val="17"/>
                <w:szCs w:val="17"/>
                <w:lang w:val="en-US"/>
              </w:rPr>
              <w:t xml:space="preserve"> (M- </w:t>
            </w:r>
            <w:r w:rsidR="00753650" w:rsidRPr="00F569AE">
              <w:rPr>
                <w:rFonts w:ascii="Calibri" w:eastAsia="Calibri" w:hAnsi="Calibri" w:cs="Calibri"/>
                <w:color w:val="000000" w:themeColor="text1"/>
                <w:sz w:val="17"/>
                <w:szCs w:val="17"/>
                <w:lang w:val="en-US"/>
              </w:rPr>
              <w:t>8</w:t>
            </w:r>
            <w:r w:rsidR="004A2650" w:rsidRPr="00F569AE">
              <w:rPr>
                <w:rFonts w:ascii="Calibri" w:eastAsia="Calibri" w:hAnsi="Calibri" w:cs="Calibri"/>
                <w:color w:val="000000" w:themeColor="text1"/>
                <w:sz w:val="17"/>
                <w:szCs w:val="17"/>
                <w:lang w:val="en-US"/>
              </w:rPr>
              <w:t>/ F-</w:t>
            </w:r>
            <w:r w:rsidR="00753650" w:rsidRPr="00F569AE">
              <w:rPr>
                <w:rFonts w:ascii="Calibri" w:eastAsia="Calibri" w:hAnsi="Calibri" w:cs="Calibri"/>
                <w:color w:val="000000" w:themeColor="text1"/>
                <w:sz w:val="17"/>
                <w:szCs w:val="17"/>
                <w:lang w:val="en-US"/>
              </w:rPr>
              <w:t>1</w:t>
            </w:r>
            <w:r w:rsidR="004A2650" w:rsidRPr="00F569AE">
              <w:rPr>
                <w:rFonts w:ascii="Calibri" w:eastAsia="Calibri" w:hAnsi="Calibri" w:cs="Calibri"/>
                <w:color w:val="000000" w:themeColor="text1"/>
                <w:sz w:val="17"/>
                <w:szCs w:val="17"/>
                <w:lang w:val="en-US"/>
              </w:rPr>
              <w:t>)</w:t>
            </w:r>
          </w:p>
        </w:tc>
        <w:tc>
          <w:tcPr>
            <w:tcW w:w="1134" w:type="dxa"/>
          </w:tcPr>
          <w:p w14:paraId="2E24D50D" w14:textId="4BDBCDE5" w:rsidR="008A2B38" w:rsidRPr="00F569AE" w:rsidRDefault="008A2B38"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2</w:t>
            </w:r>
            <w:r w:rsidR="004A2650" w:rsidRPr="00F569AE">
              <w:rPr>
                <w:rFonts w:ascii="Calibri" w:eastAsia="Calibri" w:hAnsi="Calibri" w:cs="Calibri"/>
                <w:color w:val="000000" w:themeColor="text1"/>
                <w:sz w:val="17"/>
                <w:szCs w:val="17"/>
                <w:lang w:val="en-US"/>
              </w:rPr>
              <w:t xml:space="preserve"> (M- </w:t>
            </w:r>
            <w:r w:rsidR="00753650" w:rsidRPr="00F569AE">
              <w:rPr>
                <w:rFonts w:ascii="Calibri" w:eastAsia="Calibri" w:hAnsi="Calibri" w:cs="Calibri"/>
                <w:color w:val="000000" w:themeColor="text1"/>
                <w:sz w:val="17"/>
                <w:szCs w:val="17"/>
                <w:lang w:val="en-US"/>
              </w:rPr>
              <w:t>2</w:t>
            </w:r>
            <w:r w:rsidR="004A2650" w:rsidRPr="00F569AE">
              <w:rPr>
                <w:rFonts w:ascii="Calibri" w:eastAsia="Calibri" w:hAnsi="Calibri" w:cs="Calibri"/>
                <w:color w:val="000000" w:themeColor="text1"/>
                <w:sz w:val="17"/>
                <w:szCs w:val="17"/>
                <w:lang w:val="en-US"/>
              </w:rPr>
              <w:t>/ F-</w:t>
            </w:r>
            <w:r w:rsidR="00753650" w:rsidRPr="00F569AE">
              <w:rPr>
                <w:rFonts w:ascii="Calibri" w:eastAsia="Calibri" w:hAnsi="Calibri" w:cs="Calibri"/>
                <w:color w:val="000000" w:themeColor="text1"/>
                <w:sz w:val="17"/>
                <w:szCs w:val="17"/>
                <w:lang w:val="en-US"/>
              </w:rPr>
              <w:t>0</w:t>
            </w:r>
            <w:r w:rsidR="004A2650" w:rsidRPr="00F569AE">
              <w:rPr>
                <w:rFonts w:ascii="Calibri" w:eastAsia="Calibri" w:hAnsi="Calibri" w:cs="Calibri"/>
                <w:color w:val="000000" w:themeColor="text1"/>
                <w:sz w:val="17"/>
                <w:szCs w:val="17"/>
                <w:lang w:val="en-US"/>
              </w:rPr>
              <w:t>)</w:t>
            </w:r>
          </w:p>
        </w:tc>
        <w:tc>
          <w:tcPr>
            <w:tcW w:w="993" w:type="dxa"/>
            <w:shd w:val="clear" w:color="auto" w:fill="D9F2D0" w:themeFill="accent6" w:themeFillTint="33"/>
          </w:tcPr>
          <w:p w14:paraId="560E1822" w14:textId="34B55D61" w:rsidR="008A2B38" w:rsidRPr="00F569AE" w:rsidRDefault="00C80C51" w:rsidP="00194466">
            <w:pPr>
              <w:spacing w:line="276" w:lineRule="auto"/>
              <w:rPr>
                <w:rFonts w:ascii="Calibri" w:eastAsia="Calibri" w:hAnsi="Calibri" w:cs="Calibri"/>
                <w:color w:val="000000" w:themeColor="text1"/>
                <w:sz w:val="17"/>
                <w:szCs w:val="17"/>
                <w:lang w:val="en-US"/>
              </w:rPr>
            </w:pPr>
            <w:r w:rsidRPr="00F569AE">
              <w:rPr>
                <w:rFonts w:ascii="Calibri" w:eastAsia="Calibri" w:hAnsi="Calibri" w:cs="Calibri"/>
                <w:color w:val="000000" w:themeColor="text1"/>
                <w:sz w:val="17"/>
                <w:szCs w:val="17"/>
                <w:lang w:val="en-US"/>
              </w:rPr>
              <w:t>2</w:t>
            </w:r>
            <w:r w:rsidR="004A2650" w:rsidRPr="00F569AE">
              <w:rPr>
                <w:rFonts w:ascii="Calibri" w:eastAsia="Calibri" w:hAnsi="Calibri" w:cs="Calibri"/>
                <w:color w:val="000000" w:themeColor="text1"/>
                <w:sz w:val="17"/>
                <w:szCs w:val="17"/>
                <w:lang w:val="en-US"/>
              </w:rPr>
              <w:t xml:space="preserve"> (M- </w:t>
            </w:r>
            <w:r w:rsidR="00753650" w:rsidRPr="00F569AE">
              <w:rPr>
                <w:rFonts w:ascii="Calibri" w:eastAsia="Calibri" w:hAnsi="Calibri" w:cs="Calibri"/>
                <w:color w:val="000000" w:themeColor="text1"/>
                <w:sz w:val="17"/>
                <w:szCs w:val="17"/>
                <w:lang w:val="en-US"/>
              </w:rPr>
              <w:t>0</w:t>
            </w:r>
            <w:r w:rsidR="004A2650" w:rsidRPr="00F569AE">
              <w:rPr>
                <w:rFonts w:ascii="Calibri" w:eastAsia="Calibri" w:hAnsi="Calibri" w:cs="Calibri"/>
                <w:color w:val="000000" w:themeColor="text1"/>
                <w:sz w:val="17"/>
                <w:szCs w:val="17"/>
                <w:lang w:val="en-US"/>
              </w:rPr>
              <w:t>/ F-</w:t>
            </w:r>
            <w:r w:rsidR="00753650" w:rsidRPr="00F569AE">
              <w:rPr>
                <w:rFonts w:ascii="Calibri" w:eastAsia="Calibri" w:hAnsi="Calibri" w:cs="Calibri"/>
                <w:color w:val="000000" w:themeColor="text1"/>
                <w:sz w:val="17"/>
                <w:szCs w:val="17"/>
                <w:lang w:val="en-US"/>
              </w:rPr>
              <w:t>2</w:t>
            </w:r>
            <w:r w:rsidR="004A2650" w:rsidRPr="00F569AE">
              <w:rPr>
                <w:rFonts w:ascii="Calibri" w:eastAsia="Calibri" w:hAnsi="Calibri" w:cs="Calibri"/>
                <w:color w:val="000000" w:themeColor="text1"/>
                <w:sz w:val="17"/>
                <w:szCs w:val="17"/>
                <w:lang w:val="en-US"/>
              </w:rPr>
              <w:t>)</w:t>
            </w:r>
          </w:p>
        </w:tc>
        <w:tc>
          <w:tcPr>
            <w:tcW w:w="850" w:type="dxa"/>
          </w:tcPr>
          <w:p w14:paraId="75C0A3F8" w14:textId="2F5971B9" w:rsidR="008A2B38" w:rsidRPr="00F569AE" w:rsidRDefault="008A2B38" w:rsidP="00194466">
            <w:pPr>
              <w:spacing w:line="276" w:lineRule="auto"/>
              <w:rPr>
                <w:rFonts w:ascii="Calibri" w:eastAsia="Calibri" w:hAnsi="Calibri" w:cs="Calibri"/>
                <w:color w:val="000000"/>
                <w:sz w:val="17"/>
                <w:szCs w:val="17"/>
                <w:lang w:val="en-US"/>
              </w:rPr>
            </w:pPr>
            <w:r w:rsidRPr="00F569AE">
              <w:rPr>
                <w:rFonts w:ascii="Calibri" w:eastAsia="Calibri" w:hAnsi="Calibri" w:cs="Calibri"/>
                <w:color w:val="000000"/>
                <w:sz w:val="17"/>
                <w:szCs w:val="17"/>
                <w:lang w:val="en-US"/>
              </w:rPr>
              <w:t>5</w:t>
            </w:r>
            <w:r w:rsidR="004A2650" w:rsidRPr="00F569AE">
              <w:rPr>
                <w:rFonts w:ascii="Calibri" w:eastAsia="Calibri" w:hAnsi="Calibri" w:cs="Calibri"/>
                <w:color w:val="000000"/>
                <w:sz w:val="17"/>
                <w:szCs w:val="17"/>
                <w:lang w:val="en-US"/>
              </w:rPr>
              <w:t xml:space="preserve"> </w:t>
            </w:r>
            <w:r w:rsidR="004A2650" w:rsidRPr="00F569AE">
              <w:rPr>
                <w:rFonts w:ascii="Calibri" w:eastAsia="Calibri" w:hAnsi="Calibri" w:cs="Calibri"/>
                <w:color w:val="000000" w:themeColor="text1"/>
                <w:sz w:val="17"/>
                <w:szCs w:val="17"/>
                <w:lang w:val="en-US"/>
              </w:rPr>
              <w:t xml:space="preserve">(M- </w:t>
            </w:r>
            <w:r w:rsidR="00753650" w:rsidRPr="00F569AE">
              <w:rPr>
                <w:rFonts w:ascii="Calibri" w:eastAsia="Calibri" w:hAnsi="Calibri" w:cs="Calibri"/>
                <w:color w:val="000000" w:themeColor="text1"/>
                <w:sz w:val="17"/>
                <w:szCs w:val="17"/>
                <w:lang w:val="en-US"/>
              </w:rPr>
              <w:t>2</w:t>
            </w:r>
            <w:r w:rsidR="004A2650" w:rsidRPr="00F569AE">
              <w:rPr>
                <w:rFonts w:ascii="Calibri" w:eastAsia="Calibri" w:hAnsi="Calibri" w:cs="Calibri"/>
                <w:color w:val="000000" w:themeColor="text1"/>
                <w:sz w:val="17"/>
                <w:szCs w:val="17"/>
                <w:lang w:val="en-US"/>
              </w:rPr>
              <w:t>/ F-</w:t>
            </w:r>
            <w:r w:rsidR="00753650" w:rsidRPr="00F569AE">
              <w:rPr>
                <w:rFonts w:ascii="Calibri" w:eastAsia="Calibri" w:hAnsi="Calibri" w:cs="Calibri"/>
                <w:color w:val="000000" w:themeColor="text1"/>
                <w:sz w:val="17"/>
                <w:szCs w:val="17"/>
                <w:lang w:val="en-US"/>
              </w:rPr>
              <w:t>3</w:t>
            </w:r>
            <w:r w:rsidR="004A2650" w:rsidRPr="00F569AE">
              <w:rPr>
                <w:rFonts w:ascii="Calibri" w:eastAsia="Calibri" w:hAnsi="Calibri" w:cs="Calibri"/>
                <w:color w:val="000000" w:themeColor="text1"/>
                <w:sz w:val="17"/>
                <w:szCs w:val="17"/>
                <w:lang w:val="en-US"/>
              </w:rPr>
              <w:t>)</w:t>
            </w:r>
          </w:p>
        </w:tc>
        <w:tc>
          <w:tcPr>
            <w:tcW w:w="1134" w:type="dxa"/>
            <w:shd w:val="clear" w:color="auto" w:fill="D9F2D0" w:themeFill="accent6" w:themeFillTint="33"/>
          </w:tcPr>
          <w:p w14:paraId="1987ABC6" w14:textId="030E207E" w:rsidR="008A2B38" w:rsidRPr="00F569AE" w:rsidRDefault="008A2B38" w:rsidP="00194466">
            <w:pPr>
              <w:spacing w:line="276" w:lineRule="auto"/>
              <w:rPr>
                <w:rFonts w:ascii="Calibri" w:eastAsia="Calibri" w:hAnsi="Calibri" w:cs="Calibri"/>
                <w:color w:val="000000"/>
                <w:sz w:val="17"/>
                <w:szCs w:val="17"/>
                <w:lang w:val="en-US"/>
              </w:rPr>
            </w:pPr>
            <w:r w:rsidRPr="00F569AE">
              <w:rPr>
                <w:rFonts w:ascii="Calibri" w:eastAsia="Calibri" w:hAnsi="Calibri" w:cs="Calibri"/>
                <w:color w:val="000000"/>
                <w:sz w:val="17"/>
                <w:szCs w:val="17"/>
                <w:lang w:val="en-US"/>
              </w:rPr>
              <w:t>5</w:t>
            </w:r>
            <w:r w:rsidR="004A2650" w:rsidRPr="00F569AE">
              <w:rPr>
                <w:rFonts w:ascii="Calibri" w:eastAsia="Calibri" w:hAnsi="Calibri" w:cs="Calibri"/>
                <w:color w:val="000000"/>
                <w:sz w:val="17"/>
                <w:szCs w:val="17"/>
                <w:lang w:val="en-US"/>
              </w:rPr>
              <w:t xml:space="preserve"> </w:t>
            </w:r>
            <w:r w:rsidR="004A2650" w:rsidRPr="00F569AE">
              <w:rPr>
                <w:rFonts w:ascii="Calibri" w:eastAsia="Calibri" w:hAnsi="Calibri" w:cs="Calibri"/>
                <w:color w:val="000000" w:themeColor="text1"/>
                <w:sz w:val="17"/>
                <w:szCs w:val="17"/>
                <w:lang w:val="en-US"/>
              </w:rPr>
              <w:t xml:space="preserve">(M- </w:t>
            </w:r>
            <w:r w:rsidR="00753650" w:rsidRPr="00F569AE">
              <w:rPr>
                <w:rFonts w:ascii="Calibri" w:eastAsia="Calibri" w:hAnsi="Calibri" w:cs="Calibri"/>
                <w:color w:val="000000" w:themeColor="text1"/>
                <w:sz w:val="17"/>
                <w:szCs w:val="17"/>
                <w:lang w:val="en-US"/>
              </w:rPr>
              <w:t>4</w:t>
            </w:r>
            <w:r w:rsidR="004A2650" w:rsidRPr="00F569AE">
              <w:rPr>
                <w:rFonts w:ascii="Calibri" w:eastAsia="Calibri" w:hAnsi="Calibri" w:cs="Calibri"/>
                <w:color w:val="000000" w:themeColor="text1"/>
                <w:sz w:val="17"/>
                <w:szCs w:val="17"/>
                <w:lang w:val="en-US"/>
              </w:rPr>
              <w:t>/ F-</w:t>
            </w:r>
            <w:r w:rsidR="00753650" w:rsidRPr="00F569AE">
              <w:rPr>
                <w:rFonts w:ascii="Calibri" w:eastAsia="Calibri" w:hAnsi="Calibri" w:cs="Calibri"/>
                <w:color w:val="000000" w:themeColor="text1"/>
                <w:sz w:val="17"/>
                <w:szCs w:val="17"/>
                <w:lang w:val="en-US"/>
              </w:rPr>
              <w:t>1</w:t>
            </w:r>
            <w:r w:rsidR="004A2650" w:rsidRPr="00F569AE">
              <w:rPr>
                <w:rFonts w:ascii="Calibri" w:eastAsia="Calibri" w:hAnsi="Calibri" w:cs="Calibri"/>
                <w:color w:val="000000" w:themeColor="text1"/>
                <w:sz w:val="17"/>
                <w:szCs w:val="17"/>
                <w:lang w:val="en-US"/>
              </w:rPr>
              <w:t>)</w:t>
            </w:r>
          </w:p>
        </w:tc>
      </w:tr>
    </w:tbl>
    <w:p w14:paraId="5DEC4711" w14:textId="77777777" w:rsidR="0037040E" w:rsidRPr="00175C16" w:rsidRDefault="0037040E" w:rsidP="00477E6B">
      <w:pPr>
        <w:rPr>
          <w:rFonts w:ascii="Calibri" w:hAnsi="Calibri" w:cs="Calibri"/>
          <w:b/>
          <w:i/>
          <w:sz w:val="20"/>
          <w:szCs w:val="20"/>
          <w:lang w:val="en-US"/>
        </w:rPr>
      </w:pPr>
    </w:p>
    <w:p w14:paraId="5F98FA1B" w14:textId="348498F2" w:rsidR="00EB6C7A" w:rsidRPr="00175C16" w:rsidRDefault="00EB6C7A" w:rsidP="00477E6B">
      <w:pPr>
        <w:rPr>
          <w:rFonts w:ascii="Calibri" w:hAnsi="Calibri" w:cs="Calibri"/>
          <w:sz w:val="20"/>
          <w:szCs w:val="20"/>
          <w:lang w:val="en-US"/>
        </w:rPr>
      </w:pPr>
      <w:r w:rsidRPr="00175C16">
        <w:rPr>
          <w:rFonts w:ascii="Calibri" w:hAnsi="Calibri" w:cs="Calibri"/>
          <w:b/>
          <w:i/>
          <w:sz w:val="20"/>
          <w:szCs w:val="20"/>
          <w:lang w:val="en-US"/>
        </w:rPr>
        <w:t>Legends:</w:t>
      </w:r>
      <w:r w:rsidRPr="00175C16">
        <w:rPr>
          <w:rFonts w:ascii="Calibri" w:hAnsi="Calibri" w:cs="Calibri"/>
          <w:sz w:val="20"/>
          <w:szCs w:val="20"/>
          <w:lang w:val="en-US"/>
        </w:rPr>
        <w:t xml:space="preserve"> the color code indicates that in that category of stakeholders, the evaluation exceeded the number of expected interviews.</w:t>
      </w:r>
    </w:p>
    <w:p w14:paraId="30C5ACEB" w14:textId="42F930AE" w:rsidR="00AC25F5" w:rsidRPr="00F569AE" w:rsidRDefault="00EB6C7A" w:rsidP="0037040E">
      <w:pPr>
        <w:rPr>
          <w:lang w:val="en-US"/>
        </w:rPr>
      </w:pPr>
      <w:r w:rsidRPr="00175C16">
        <w:rPr>
          <w:noProof/>
          <w:lang w:val="en-US"/>
        </w:rPr>
        <mc:AlternateContent>
          <mc:Choice Requires="wps">
            <w:drawing>
              <wp:anchor distT="0" distB="0" distL="114300" distR="114300" simplePos="0" relativeHeight="251658240" behindDoc="0" locked="0" layoutInCell="1" allowOverlap="1" wp14:anchorId="70F7BE8E" wp14:editId="0F4CCEEC">
                <wp:simplePos x="0" y="0"/>
                <wp:positionH relativeFrom="column">
                  <wp:posOffset>7620</wp:posOffset>
                </wp:positionH>
                <wp:positionV relativeFrom="paragraph">
                  <wp:posOffset>47807</wp:posOffset>
                </wp:positionV>
                <wp:extent cx="742950" cy="146957"/>
                <wp:effectExtent l="0" t="0" r="19050" b="18415"/>
                <wp:wrapNone/>
                <wp:docPr id="1637016861" name="Rounded Rectangle 2"/>
                <wp:cNvGraphicFramePr/>
                <a:graphic xmlns:a="http://schemas.openxmlformats.org/drawingml/2006/main">
                  <a:graphicData uri="http://schemas.microsoft.com/office/word/2010/wordprocessingShape">
                    <wps:wsp>
                      <wps:cNvSpPr/>
                      <wps:spPr>
                        <a:xfrm>
                          <a:off x="0" y="0"/>
                          <a:ext cx="742950" cy="146957"/>
                        </a:xfrm>
                        <a:prstGeom prst="round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B5F1220" id="Rounded Rectangle 2" o:spid="_x0000_s1026" style="position:absolute;margin-left:.6pt;margin-top:3.75pt;width:58.5pt;height:11.5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" fillcolor="#d9f2d0 [665]" strokecolor="#030e13 [484]" strokeweight="1pt">
                <v:stroke joinstyle="miter"/>
              </v:roundrect>
            </w:pict>
          </mc:Fallback>
        </mc:AlternateContent>
      </w:r>
    </w:p>
    <w:p w14:paraId="1A1FC7AE" w14:textId="77777777" w:rsidR="0037040E" w:rsidRPr="00175C16" w:rsidRDefault="0037040E" w:rsidP="0037040E">
      <w:pPr>
        <w:rPr>
          <w:lang w:val="en-US"/>
        </w:rPr>
      </w:pPr>
    </w:p>
    <w:p w14:paraId="43DE183C" w14:textId="77777777" w:rsidR="00175C16" w:rsidRPr="00175C16" w:rsidRDefault="00175C16" w:rsidP="00175C16">
      <w:pPr>
        <w:spacing w:line="276" w:lineRule="auto"/>
        <w:jc w:val="both"/>
        <w:rPr>
          <w:rFonts w:ascii="Calibri" w:eastAsia="Calibri" w:hAnsi="Calibri" w:cs="Calibri"/>
          <w:color w:val="000000"/>
          <w:highlight w:val="white"/>
          <w:lang w:val="en-US"/>
        </w:rPr>
      </w:pPr>
      <w:r w:rsidRPr="00F569AE">
        <w:rPr>
          <w:rFonts w:ascii="Calibri" w:eastAsia="Calibri" w:hAnsi="Calibri" w:cs="Calibri"/>
          <w:color w:val="000000"/>
          <w:lang w:val="en-US"/>
        </w:rPr>
        <w:t xml:space="preserve">The evaluation </w:t>
      </w:r>
      <w:r>
        <w:rPr>
          <w:rFonts w:ascii="Calibri" w:eastAsia="Calibri" w:hAnsi="Calibri" w:cs="Calibri"/>
          <w:color w:val="000000"/>
          <w:lang w:val="en-US"/>
        </w:rPr>
        <w:t>was</w:t>
      </w:r>
      <w:r w:rsidRPr="00F569AE">
        <w:rPr>
          <w:rFonts w:ascii="Calibri" w:eastAsia="Calibri" w:hAnsi="Calibri" w:cs="Calibri"/>
          <w:color w:val="000000"/>
          <w:lang w:val="en-US"/>
        </w:rPr>
        <w:t xml:space="preserve"> conducted in a gender and culturally sensitive ma</w:t>
      </w:r>
      <w:r w:rsidRPr="00F569AE">
        <w:rPr>
          <w:rFonts w:ascii="Calibri" w:eastAsia="Calibri" w:hAnsi="Calibri" w:cs="Calibri"/>
          <w:color w:val="000000"/>
          <w:highlight w:val="white"/>
          <w:lang w:val="en-US"/>
        </w:rPr>
        <w:t>nner and with due respect to human rights (HR), disability inclusion, and gender equality (GE) principles</w:t>
      </w:r>
      <w:r w:rsidRPr="00F569AE">
        <w:rPr>
          <w:rFonts w:ascii="Calibri" w:eastAsia="Calibri" w:hAnsi="Calibri" w:cs="Calibri"/>
          <w:highlight w:val="white"/>
          <w:lang w:val="en-US"/>
        </w:rPr>
        <w:t xml:space="preserve">. The gender lenses in this final evaluation </w:t>
      </w:r>
      <w:r>
        <w:rPr>
          <w:rFonts w:ascii="Calibri" w:eastAsia="Calibri" w:hAnsi="Calibri" w:cs="Calibri"/>
          <w:highlight w:val="white"/>
          <w:lang w:val="en-US"/>
        </w:rPr>
        <w:t>were</w:t>
      </w:r>
      <w:r w:rsidRPr="00F569AE">
        <w:rPr>
          <w:rFonts w:ascii="Calibri" w:eastAsia="Calibri" w:hAnsi="Calibri" w:cs="Calibri"/>
          <w:highlight w:val="white"/>
          <w:lang w:val="en-US"/>
        </w:rPr>
        <w:t xml:space="preserve"> </w:t>
      </w:r>
      <w:r>
        <w:rPr>
          <w:rFonts w:ascii="Calibri" w:eastAsia="Calibri" w:hAnsi="Calibri" w:cs="Calibri"/>
          <w:highlight w:val="white"/>
          <w:lang w:val="en-US"/>
        </w:rPr>
        <w:t>applied</w:t>
      </w:r>
      <w:r w:rsidRPr="00F569AE">
        <w:rPr>
          <w:rFonts w:ascii="Calibri" w:eastAsia="Calibri" w:hAnsi="Calibri" w:cs="Calibri"/>
          <w:highlight w:val="white"/>
          <w:lang w:val="en-US"/>
        </w:rPr>
        <w:t xml:space="preserve"> vis-à-vis the following:</w:t>
      </w:r>
    </w:p>
    <w:p w14:paraId="3A548E24" w14:textId="78BAD8E6" w:rsidR="00175C16" w:rsidRPr="00F569AE" w:rsidRDefault="00175C16" w:rsidP="006C530E">
      <w:pPr>
        <w:numPr>
          <w:ilvl w:val="0"/>
          <w:numId w:val="36"/>
        </w:numPr>
        <w:pBdr>
          <w:top w:val="nil"/>
          <w:left w:val="nil"/>
          <w:bottom w:val="nil"/>
          <w:right w:val="nil"/>
          <w:between w:val="nil"/>
        </w:pBdr>
        <w:spacing w:line="276" w:lineRule="auto"/>
        <w:jc w:val="both"/>
        <w:rPr>
          <w:rFonts w:ascii="Calibri" w:eastAsia="Calibri" w:hAnsi="Calibri" w:cs="Calibri"/>
          <w:color w:val="000000"/>
          <w:highlight w:val="white"/>
          <w:lang w:val="en-US"/>
        </w:rPr>
      </w:pPr>
      <w:r w:rsidRPr="00F569AE">
        <w:rPr>
          <w:rFonts w:ascii="Calibri" w:eastAsia="Calibri" w:hAnsi="Calibri" w:cs="Calibri"/>
          <w:i/>
          <w:color w:val="000000" w:themeColor="text1"/>
          <w:highlight w:val="white"/>
          <w:lang w:val="en-US"/>
        </w:rPr>
        <w:t>How results are analyze</w:t>
      </w:r>
      <w:r>
        <w:rPr>
          <w:rFonts w:ascii="Calibri" w:eastAsia="Calibri" w:hAnsi="Calibri" w:cs="Calibri"/>
          <w:i/>
          <w:color w:val="000000" w:themeColor="text1"/>
          <w:highlight w:val="white"/>
          <w:lang w:val="en-US"/>
        </w:rPr>
        <w:t>,</w:t>
      </w:r>
      <w:r w:rsidRPr="00F569AE">
        <w:rPr>
          <w:rFonts w:ascii="Calibri" w:eastAsia="Calibri" w:hAnsi="Calibri" w:cs="Calibri"/>
          <w:color w:val="000000" w:themeColor="text1"/>
          <w:highlight w:val="white"/>
          <w:lang w:val="en-US"/>
        </w:rPr>
        <w:t xml:space="preserve"> e.g.  with the focus on how the crosscutting issues of human rights, disability inclusion</w:t>
      </w:r>
      <w:r w:rsidRPr="00F569AE">
        <w:rPr>
          <w:rFonts w:ascii="Calibri" w:eastAsia="Calibri" w:hAnsi="Calibri" w:cs="Calibri"/>
          <w:color w:val="000000" w:themeColor="text1"/>
          <w:lang w:val="en-US"/>
        </w:rPr>
        <w:t xml:space="preserve">, </w:t>
      </w:r>
      <w:r>
        <w:rPr>
          <w:rFonts w:ascii="Calibri" w:eastAsia="Calibri" w:hAnsi="Calibri" w:cs="Calibri"/>
          <w:color w:val="000000" w:themeColor="text1"/>
          <w:lang w:val="en-US"/>
        </w:rPr>
        <w:t xml:space="preserve">youth, </w:t>
      </w:r>
      <w:r w:rsidRPr="00F569AE">
        <w:rPr>
          <w:rFonts w:ascii="Calibri" w:eastAsia="Calibri" w:hAnsi="Calibri" w:cs="Calibri"/>
          <w:color w:val="000000" w:themeColor="text1"/>
          <w:lang w:val="en-US"/>
        </w:rPr>
        <w:t xml:space="preserve">and gender equality were addressed at the design and </w:t>
      </w:r>
      <w:r>
        <w:rPr>
          <w:rFonts w:ascii="Calibri" w:eastAsia="Calibri" w:hAnsi="Calibri" w:cs="Calibri"/>
          <w:color w:val="000000" w:themeColor="text1"/>
          <w:lang w:val="en-US"/>
        </w:rPr>
        <w:t>implementation</w:t>
      </w:r>
      <w:r w:rsidRPr="00F569AE">
        <w:rPr>
          <w:rFonts w:ascii="Calibri" w:eastAsia="Calibri" w:hAnsi="Calibri" w:cs="Calibri"/>
          <w:color w:val="000000" w:themeColor="text1"/>
          <w:lang w:val="en-US"/>
        </w:rPr>
        <w:t xml:space="preserve"> of the MEG/EU4MEG project;</w:t>
      </w:r>
      <w:r>
        <w:rPr>
          <w:rFonts w:ascii="Calibri" w:eastAsia="Calibri" w:hAnsi="Calibri" w:cs="Calibri"/>
          <w:color w:val="000000" w:themeColor="text1"/>
          <w:lang w:val="en-US"/>
        </w:rPr>
        <w:t xml:space="preserve"> and</w:t>
      </w:r>
    </w:p>
    <w:p w14:paraId="58DDCB7A" w14:textId="77777777" w:rsidR="00175C16" w:rsidRPr="00F569AE" w:rsidRDefault="00175C16" w:rsidP="006C530E">
      <w:pPr>
        <w:numPr>
          <w:ilvl w:val="0"/>
          <w:numId w:val="36"/>
        </w:numPr>
        <w:pBdr>
          <w:top w:val="nil"/>
          <w:left w:val="nil"/>
          <w:bottom w:val="nil"/>
          <w:right w:val="nil"/>
          <w:between w:val="nil"/>
        </w:pBdr>
        <w:spacing w:line="276" w:lineRule="auto"/>
        <w:jc w:val="both"/>
        <w:rPr>
          <w:rFonts w:ascii="Calibri" w:eastAsia="Calibri" w:hAnsi="Calibri" w:cs="Calibri"/>
          <w:color w:val="000000"/>
          <w:highlight w:val="white"/>
          <w:lang w:val="en-US"/>
        </w:rPr>
      </w:pPr>
      <w:r w:rsidRPr="00F569AE">
        <w:rPr>
          <w:rFonts w:ascii="Calibri" w:eastAsia="Calibri" w:hAnsi="Calibri" w:cs="Calibri"/>
          <w:i/>
          <w:color w:val="000000" w:themeColor="text1"/>
          <w:highlight w:val="white"/>
          <w:lang w:val="en-US"/>
        </w:rPr>
        <w:t xml:space="preserve">How the evaluation process </w:t>
      </w:r>
      <w:r>
        <w:rPr>
          <w:rFonts w:ascii="Calibri" w:eastAsia="Calibri" w:hAnsi="Calibri" w:cs="Calibri"/>
          <w:i/>
          <w:color w:val="000000" w:themeColor="text1"/>
          <w:highlight w:val="white"/>
          <w:lang w:val="en-US"/>
        </w:rPr>
        <w:t>was</w:t>
      </w:r>
      <w:r w:rsidRPr="00F569AE">
        <w:rPr>
          <w:rFonts w:ascii="Calibri" w:eastAsia="Calibri" w:hAnsi="Calibri" w:cs="Calibri"/>
          <w:i/>
          <w:color w:val="000000" w:themeColor="text1"/>
          <w:highlight w:val="white"/>
          <w:lang w:val="en-US"/>
        </w:rPr>
        <w:t xml:space="preserve"> approached</w:t>
      </w:r>
      <w:r w:rsidRPr="00F569AE">
        <w:rPr>
          <w:rFonts w:ascii="Calibri" w:eastAsia="Calibri" w:hAnsi="Calibri" w:cs="Calibri"/>
          <w:color w:val="000000" w:themeColor="text1"/>
          <w:highlight w:val="white"/>
          <w:lang w:val="en-US"/>
        </w:rPr>
        <w:t>, e.g. to ensure adequate representation of men and women in all stages of the evaluation.</w:t>
      </w:r>
    </w:p>
    <w:p w14:paraId="61147616" w14:textId="77777777" w:rsidR="0037040E" w:rsidRDefault="0037040E" w:rsidP="0037040E">
      <w:pPr>
        <w:rPr>
          <w:lang w:val="en-US"/>
        </w:rPr>
      </w:pPr>
    </w:p>
    <w:p w14:paraId="3960D0C7" w14:textId="77777777" w:rsidR="00722268" w:rsidRDefault="00722268" w:rsidP="0037040E">
      <w:pPr>
        <w:rPr>
          <w:lang w:val="en-US"/>
        </w:rPr>
      </w:pPr>
    </w:p>
    <w:p w14:paraId="5F4ABB2D" w14:textId="77777777" w:rsidR="00722268" w:rsidRPr="00175C16" w:rsidRDefault="00722268" w:rsidP="0037040E">
      <w:pPr>
        <w:rPr>
          <w:lang w:val="en-US"/>
        </w:rPr>
      </w:pPr>
    </w:p>
    <w:p w14:paraId="4B100FDC" w14:textId="1E6EC246" w:rsidR="007055B5" w:rsidRPr="00F569AE" w:rsidRDefault="00A0025F" w:rsidP="0033780B">
      <w:pPr>
        <w:pStyle w:val="Heading1"/>
        <w:numPr>
          <w:ilvl w:val="0"/>
          <w:numId w:val="1"/>
        </w:numPr>
        <w:rPr>
          <w:rFonts w:ascii="Calibri" w:hAnsi="Calibri" w:cs="Calibri"/>
        </w:rPr>
      </w:pPr>
      <w:bookmarkStart w:id="201" w:name="_Toc210058530"/>
      <w:r w:rsidRPr="00F569AE">
        <w:rPr>
          <w:rFonts w:ascii="Calibri" w:hAnsi="Calibri" w:cs="Calibri"/>
        </w:rPr>
        <w:t>DATA ANALYSIS</w:t>
      </w:r>
      <w:bookmarkEnd w:id="201"/>
    </w:p>
    <w:p w14:paraId="25CF0538" w14:textId="218D33B5" w:rsidR="00FB4FB4" w:rsidRPr="00F569AE" w:rsidRDefault="00E77F99" w:rsidP="00E07A67">
      <w:pPr>
        <w:spacing w:line="276" w:lineRule="auto"/>
        <w:jc w:val="both"/>
        <w:rPr>
          <w:rFonts w:ascii="Calibri" w:eastAsiaTheme="majorEastAsia" w:hAnsi="Calibri" w:cs="Calibri"/>
          <w:color w:val="000000" w:themeColor="text1"/>
          <w:lang w:val="en-US"/>
        </w:rPr>
      </w:pPr>
      <w:r w:rsidRPr="00F569AE">
        <w:rPr>
          <w:rFonts w:ascii="Calibri" w:eastAsiaTheme="majorEastAsia" w:hAnsi="Calibri" w:cs="Calibri"/>
          <w:color w:val="000000" w:themeColor="text1"/>
          <w:lang w:val="en-US"/>
        </w:rPr>
        <w:t>Acknowledging</w:t>
      </w:r>
      <w:r w:rsidR="004735FA" w:rsidRPr="00F569AE">
        <w:rPr>
          <w:rFonts w:ascii="Calibri" w:eastAsiaTheme="majorEastAsia" w:hAnsi="Calibri" w:cs="Calibri"/>
          <w:color w:val="000000" w:themeColor="text1"/>
          <w:lang w:val="en-US"/>
        </w:rPr>
        <w:t xml:space="preserve"> </w:t>
      </w:r>
      <w:r w:rsidR="0007186F" w:rsidRPr="00F569AE">
        <w:rPr>
          <w:rFonts w:ascii="Calibri" w:eastAsiaTheme="majorEastAsia" w:hAnsi="Calibri" w:cs="Calibri"/>
          <w:color w:val="000000" w:themeColor="text1"/>
          <w:lang w:val="en-US"/>
        </w:rPr>
        <w:t xml:space="preserve">the </w:t>
      </w:r>
      <w:r w:rsidR="004735FA" w:rsidRPr="00F569AE">
        <w:rPr>
          <w:rFonts w:ascii="Calibri" w:eastAsiaTheme="majorEastAsia" w:hAnsi="Calibri" w:cs="Calibri"/>
          <w:color w:val="000000" w:themeColor="text1"/>
          <w:lang w:val="en-US"/>
        </w:rPr>
        <w:t xml:space="preserve">highly complex nature of the project, the evaluation team </w:t>
      </w:r>
      <w:r w:rsidR="00B235A1" w:rsidRPr="00F569AE">
        <w:rPr>
          <w:rFonts w:ascii="Calibri" w:eastAsiaTheme="majorEastAsia" w:hAnsi="Calibri" w:cs="Calibri"/>
          <w:color w:val="000000" w:themeColor="text1"/>
          <w:lang w:val="en-US"/>
        </w:rPr>
        <w:t>carried out</w:t>
      </w:r>
      <w:r w:rsidR="004735FA" w:rsidRPr="00F569AE">
        <w:rPr>
          <w:rFonts w:ascii="Calibri" w:eastAsiaTheme="majorEastAsia" w:hAnsi="Calibri" w:cs="Calibri"/>
          <w:color w:val="000000" w:themeColor="text1"/>
          <w:lang w:val="en-US"/>
        </w:rPr>
        <w:t xml:space="preserve"> robust </w:t>
      </w:r>
      <w:r w:rsidR="004735FA" w:rsidRPr="00F569AE">
        <w:rPr>
          <w:rFonts w:ascii="Calibri" w:eastAsiaTheme="majorEastAsia" w:hAnsi="Calibri" w:cs="Calibri"/>
          <w:b/>
          <w:i/>
          <w:color w:val="000000" w:themeColor="text1"/>
          <w:lang w:val="en-US"/>
        </w:rPr>
        <w:t>da</w:t>
      </w:r>
      <w:r w:rsidR="00186DB9" w:rsidRPr="00F569AE">
        <w:rPr>
          <w:rFonts w:ascii="Calibri" w:eastAsiaTheme="majorEastAsia" w:hAnsi="Calibri" w:cs="Calibri"/>
          <w:b/>
          <w:i/>
          <w:color w:val="000000" w:themeColor="text1"/>
          <w:lang w:val="en-US"/>
        </w:rPr>
        <w:t>t</w:t>
      </w:r>
      <w:r w:rsidR="004735FA" w:rsidRPr="00F569AE">
        <w:rPr>
          <w:rFonts w:ascii="Calibri" w:eastAsiaTheme="majorEastAsia" w:hAnsi="Calibri" w:cs="Calibri"/>
          <w:b/>
          <w:i/>
          <w:color w:val="000000" w:themeColor="text1"/>
          <w:lang w:val="en-US"/>
        </w:rPr>
        <w:t>a analysis</w:t>
      </w:r>
      <w:r w:rsidR="004735FA" w:rsidRPr="00F569AE">
        <w:rPr>
          <w:rFonts w:ascii="Calibri" w:eastAsiaTheme="majorEastAsia" w:hAnsi="Calibri" w:cs="Calibri"/>
          <w:color w:val="000000" w:themeColor="text1"/>
          <w:lang w:val="en-US"/>
        </w:rPr>
        <w:t xml:space="preserve"> through three distinct perspectives.</w:t>
      </w:r>
    </w:p>
    <w:p w14:paraId="5CA6134E" w14:textId="5B0C5A2C" w:rsidR="004735FA" w:rsidRPr="00F569AE" w:rsidRDefault="00FB4FB4" w:rsidP="00E07A67">
      <w:pPr>
        <w:spacing w:line="276" w:lineRule="auto"/>
        <w:jc w:val="both"/>
        <w:rPr>
          <w:rFonts w:ascii="Calibri" w:eastAsiaTheme="majorEastAsia" w:hAnsi="Calibri" w:cs="Calibri"/>
          <w:color w:val="000000" w:themeColor="text1"/>
          <w:lang w:val="en-US"/>
        </w:rPr>
      </w:pPr>
      <w:r w:rsidRPr="00F569AE">
        <w:rPr>
          <w:rFonts w:ascii="Calibri" w:eastAsiaTheme="majorEastAsia" w:hAnsi="Calibri" w:cs="Calibri"/>
          <w:i/>
          <w:color w:val="215E99" w:themeColor="text2" w:themeTint="BF"/>
          <w:lang w:val="en-US"/>
        </w:rPr>
        <w:t xml:space="preserve">(i) </w:t>
      </w:r>
      <w:r w:rsidR="004735FA" w:rsidRPr="00F569AE">
        <w:rPr>
          <w:rFonts w:ascii="Calibri" w:eastAsiaTheme="majorEastAsia" w:hAnsi="Calibri" w:cs="Calibri"/>
          <w:i/>
          <w:color w:val="215E99" w:themeColor="text2" w:themeTint="BF"/>
          <w:lang w:val="en-US"/>
        </w:rPr>
        <w:t>Progress analysis:</w:t>
      </w:r>
      <w:r w:rsidR="004735FA" w:rsidRPr="00F569AE">
        <w:rPr>
          <w:rFonts w:ascii="Calibri" w:eastAsiaTheme="majorEastAsia" w:hAnsi="Calibri" w:cs="Calibri"/>
          <w:color w:val="215E99" w:themeColor="text2" w:themeTint="BF"/>
          <w:lang w:val="en-US"/>
        </w:rPr>
        <w:t xml:space="preserve"> </w:t>
      </w:r>
      <w:r w:rsidR="004735FA" w:rsidRPr="00F569AE">
        <w:rPr>
          <w:rFonts w:ascii="Calibri" w:eastAsiaTheme="majorEastAsia" w:hAnsi="Calibri" w:cs="Calibri"/>
          <w:color w:val="000000" w:themeColor="text1"/>
          <w:lang w:val="en-US"/>
        </w:rPr>
        <w:t xml:space="preserve">The focus was </w:t>
      </w:r>
      <w:r w:rsidR="009B04DC">
        <w:rPr>
          <w:rFonts w:ascii="Calibri" w:eastAsiaTheme="majorEastAsia" w:hAnsi="Calibri" w:cs="Calibri"/>
          <w:color w:val="000000" w:themeColor="text1"/>
          <w:lang w:val="en-US"/>
        </w:rPr>
        <w:t>on</w:t>
      </w:r>
      <w:r w:rsidR="004735FA" w:rsidRPr="00F569AE">
        <w:rPr>
          <w:rFonts w:ascii="Calibri" w:eastAsiaTheme="majorEastAsia" w:hAnsi="Calibri" w:cs="Calibri"/>
          <w:color w:val="000000" w:themeColor="text1"/>
          <w:lang w:val="en-US"/>
        </w:rPr>
        <w:t xml:space="preserve"> the project progress vis-a-vis its results framework and the </w:t>
      </w:r>
      <w:r w:rsidR="00E77F99" w:rsidRPr="00F569AE">
        <w:rPr>
          <w:rFonts w:ascii="Calibri" w:eastAsiaTheme="majorEastAsia" w:hAnsi="Calibri" w:cs="Calibri"/>
          <w:color w:val="000000" w:themeColor="text1"/>
          <w:lang w:val="en-US"/>
        </w:rPr>
        <w:t>targets</w:t>
      </w:r>
      <w:r w:rsidR="004735FA" w:rsidRPr="00F569AE">
        <w:rPr>
          <w:rFonts w:ascii="Calibri" w:eastAsiaTheme="majorEastAsia" w:hAnsi="Calibri" w:cs="Calibri"/>
          <w:color w:val="000000" w:themeColor="text1"/>
          <w:lang w:val="en-US"/>
        </w:rPr>
        <w:t xml:space="preserve"> committed through a range of the project indicators. This analysis contributed to the effectiveness analysis of the project, while providing </w:t>
      </w:r>
      <w:r w:rsidR="00E77F99" w:rsidRPr="00F569AE">
        <w:rPr>
          <w:rFonts w:ascii="Calibri" w:eastAsiaTheme="majorEastAsia" w:hAnsi="Calibri" w:cs="Calibri"/>
          <w:color w:val="000000" w:themeColor="text1"/>
          <w:lang w:val="en-US"/>
        </w:rPr>
        <w:t xml:space="preserve">merely </w:t>
      </w:r>
      <w:r w:rsidR="004735FA" w:rsidRPr="00F569AE">
        <w:rPr>
          <w:rFonts w:ascii="Calibri" w:eastAsiaTheme="majorEastAsia" w:hAnsi="Calibri" w:cs="Calibri"/>
          <w:color w:val="000000" w:themeColor="text1"/>
          <w:lang w:val="en-US"/>
        </w:rPr>
        <w:t xml:space="preserve">factual information with no analysis of drivers or </w:t>
      </w:r>
      <w:r w:rsidR="0007186F" w:rsidRPr="00F569AE">
        <w:rPr>
          <w:rFonts w:ascii="Calibri" w:eastAsiaTheme="majorEastAsia" w:hAnsi="Calibri" w:cs="Calibri"/>
          <w:color w:val="000000" w:themeColor="text1"/>
          <w:lang w:val="en-US"/>
        </w:rPr>
        <w:t>cause-and-effect</w:t>
      </w:r>
      <w:r w:rsidR="004735FA" w:rsidRPr="00F569AE">
        <w:rPr>
          <w:rFonts w:ascii="Calibri" w:eastAsiaTheme="majorEastAsia" w:hAnsi="Calibri" w:cs="Calibri"/>
          <w:color w:val="000000" w:themeColor="text1"/>
          <w:lang w:val="en-US"/>
        </w:rPr>
        <w:t xml:space="preserve"> relationships. The detailed analysis of the results framework is provided in Annex </w:t>
      </w:r>
      <w:r w:rsidR="009E7888" w:rsidRPr="00F569AE">
        <w:rPr>
          <w:rFonts w:ascii="Calibri" w:eastAsiaTheme="majorEastAsia" w:hAnsi="Calibri" w:cs="Calibri"/>
          <w:color w:val="000000" w:themeColor="text1"/>
          <w:lang w:val="en-US"/>
        </w:rPr>
        <w:t>2</w:t>
      </w:r>
      <w:r w:rsidR="004735FA" w:rsidRPr="00F569AE">
        <w:rPr>
          <w:rFonts w:ascii="Calibri" w:eastAsiaTheme="majorEastAsia" w:hAnsi="Calibri" w:cs="Calibri"/>
          <w:color w:val="000000" w:themeColor="text1"/>
          <w:lang w:val="en-US"/>
        </w:rPr>
        <w:t>.</w:t>
      </w:r>
    </w:p>
    <w:p w14:paraId="606BB8AD" w14:textId="3C5A81B1" w:rsidR="004735FA" w:rsidRPr="00F569AE" w:rsidRDefault="00FB4FB4" w:rsidP="00E07A67">
      <w:pPr>
        <w:spacing w:line="276" w:lineRule="auto"/>
        <w:jc w:val="both"/>
        <w:rPr>
          <w:rFonts w:ascii="Calibri" w:eastAsiaTheme="majorEastAsia" w:hAnsi="Calibri" w:cs="Calibri"/>
          <w:color w:val="000000" w:themeColor="text1"/>
          <w:lang w:val="en-US"/>
        </w:rPr>
      </w:pPr>
      <w:r w:rsidRPr="00F569AE">
        <w:rPr>
          <w:rFonts w:ascii="Calibri" w:eastAsiaTheme="majorEastAsia" w:hAnsi="Calibri" w:cs="Calibri"/>
          <w:i/>
          <w:color w:val="215E99" w:themeColor="text2" w:themeTint="BF"/>
          <w:lang w:val="en-US"/>
        </w:rPr>
        <w:t xml:space="preserve">(ii) </w:t>
      </w:r>
      <w:r w:rsidR="004735FA" w:rsidRPr="00F569AE">
        <w:rPr>
          <w:rFonts w:ascii="Calibri" w:eastAsiaTheme="majorEastAsia" w:hAnsi="Calibri" w:cs="Calibri"/>
          <w:i/>
          <w:color w:val="215E99" w:themeColor="text2" w:themeTint="BF"/>
          <w:lang w:val="en-US"/>
        </w:rPr>
        <w:t>Contribution analysis:</w:t>
      </w:r>
      <w:r w:rsidR="00862676" w:rsidRPr="00F569AE">
        <w:rPr>
          <w:rStyle w:val="FootnoteReference"/>
          <w:rFonts w:ascii="Calibri" w:eastAsiaTheme="majorEastAsia" w:hAnsi="Calibri" w:cs="Calibri"/>
          <w:i/>
          <w:color w:val="215E99" w:themeColor="text2" w:themeTint="BF"/>
          <w:lang w:val="en-US"/>
        </w:rPr>
        <w:footnoteReference w:id="36"/>
      </w:r>
      <w:r w:rsidR="004735FA" w:rsidRPr="00F569AE">
        <w:rPr>
          <w:rFonts w:ascii="Calibri" w:eastAsiaTheme="majorEastAsia" w:hAnsi="Calibri" w:cs="Calibri"/>
          <w:color w:val="215E99" w:themeColor="text2" w:themeTint="BF"/>
          <w:lang w:val="en-US"/>
        </w:rPr>
        <w:t xml:space="preserve"> </w:t>
      </w:r>
      <w:r w:rsidR="004735FA" w:rsidRPr="00F569AE">
        <w:rPr>
          <w:rFonts w:ascii="Calibri" w:eastAsiaTheme="majorEastAsia" w:hAnsi="Calibri" w:cs="Calibri"/>
          <w:color w:val="000000" w:themeColor="text1"/>
          <w:lang w:val="en-US"/>
        </w:rPr>
        <w:t xml:space="preserve">The focus was </w:t>
      </w:r>
      <w:r w:rsidR="009B04DC">
        <w:rPr>
          <w:rFonts w:ascii="Calibri" w:eastAsiaTheme="majorEastAsia" w:hAnsi="Calibri" w:cs="Calibri"/>
          <w:color w:val="000000" w:themeColor="text1"/>
          <w:lang w:val="en-US"/>
        </w:rPr>
        <w:t>on</w:t>
      </w:r>
      <w:r w:rsidR="004735FA" w:rsidRPr="00F569AE">
        <w:rPr>
          <w:rFonts w:ascii="Calibri" w:eastAsiaTheme="majorEastAsia" w:hAnsi="Calibri" w:cs="Calibri"/>
          <w:color w:val="000000" w:themeColor="text1"/>
          <w:lang w:val="en-US"/>
        </w:rPr>
        <w:t xml:space="preserve"> a complex interplay of various factors contributing or hindering project performance along the evaluation criteria: relevance, coherence, effectiveness, efficiency, sustainability, and early signs of impact. The contribution analysis was guided by </w:t>
      </w:r>
      <w:r w:rsidR="009B04DC">
        <w:rPr>
          <w:rFonts w:ascii="Calibri" w:eastAsiaTheme="majorEastAsia" w:hAnsi="Calibri" w:cs="Calibri"/>
          <w:color w:val="000000" w:themeColor="text1"/>
          <w:lang w:val="en-US"/>
        </w:rPr>
        <w:t xml:space="preserve">the </w:t>
      </w:r>
      <w:r w:rsidR="004735FA" w:rsidRPr="00F569AE">
        <w:rPr>
          <w:rFonts w:ascii="Calibri" w:eastAsiaTheme="majorEastAsia" w:hAnsi="Calibri" w:cs="Calibri"/>
          <w:color w:val="000000" w:themeColor="text1"/>
          <w:lang w:val="en-US"/>
        </w:rPr>
        <w:t xml:space="preserve">evaluation questions </w:t>
      </w:r>
      <w:r w:rsidR="002F1753" w:rsidRPr="00F569AE">
        <w:rPr>
          <w:rFonts w:ascii="Calibri" w:eastAsiaTheme="majorEastAsia" w:hAnsi="Calibri" w:cs="Calibri"/>
          <w:color w:val="000000" w:themeColor="text1"/>
          <w:lang w:val="en-US"/>
        </w:rPr>
        <w:t xml:space="preserve">as defined in the evaluation matrix </w:t>
      </w:r>
      <w:r w:rsidR="004735FA" w:rsidRPr="00F569AE">
        <w:rPr>
          <w:rFonts w:ascii="Calibri" w:eastAsiaTheme="majorEastAsia" w:hAnsi="Calibri" w:cs="Calibri"/>
          <w:color w:val="000000" w:themeColor="text1"/>
          <w:lang w:val="en-US"/>
        </w:rPr>
        <w:t xml:space="preserve">and represented a combination of (i) factual </w:t>
      </w:r>
      <w:r w:rsidR="002510E9" w:rsidRPr="00F569AE">
        <w:rPr>
          <w:rFonts w:ascii="Calibri" w:eastAsiaTheme="majorEastAsia" w:hAnsi="Calibri" w:cs="Calibri"/>
          <w:color w:val="000000" w:themeColor="text1"/>
          <w:lang w:val="en-US"/>
        </w:rPr>
        <w:t xml:space="preserve">and </w:t>
      </w:r>
      <w:r w:rsidR="004735FA" w:rsidRPr="00F569AE">
        <w:rPr>
          <w:rFonts w:ascii="Calibri" w:eastAsiaTheme="majorEastAsia" w:hAnsi="Calibri" w:cs="Calibri"/>
          <w:color w:val="000000" w:themeColor="text1"/>
          <w:lang w:val="en-US"/>
        </w:rPr>
        <w:t xml:space="preserve">interpretive </w:t>
      </w:r>
      <w:r w:rsidR="00E77F99" w:rsidRPr="00F569AE">
        <w:rPr>
          <w:rFonts w:ascii="Calibri" w:eastAsiaTheme="majorEastAsia" w:hAnsi="Calibri" w:cs="Calibri"/>
          <w:color w:val="000000" w:themeColor="text1"/>
          <w:lang w:val="en-US"/>
        </w:rPr>
        <w:t>information</w:t>
      </w:r>
      <w:r w:rsidR="004735FA" w:rsidRPr="00F569AE">
        <w:rPr>
          <w:rFonts w:ascii="Calibri" w:eastAsiaTheme="majorEastAsia" w:hAnsi="Calibri" w:cs="Calibri"/>
          <w:color w:val="000000" w:themeColor="text1"/>
          <w:lang w:val="en-US"/>
        </w:rPr>
        <w:t xml:space="preserve"> cross-referenced and </w:t>
      </w:r>
      <w:r w:rsidR="004735FA" w:rsidRPr="00F569AE">
        <w:rPr>
          <w:rFonts w:ascii="Calibri" w:eastAsiaTheme="majorEastAsia" w:hAnsi="Calibri" w:cs="Calibri"/>
          <w:color w:val="000000" w:themeColor="text1"/>
          <w:lang w:val="en-US"/>
        </w:rPr>
        <w:lastRenderedPageBreak/>
        <w:t>triangulated from multiple sources and methods, and (iii) evaluative reasoning of the independent evaluation team.</w:t>
      </w:r>
      <w:r w:rsidR="00586D67" w:rsidRPr="00F569AE">
        <w:rPr>
          <w:rFonts w:ascii="Calibri" w:eastAsiaTheme="majorEastAsia" w:hAnsi="Calibri" w:cs="Calibri"/>
          <w:color w:val="000000" w:themeColor="text1"/>
          <w:lang w:val="en-US"/>
        </w:rPr>
        <w:t xml:space="preserve"> </w:t>
      </w:r>
    </w:p>
    <w:p w14:paraId="23D01197" w14:textId="5D4ABEBA" w:rsidR="004735FA" w:rsidRDefault="00FB4FB4" w:rsidP="004735FA">
      <w:pPr>
        <w:spacing w:line="276" w:lineRule="auto"/>
        <w:jc w:val="both"/>
        <w:rPr>
          <w:rFonts w:ascii="Calibri" w:eastAsiaTheme="majorEastAsia" w:hAnsi="Calibri" w:cs="Calibri"/>
          <w:color w:val="000000" w:themeColor="text1"/>
          <w:lang w:val="en-US"/>
        </w:rPr>
      </w:pPr>
      <w:r w:rsidRPr="00F569AE">
        <w:rPr>
          <w:rFonts w:ascii="Calibri" w:eastAsiaTheme="majorEastAsia" w:hAnsi="Calibri" w:cs="Calibri"/>
          <w:i/>
          <w:color w:val="215E99" w:themeColor="text2" w:themeTint="BF"/>
          <w:lang w:val="en-US"/>
        </w:rPr>
        <w:t xml:space="preserve">(iii) </w:t>
      </w:r>
      <w:r w:rsidR="004735FA" w:rsidRPr="00F569AE">
        <w:rPr>
          <w:rFonts w:ascii="Calibri" w:eastAsiaTheme="majorEastAsia" w:hAnsi="Calibri" w:cs="Calibri"/>
          <w:i/>
          <w:color w:val="215E99" w:themeColor="text2" w:themeTint="BF"/>
          <w:lang w:val="en-US"/>
        </w:rPr>
        <w:t>System analysis:</w:t>
      </w:r>
      <w:r w:rsidR="004735FA" w:rsidRPr="00F569AE">
        <w:rPr>
          <w:rFonts w:ascii="Calibri" w:eastAsiaTheme="majorEastAsia" w:hAnsi="Calibri" w:cs="Calibri"/>
          <w:color w:val="215E99" w:themeColor="text2" w:themeTint="BF"/>
          <w:lang w:val="en-US"/>
        </w:rPr>
        <w:t xml:space="preserve"> </w:t>
      </w:r>
      <w:r w:rsidR="004735FA" w:rsidRPr="00F569AE">
        <w:rPr>
          <w:rFonts w:ascii="Calibri" w:eastAsiaTheme="majorEastAsia" w:hAnsi="Calibri" w:cs="Calibri"/>
          <w:color w:val="000000" w:themeColor="text1"/>
          <w:lang w:val="en-US"/>
        </w:rPr>
        <w:t xml:space="preserve">The focus of </w:t>
      </w:r>
      <w:r w:rsidR="00BD5740" w:rsidRPr="00F569AE">
        <w:rPr>
          <w:rFonts w:ascii="Calibri" w:eastAsiaTheme="majorEastAsia" w:hAnsi="Calibri" w:cs="Calibri"/>
          <w:color w:val="000000" w:themeColor="text1"/>
          <w:lang w:val="en-US"/>
        </w:rPr>
        <w:t xml:space="preserve">the </w:t>
      </w:r>
      <w:r w:rsidR="004735FA" w:rsidRPr="00F569AE">
        <w:rPr>
          <w:rFonts w:ascii="Calibri" w:eastAsiaTheme="majorEastAsia" w:hAnsi="Calibri" w:cs="Calibri"/>
          <w:color w:val="000000" w:themeColor="text1"/>
          <w:lang w:val="en-US"/>
        </w:rPr>
        <w:t xml:space="preserve">system analysis was to explore </w:t>
      </w:r>
      <w:r w:rsidR="0007186F" w:rsidRPr="00F569AE">
        <w:rPr>
          <w:rFonts w:ascii="Calibri" w:eastAsiaTheme="majorEastAsia" w:hAnsi="Calibri" w:cs="Calibri"/>
          <w:color w:val="000000" w:themeColor="text1"/>
          <w:lang w:val="en-US"/>
        </w:rPr>
        <w:t>system-level</w:t>
      </w:r>
      <w:r w:rsidR="004735FA" w:rsidRPr="00F569AE">
        <w:rPr>
          <w:rFonts w:ascii="Calibri" w:eastAsiaTheme="majorEastAsia" w:hAnsi="Calibri" w:cs="Calibri"/>
          <w:color w:val="000000" w:themeColor="text1"/>
          <w:lang w:val="en-US"/>
        </w:rPr>
        <w:t xml:space="preserve"> </w:t>
      </w:r>
      <w:r w:rsidR="00557090" w:rsidRPr="00F569AE">
        <w:rPr>
          <w:rFonts w:ascii="Calibri" w:eastAsiaTheme="majorEastAsia" w:hAnsi="Calibri" w:cs="Calibri"/>
          <w:color w:val="000000" w:themeColor="text1"/>
          <w:lang w:val="en-US"/>
        </w:rPr>
        <w:t xml:space="preserve">bottlenecks </w:t>
      </w:r>
      <w:r w:rsidR="004735FA" w:rsidRPr="00F569AE">
        <w:rPr>
          <w:rFonts w:ascii="Calibri" w:eastAsiaTheme="majorEastAsia" w:hAnsi="Calibri" w:cs="Calibri"/>
          <w:color w:val="000000" w:themeColor="text1"/>
          <w:lang w:val="en-US"/>
        </w:rPr>
        <w:t>and their systemic relationships (i.e. interconnecte</w:t>
      </w:r>
      <w:r w:rsidR="00BD5740" w:rsidRPr="00F569AE">
        <w:rPr>
          <w:rFonts w:ascii="Calibri" w:eastAsiaTheme="majorEastAsia" w:hAnsi="Calibri" w:cs="Calibri"/>
          <w:color w:val="000000" w:themeColor="text1"/>
          <w:lang w:val="en-US"/>
        </w:rPr>
        <w:t>dness</w:t>
      </w:r>
      <w:r w:rsidR="004735FA" w:rsidRPr="00F569AE">
        <w:rPr>
          <w:rFonts w:ascii="Calibri" w:eastAsiaTheme="majorEastAsia" w:hAnsi="Calibri" w:cs="Calibri"/>
          <w:color w:val="000000" w:themeColor="text1"/>
          <w:lang w:val="en-US"/>
        </w:rPr>
        <w:t xml:space="preserve"> and interacti</w:t>
      </w:r>
      <w:r w:rsidR="00BD5740" w:rsidRPr="00F569AE">
        <w:rPr>
          <w:rFonts w:ascii="Calibri" w:eastAsiaTheme="majorEastAsia" w:hAnsi="Calibri" w:cs="Calibri"/>
          <w:color w:val="000000" w:themeColor="text1"/>
          <w:lang w:val="en-US"/>
        </w:rPr>
        <w:t>on</w:t>
      </w:r>
      <w:r w:rsidR="004735FA" w:rsidRPr="00F569AE">
        <w:rPr>
          <w:rFonts w:ascii="Calibri" w:eastAsiaTheme="majorEastAsia" w:hAnsi="Calibri" w:cs="Calibri"/>
          <w:color w:val="000000" w:themeColor="text1"/>
          <w:lang w:val="en-US"/>
        </w:rPr>
        <w:t xml:space="preserve"> between elements within a system) in </w:t>
      </w:r>
      <w:r w:rsidR="0007186F" w:rsidRPr="00F569AE">
        <w:rPr>
          <w:rFonts w:ascii="Calibri" w:eastAsiaTheme="majorEastAsia" w:hAnsi="Calibri" w:cs="Calibri"/>
          <w:color w:val="000000" w:themeColor="text1"/>
          <w:lang w:val="en-US"/>
        </w:rPr>
        <w:t xml:space="preserve">the </w:t>
      </w:r>
      <w:r w:rsidR="004735FA" w:rsidRPr="00F569AE">
        <w:rPr>
          <w:rFonts w:ascii="Calibri" w:eastAsiaTheme="majorEastAsia" w:hAnsi="Calibri" w:cs="Calibri"/>
          <w:color w:val="000000" w:themeColor="text1"/>
          <w:lang w:val="en-US"/>
        </w:rPr>
        <w:t>water service</w:t>
      </w:r>
      <w:r w:rsidR="009B04DC">
        <w:rPr>
          <w:rFonts w:ascii="Calibri" w:eastAsiaTheme="majorEastAsia" w:hAnsi="Calibri" w:cs="Calibri"/>
          <w:color w:val="000000" w:themeColor="text1"/>
          <w:lang w:val="en-US"/>
        </w:rPr>
        <w:t>s</w:t>
      </w:r>
      <w:r w:rsidR="004735FA" w:rsidRPr="00F569AE">
        <w:rPr>
          <w:rFonts w:ascii="Calibri" w:eastAsiaTheme="majorEastAsia" w:hAnsi="Calibri" w:cs="Calibri"/>
          <w:color w:val="000000" w:themeColor="text1"/>
          <w:lang w:val="en-US"/>
        </w:rPr>
        <w:t xml:space="preserve"> system in BiH were </w:t>
      </w:r>
      <w:r w:rsidR="00E77F99" w:rsidRPr="00F569AE">
        <w:rPr>
          <w:rFonts w:ascii="Calibri" w:eastAsiaTheme="majorEastAsia" w:hAnsi="Calibri" w:cs="Calibri"/>
          <w:color w:val="000000" w:themeColor="text1"/>
          <w:lang w:val="en-US"/>
        </w:rPr>
        <w:t>analyzed</w:t>
      </w:r>
      <w:r w:rsidR="004735FA" w:rsidRPr="00F569AE">
        <w:rPr>
          <w:rFonts w:ascii="Calibri" w:eastAsiaTheme="majorEastAsia" w:hAnsi="Calibri" w:cs="Calibri"/>
          <w:color w:val="000000" w:themeColor="text1"/>
          <w:lang w:val="en-US"/>
        </w:rPr>
        <w:t xml:space="preserve"> with </w:t>
      </w:r>
      <w:r w:rsidR="0007186F" w:rsidRPr="00F569AE">
        <w:rPr>
          <w:rFonts w:ascii="Calibri" w:eastAsiaTheme="majorEastAsia" w:hAnsi="Calibri" w:cs="Calibri"/>
          <w:color w:val="000000" w:themeColor="text1"/>
          <w:lang w:val="en-US"/>
        </w:rPr>
        <w:t xml:space="preserve">a </w:t>
      </w:r>
      <w:r w:rsidR="004735FA" w:rsidRPr="00F569AE">
        <w:rPr>
          <w:rFonts w:ascii="Calibri" w:eastAsiaTheme="majorEastAsia" w:hAnsi="Calibri" w:cs="Calibri"/>
          <w:color w:val="000000" w:themeColor="text1"/>
          <w:lang w:val="en-US"/>
        </w:rPr>
        <w:t xml:space="preserve">focus on </w:t>
      </w:r>
      <w:r w:rsidR="00BD5740" w:rsidRPr="00F569AE">
        <w:rPr>
          <w:rFonts w:ascii="Calibri" w:eastAsiaTheme="majorEastAsia" w:hAnsi="Calibri" w:cs="Calibri"/>
          <w:color w:val="000000" w:themeColor="text1"/>
          <w:lang w:val="en-US"/>
        </w:rPr>
        <w:t xml:space="preserve">two dimensions: </w:t>
      </w:r>
      <w:r w:rsidR="004735FA" w:rsidRPr="00F569AE">
        <w:rPr>
          <w:rFonts w:ascii="Calibri" w:eastAsiaTheme="majorEastAsia" w:hAnsi="Calibri" w:cs="Calibri"/>
          <w:color w:val="000000" w:themeColor="text1"/>
          <w:lang w:val="en-US"/>
        </w:rPr>
        <w:t xml:space="preserve">governance and drinking water infrastructure. This analysis allowed revealing if </w:t>
      </w:r>
      <w:r w:rsidR="0007186F" w:rsidRPr="00F569AE">
        <w:rPr>
          <w:rFonts w:ascii="Calibri" w:eastAsiaTheme="majorEastAsia" w:hAnsi="Calibri" w:cs="Calibri"/>
          <w:color w:val="000000" w:themeColor="text1"/>
          <w:lang w:val="en-US"/>
        </w:rPr>
        <w:t xml:space="preserve">the </w:t>
      </w:r>
      <w:r w:rsidR="004735FA" w:rsidRPr="00F569AE">
        <w:rPr>
          <w:rFonts w:ascii="Calibri" w:eastAsiaTheme="majorEastAsia" w:hAnsi="Calibri" w:cs="Calibri"/>
          <w:color w:val="000000" w:themeColor="text1"/>
          <w:lang w:val="en-US"/>
        </w:rPr>
        <w:t xml:space="preserve">project addressed critical </w:t>
      </w:r>
      <w:r w:rsidR="00E77F99" w:rsidRPr="00F569AE">
        <w:rPr>
          <w:rFonts w:ascii="Calibri" w:eastAsiaTheme="majorEastAsia" w:hAnsi="Calibri" w:cs="Calibri"/>
          <w:color w:val="000000" w:themeColor="text1"/>
          <w:lang w:val="en-US"/>
        </w:rPr>
        <w:t>bottlenecks</w:t>
      </w:r>
      <w:r w:rsidR="004735FA" w:rsidRPr="00F569AE">
        <w:rPr>
          <w:rFonts w:ascii="Calibri" w:eastAsiaTheme="majorEastAsia" w:hAnsi="Calibri" w:cs="Calibri"/>
          <w:color w:val="000000" w:themeColor="text1"/>
          <w:lang w:val="en-US"/>
        </w:rPr>
        <w:t xml:space="preserve"> to ensure system-level improvement. The detailed overview of the system analysis is provided in Annex </w:t>
      </w:r>
      <w:r w:rsidR="009E7888" w:rsidRPr="00F569AE">
        <w:rPr>
          <w:rFonts w:ascii="Calibri" w:eastAsiaTheme="majorEastAsia" w:hAnsi="Calibri" w:cs="Calibri"/>
          <w:color w:val="000000" w:themeColor="text1"/>
          <w:lang w:val="en-US"/>
        </w:rPr>
        <w:t>6</w:t>
      </w:r>
      <w:r w:rsidR="004735FA" w:rsidRPr="00F569AE">
        <w:rPr>
          <w:rFonts w:ascii="Calibri" w:eastAsiaTheme="majorEastAsia" w:hAnsi="Calibri" w:cs="Calibri"/>
          <w:color w:val="000000" w:themeColor="text1"/>
          <w:lang w:val="en-US"/>
        </w:rPr>
        <w:t xml:space="preserve">. </w:t>
      </w:r>
    </w:p>
    <w:p w14:paraId="06898E6B" w14:textId="77777777" w:rsidR="00BB235D" w:rsidRPr="00F569AE" w:rsidRDefault="00BB235D" w:rsidP="004735FA">
      <w:pPr>
        <w:spacing w:line="276" w:lineRule="auto"/>
        <w:jc w:val="both"/>
        <w:rPr>
          <w:rFonts w:ascii="Calibri" w:eastAsiaTheme="majorEastAsia" w:hAnsi="Calibri" w:cs="Calibri"/>
          <w:color w:val="000000" w:themeColor="text1"/>
          <w:lang w:val="en-US"/>
        </w:rPr>
      </w:pPr>
    </w:p>
    <w:p w14:paraId="211BAC89" w14:textId="2D579168" w:rsidR="00B9641A" w:rsidRDefault="00B9641A" w:rsidP="003B7AE9">
      <w:pPr>
        <w:spacing w:line="276" w:lineRule="auto"/>
        <w:jc w:val="both"/>
        <w:rPr>
          <w:rFonts w:ascii="Calibri" w:hAnsi="Calibri" w:cs="Calibri"/>
          <w:color w:val="000000"/>
          <w:lang w:val="en-US"/>
        </w:rPr>
      </w:pPr>
      <w:r w:rsidRPr="00F569AE">
        <w:rPr>
          <w:rFonts w:ascii="Calibri" w:hAnsi="Calibri" w:cs="Calibri"/>
          <w:color w:val="000000"/>
          <w:lang w:val="en-US"/>
        </w:rPr>
        <w:t xml:space="preserve">The variability of data collection tools was employed to offset the individual limitations of each tool. However, one of the potential weaknesses in data collection remained </w:t>
      </w:r>
      <w:r w:rsidR="002465A5" w:rsidRPr="00F569AE">
        <w:rPr>
          <w:rFonts w:ascii="Calibri" w:hAnsi="Calibri" w:cs="Calibri"/>
          <w:color w:val="000000"/>
          <w:lang w:val="en-US"/>
        </w:rPr>
        <w:t xml:space="preserve">the </w:t>
      </w:r>
      <w:r w:rsidRPr="00F569AE">
        <w:rPr>
          <w:rFonts w:ascii="Calibri" w:hAnsi="Calibri" w:cs="Calibri"/>
          <w:color w:val="000000"/>
          <w:lang w:val="en-US"/>
        </w:rPr>
        <w:t>limit</w:t>
      </w:r>
      <w:r w:rsidR="002465A5" w:rsidRPr="00F569AE">
        <w:rPr>
          <w:rFonts w:ascii="Calibri" w:hAnsi="Calibri" w:cs="Calibri"/>
          <w:color w:val="000000"/>
          <w:lang w:val="en-US"/>
        </w:rPr>
        <w:t>ation to</w:t>
      </w:r>
      <w:r w:rsidRPr="00F569AE">
        <w:rPr>
          <w:rFonts w:ascii="Calibri" w:hAnsi="Calibri" w:cs="Calibri"/>
          <w:color w:val="000000"/>
          <w:lang w:val="en-US"/>
        </w:rPr>
        <w:t xml:space="preserve"> </w:t>
      </w:r>
      <w:r w:rsidR="002465A5" w:rsidRPr="00F569AE">
        <w:rPr>
          <w:rFonts w:ascii="Calibri" w:hAnsi="Calibri" w:cs="Calibri"/>
          <w:color w:val="000000"/>
          <w:lang w:val="en-US"/>
        </w:rPr>
        <w:t>meet the</w:t>
      </w:r>
      <w:r w:rsidRPr="00F569AE">
        <w:rPr>
          <w:rFonts w:ascii="Calibri" w:hAnsi="Calibri" w:cs="Calibri"/>
          <w:color w:val="000000"/>
          <w:lang w:val="en-US"/>
        </w:rPr>
        <w:t xml:space="preserve"> final beneficiaries </w:t>
      </w:r>
      <w:r w:rsidR="002465A5" w:rsidRPr="00F569AE">
        <w:rPr>
          <w:rFonts w:ascii="Calibri" w:hAnsi="Calibri" w:cs="Calibri"/>
          <w:color w:val="000000"/>
          <w:lang w:val="en-US"/>
        </w:rPr>
        <w:t>(</w:t>
      </w:r>
      <w:r w:rsidR="009B04DC">
        <w:rPr>
          <w:rFonts w:ascii="Calibri" w:hAnsi="Calibri" w:cs="Calibri"/>
          <w:color w:val="000000"/>
          <w:lang w:val="en-US"/>
        </w:rPr>
        <w:t xml:space="preserve">i.e., </w:t>
      </w:r>
      <w:r w:rsidR="002465A5" w:rsidRPr="00F569AE">
        <w:rPr>
          <w:rFonts w:ascii="Calibri" w:hAnsi="Calibri" w:cs="Calibri"/>
          <w:color w:val="000000"/>
          <w:lang w:val="en-US"/>
        </w:rPr>
        <w:t xml:space="preserve">the community members) of the project </w:t>
      </w:r>
      <w:r w:rsidRPr="00F569AE">
        <w:rPr>
          <w:rFonts w:ascii="Calibri" w:hAnsi="Calibri" w:cs="Calibri"/>
          <w:color w:val="000000"/>
          <w:lang w:val="en-US"/>
        </w:rPr>
        <w:t xml:space="preserve">to explore </w:t>
      </w:r>
      <w:r w:rsidR="002465A5" w:rsidRPr="00F569AE">
        <w:rPr>
          <w:rFonts w:ascii="Calibri" w:hAnsi="Calibri" w:cs="Calibri"/>
          <w:color w:val="000000"/>
          <w:lang w:val="en-US"/>
        </w:rPr>
        <w:t xml:space="preserve">its </w:t>
      </w:r>
      <w:r w:rsidRPr="00F569AE">
        <w:rPr>
          <w:rFonts w:ascii="Calibri" w:hAnsi="Calibri" w:cs="Calibri"/>
          <w:color w:val="000000"/>
          <w:lang w:val="en-US"/>
        </w:rPr>
        <w:t>impact on the</w:t>
      </w:r>
      <w:r w:rsidR="002465A5" w:rsidRPr="00F569AE">
        <w:rPr>
          <w:rFonts w:ascii="Calibri" w:hAnsi="Calibri" w:cs="Calibri"/>
          <w:color w:val="000000"/>
          <w:lang w:val="en-US"/>
        </w:rPr>
        <w:t>ir</w:t>
      </w:r>
      <w:r w:rsidRPr="00F569AE">
        <w:rPr>
          <w:rFonts w:ascii="Calibri" w:hAnsi="Calibri" w:cs="Calibri"/>
          <w:color w:val="000000"/>
          <w:lang w:val="en-US"/>
        </w:rPr>
        <w:t xml:space="preserve"> lives. This was addressed through direct and spontaneous conversations with citizens at the locations of infrastructural project sites in Tešanj, Prnjavor, Srbac and Prijedor. </w:t>
      </w:r>
    </w:p>
    <w:p w14:paraId="305D5230" w14:textId="77777777" w:rsidR="00534455" w:rsidRDefault="00534455" w:rsidP="003B7AE9">
      <w:pPr>
        <w:spacing w:line="276" w:lineRule="auto"/>
        <w:jc w:val="both"/>
        <w:rPr>
          <w:rFonts w:ascii="Calibri" w:hAnsi="Calibri" w:cs="Calibri"/>
          <w:color w:val="000000"/>
          <w:lang w:val="en-US"/>
        </w:rPr>
      </w:pPr>
    </w:p>
    <w:p w14:paraId="4B719DD1" w14:textId="45A5D054" w:rsidR="00534455" w:rsidRPr="00BB235D" w:rsidRDefault="00534455" w:rsidP="003B7AE9">
      <w:pPr>
        <w:spacing w:line="276" w:lineRule="auto"/>
        <w:jc w:val="both"/>
        <w:rPr>
          <w:rFonts w:ascii="Calibri" w:hAnsi="Calibri" w:cs="Calibri"/>
          <w:b/>
          <w:bCs/>
          <w:i/>
          <w:iCs/>
          <w:color w:val="000000"/>
          <w:lang w:val="en-US"/>
        </w:rPr>
      </w:pPr>
      <w:r w:rsidRPr="00BB235D">
        <w:rPr>
          <w:rFonts w:ascii="Calibri" w:hAnsi="Calibri" w:cs="Calibri"/>
          <w:b/>
          <w:bCs/>
          <w:i/>
          <w:iCs/>
          <w:color w:val="000000"/>
          <w:lang w:val="en-US"/>
        </w:rPr>
        <w:t>Methodological limitations:</w:t>
      </w:r>
    </w:p>
    <w:p w14:paraId="4BB11483" w14:textId="0D60BDCB" w:rsidR="00FE4E7F" w:rsidRDefault="00534455" w:rsidP="003B7AE9">
      <w:pPr>
        <w:spacing w:line="276" w:lineRule="auto"/>
        <w:jc w:val="both"/>
        <w:rPr>
          <w:rFonts w:ascii="Calibri" w:hAnsi="Calibri" w:cs="Calibri"/>
          <w:color w:val="000000"/>
          <w:lang w:val="en-US"/>
        </w:rPr>
      </w:pPr>
      <w:r>
        <w:rPr>
          <w:rFonts w:ascii="Calibri" w:hAnsi="Calibri" w:cs="Calibri"/>
          <w:color w:val="000000"/>
          <w:lang w:val="en-US"/>
        </w:rPr>
        <w:t>The evaluation team faced several laminations. To offset the impact of the limitations during for data analysis the following strategies were applied:</w:t>
      </w:r>
    </w:p>
    <w:p w14:paraId="3DAEBC2C" w14:textId="44F990D8" w:rsidR="00534455" w:rsidRDefault="00534455" w:rsidP="003B7AE9">
      <w:pPr>
        <w:spacing w:line="276" w:lineRule="auto"/>
        <w:jc w:val="both"/>
        <w:rPr>
          <w:rFonts w:ascii="Calibri" w:hAnsi="Calibri" w:cs="Calibri"/>
        </w:rPr>
      </w:pPr>
      <w:r w:rsidRPr="00BB235D">
        <w:rPr>
          <w:rFonts w:ascii="Calibri" w:hAnsi="Calibri" w:cs="Calibri"/>
          <w:b/>
          <w:bCs/>
          <w:i/>
          <w:iCs/>
          <w:color w:val="000000"/>
          <w:lang w:val="en-US"/>
        </w:rPr>
        <w:t>1.</w:t>
      </w:r>
      <w:r>
        <w:rPr>
          <w:rFonts w:ascii="Calibri" w:hAnsi="Calibri" w:cs="Calibri"/>
          <w:color w:val="000000"/>
          <w:lang w:val="en-US"/>
        </w:rPr>
        <w:t xml:space="preserve"> </w:t>
      </w:r>
      <w:r w:rsidRPr="00AF5BB8">
        <w:rPr>
          <w:rFonts w:ascii="Calibri" w:hAnsi="Calibri" w:cs="Calibri"/>
          <w:b/>
          <w:bCs/>
          <w:i/>
          <w:iCs/>
        </w:rPr>
        <w:t>Highly diversity of the project legal and institutional context due to highly complex public administration system in BiH</w:t>
      </w:r>
      <w:r>
        <w:rPr>
          <w:rFonts w:ascii="Calibri" w:hAnsi="Calibri" w:cs="Calibri"/>
          <w:b/>
          <w:bCs/>
          <w:i/>
          <w:iCs/>
        </w:rPr>
        <w:t xml:space="preserve"> – </w:t>
      </w:r>
      <w:r>
        <w:rPr>
          <w:rFonts w:ascii="Calibri" w:hAnsi="Calibri" w:cs="Calibri"/>
        </w:rPr>
        <w:t xml:space="preserve">the evaluation significantly increased the number of interviews to ensure that </w:t>
      </w:r>
      <w:r w:rsidR="00BB235D">
        <w:rPr>
          <w:rFonts w:ascii="Calibri" w:hAnsi="Calibri" w:cs="Calibri"/>
        </w:rPr>
        <w:t>the multiplicity</w:t>
      </w:r>
      <w:r>
        <w:rPr>
          <w:rFonts w:ascii="Calibri" w:hAnsi="Calibri" w:cs="Calibri"/>
        </w:rPr>
        <w:t xml:space="preserve"> of perspectives </w:t>
      </w:r>
      <w:r w:rsidR="00503E31">
        <w:rPr>
          <w:rFonts w:ascii="Calibri" w:hAnsi="Calibri" w:cs="Calibri"/>
        </w:rPr>
        <w:t>was</w:t>
      </w:r>
      <w:r>
        <w:rPr>
          <w:rFonts w:ascii="Calibri" w:hAnsi="Calibri" w:cs="Calibri"/>
        </w:rPr>
        <w:t xml:space="preserve"> captured </w:t>
      </w:r>
      <w:r w:rsidR="00E1579D">
        <w:rPr>
          <w:rFonts w:ascii="Calibri" w:hAnsi="Calibri" w:cs="Calibri"/>
        </w:rPr>
        <w:t>and adequately factored in the evaluation analysis.</w:t>
      </w:r>
    </w:p>
    <w:p w14:paraId="4E716A81" w14:textId="03AB6B1A" w:rsidR="00E1579D" w:rsidRDefault="00E1579D" w:rsidP="003B7AE9">
      <w:pPr>
        <w:spacing w:line="276" w:lineRule="auto"/>
        <w:jc w:val="both"/>
        <w:rPr>
          <w:rFonts w:ascii="Helvetica Neue" w:eastAsiaTheme="minorHAnsi" w:hAnsi="Helvetica Neue" w:cs="Helvetica Neue"/>
          <w:color w:val="171311"/>
          <w:sz w:val="26"/>
          <w:szCs w:val="26"/>
          <w:lang w:val="en-GB" w:eastAsia="en-US"/>
          <w14:ligatures w14:val="standardContextual"/>
        </w:rPr>
      </w:pPr>
      <w:r w:rsidRPr="00BB235D">
        <w:rPr>
          <w:rFonts w:ascii="Calibri" w:hAnsi="Calibri" w:cs="Calibri"/>
          <w:b/>
          <w:bCs/>
          <w:i/>
          <w:iCs/>
        </w:rPr>
        <w:t>2.</w:t>
      </w:r>
      <w:r>
        <w:rPr>
          <w:rFonts w:ascii="Calibri" w:hAnsi="Calibri" w:cs="Calibri"/>
        </w:rPr>
        <w:t xml:space="preserve"> </w:t>
      </w:r>
      <w:r w:rsidRPr="00BB235D">
        <w:rPr>
          <w:rFonts w:ascii="Calibri" w:hAnsi="Calibri" w:cs="Calibri"/>
          <w:b/>
          <w:bCs/>
          <w:i/>
          <w:iCs/>
        </w:rPr>
        <w:t>Time limination -</w:t>
      </w:r>
      <w:r>
        <w:rPr>
          <w:rFonts w:ascii="Calibri" w:hAnsi="Calibri" w:cs="Calibri"/>
        </w:rPr>
        <w:t xml:space="preserve"> </w:t>
      </w:r>
      <w:r w:rsidR="00BB235D">
        <w:rPr>
          <w:rFonts w:ascii="Helvetica Neue" w:eastAsiaTheme="minorHAnsi" w:hAnsi="Helvetica Neue" w:cs="Helvetica Neue"/>
          <w:color w:val="171311"/>
          <w:sz w:val="26"/>
          <w:szCs w:val="26"/>
          <w:lang w:val="en-GB" w:eastAsia="en-US"/>
          <w14:ligatures w14:val="standardContextual"/>
        </w:rPr>
        <w:t xml:space="preserve"> </w:t>
      </w:r>
      <w:r w:rsidR="00BB235D" w:rsidRPr="00BB235D">
        <w:rPr>
          <w:rFonts w:ascii="Calibri" w:hAnsi="Calibri" w:cs="Calibri"/>
        </w:rPr>
        <w:t>the c</w:t>
      </w:r>
      <w:r w:rsidRPr="00BB235D">
        <w:rPr>
          <w:rFonts w:ascii="Calibri" w:hAnsi="Calibri" w:cs="Calibri"/>
        </w:rPr>
        <w:t>ondensed time frame for the evaluation was addressed by the evaluation team working intensively</w:t>
      </w:r>
      <w:r w:rsidR="00BB235D" w:rsidRPr="00BB235D">
        <w:rPr>
          <w:rFonts w:ascii="Calibri" w:hAnsi="Calibri" w:cs="Calibri"/>
        </w:rPr>
        <w:t xml:space="preserve"> during data collection and analysis phases</w:t>
      </w:r>
      <w:r w:rsidRPr="00BB235D">
        <w:rPr>
          <w:rFonts w:ascii="Calibri" w:hAnsi="Calibri" w:cs="Calibri"/>
        </w:rPr>
        <w:t>, both collaboratively and in parallel to ensure the highest quality report.</w:t>
      </w:r>
    </w:p>
    <w:p w14:paraId="7C3CB1EC" w14:textId="180D72BE" w:rsidR="00E1579D" w:rsidRDefault="00E1579D" w:rsidP="003B7AE9">
      <w:pPr>
        <w:spacing w:line="276" w:lineRule="auto"/>
        <w:jc w:val="both"/>
        <w:rPr>
          <w:rFonts w:ascii="Helvetica Neue" w:eastAsiaTheme="minorHAnsi" w:hAnsi="Helvetica Neue" w:cs="Helvetica Neue"/>
          <w:color w:val="171311"/>
          <w:sz w:val="26"/>
          <w:szCs w:val="26"/>
          <w:lang w:val="en-GB" w:eastAsia="en-US"/>
          <w14:ligatures w14:val="standardContextual"/>
        </w:rPr>
      </w:pPr>
      <w:r w:rsidRPr="00BB235D">
        <w:rPr>
          <w:rFonts w:ascii="Calibri" w:hAnsi="Calibri" w:cs="Calibri"/>
          <w:b/>
          <w:bCs/>
          <w:i/>
          <w:iCs/>
        </w:rPr>
        <w:t>3. Limitation during data collection phase –</w:t>
      </w:r>
      <w:r>
        <w:rPr>
          <w:rFonts w:ascii="Helvetica Neue" w:eastAsiaTheme="minorHAnsi" w:hAnsi="Helvetica Neue" w:cs="Helvetica Neue"/>
          <w:color w:val="171311"/>
          <w:sz w:val="26"/>
          <w:szCs w:val="26"/>
          <w:lang w:val="en-GB" w:eastAsia="en-US"/>
          <w14:ligatures w14:val="standardContextual"/>
        </w:rPr>
        <w:t xml:space="preserve"> </w:t>
      </w:r>
      <w:r w:rsidRPr="00BB235D">
        <w:rPr>
          <w:rFonts w:ascii="Calibri" w:hAnsi="Calibri" w:cs="Calibri"/>
        </w:rPr>
        <w:t xml:space="preserve">there was no access to </w:t>
      </w:r>
      <w:r w:rsidR="005B7D77">
        <w:rPr>
          <w:rFonts w:ascii="Calibri" w:hAnsi="Calibri" w:cs="Calibri"/>
        </w:rPr>
        <w:t xml:space="preserve">the </w:t>
      </w:r>
      <w:r w:rsidRPr="00BB235D">
        <w:rPr>
          <w:rFonts w:ascii="Calibri" w:hAnsi="Calibri" w:cs="Calibri"/>
        </w:rPr>
        <w:t>end user</w:t>
      </w:r>
      <w:r w:rsidR="005B7D77">
        <w:rPr>
          <w:rFonts w:ascii="Calibri" w:hAnsi="Calibri" w:cs="Calibri"/>
        </w:rPr>
        <w:t>s to explore examples of how the project impacted lives of the community members in its target LGs</w:t>
      </w:r>
      <w:r w:rsidRPr="00BB235D">
        <w:rPr>
          <w:rFonts w:ascii="Calibri" w:hAnsi="Calibri" w:cs="Calibri"/>
        </w:rPr>
        <w:t>.</w:t>
      </w:r>
      <w:r w:rsidRPr="005B7D77">
        <w:rPr>
          <w:rFonts w:ascii="Calibri" w:hAnsi="Calibri" w:cs="Calibri"/>
        </w:rPr>
        <w:t xml:space="preserve"> </w:t>
      </w:r>
      <w:r w:rsidR="005B7D77">
        <w:rPr>
          <w:rFonts w:ascii="Calibri" w:hAnsi="Calibri" w:cs="Calibri"/>
        </w:rPr>
        <w:t>Instead, t</w:t>
      </w:r>
      <w:r w:rsidR="005B7D77" w:rsidRPr="005B7D77">
        <w:rPr>
          <w:rFonts w:ascii="Calibri" w:hAnsi="Calibri" w:cs="Calibri"/>
        </w:rPr>
        <w:t xml:space="preserve">he evaluation considered the publications done throughout the project implementation about </w:t>
      </w:r>
      <w:r w:rsidR="005B7D77">
        <w:rPr>
          <w:rFonts w:ascii="Calibri" w:hAnsi="Calibri" w:cs="Calibri"/>
        </w:rPr>
        <w:t>the various examples on how project impacted the lives of different community members.</w:t>
      </w:r>
      <w:r w:rsidR="0096331E">
        <w:rPr>
          <w:rFonts w:ascii="Calibri" w:hAnsi="Calibri" w:cs="Calibri"/>
        </w:rPr>
        <w:t xml:space="preserve"> This could only partially offset the limitation in question, however, this could not significantly impact the findings of the evaluation due to extensive triangulation employed by the evaluation team. </w:t>
      </w:r>
    </w:p>
    <w:p w14:paraId="3FE264B0" w14:textId="7B989279" w:rsidR="00E1579D" w:rsidRPr="00534455" w:rsidRDefault="00E1579D" w:rsidP="003B7AE9">
      <w:pPr>
        <w:spacing w:line="276" w:lineRule="auto"/>
        <w:jc w:val="both"/>
        <w:rPr>
          <w:rFonts w:ascii="Calibri" w:hAnsi="Calibri" w:cs="Calibri"/>
          <w:color w:val="000000"/>
          <w:lang w:val="en-US"/>
        </w:rPr>
      </w:pPr>
      <w:r w:rsidRPr="00BB235D">
        <w:rPr>
          <w:rFonts w:ascii="Calibri" w:hAnsi="Calibri" w:cs="Calibri"/>
          <w:b/>
          <w:bCs/>
          <w:i/>
          <w:iCs/>
        </w:rPr>
        <w:t>4.</w:t>
      </w:r>
      <w:r>
        <w:rPr>
          <w:rFonts w:ascii="Helvetica Neue" w:eastAsiaTheme="minorHAnsi" w:hAnsi="Helvetica Neue" w:cs="Helvetica Neue"/>
          <w:color w:val="171311"/>
          <w:sz w:val="26"/>
          <w:szCs w:val="26"/>
          <w:lang w:val="en-GB" w:eastAsia="en-US"/>
          <w14:ligatures w14:val="standardContextual"/>
        </w:rPr>
        <w:t xml:space="preserve"> </w:t>
      </w:r>
      <w:r w:rsidRPr="00BB235D">
        <w:rPr>
          <w:rFonts w:ascii="Calibri" w:hAnsi="Calibri" w:cs="Calibri"/>
          <w:b/>
          <w:bCs/>
          <w:i/>
          <w:iCs/>
        </w:rPr>
        <w:t xml:space="preserve">Language limitation </w:t>
      </w:r>
      <w:r w:rsidR="00BB235D">
        <w:rPr>
          <w:rFonts w:ascii="Calibri" w:hAnsi="Calibri" w:cs="Calibri"/>
          <w:b/>
          <w:bCs/>
          <w:i/>
          <w:iCs/>
        </w:rPr>
        <w:t>–</w:t>
      </w:r>
      <w:r>
        <w:rPr>
          <w:rFonts w:ascii="Helvetica Neue" w:eastAsiaTheme="minorHAnsi" w:hAnsi="Helvetica Neue" w:cs="Helvetica Neue"/>
          <w:color w:val="171311"/>
          <w:sz w:val="26"/>
          <w:szCs w:val="26"/>
          <w:lang w:val="en-GB" w:eastAsia="en-US"/>
          <w14:ligatures w14:val="standardContextual"/>
        </w:rPr>
        <w:t xml:space="preserve"> </w:t>
      </w:r>
      <w:r w:rsidR="00BB235D" w:rsidRPr="00BB235D">
        <w:rPr>
          <w:rFonts w:ascii="Calibri" w:hAnsi="Calibri" w:cs="Calibri"/>
        </w:rPr>
        <w:t xml:space="preserve">this limitation was relevant only for the TL of the evaluation and </w:t>
      </w:r>
      <w:r w:rsidRPr="00BB235D">
        <w:rPr>
          <w:rFonts w:ascii="Calibri" w:hAnsi="Calibri" w:cs="Calibri"/>
        </w:rPr>
        <w:t xml:space="preserve">the interviews that required interpretation were managed with additional support of </w:t>
      </w:r>
      <w:r w:rsidR="0041250A">
        <w:rPr>
          <w:rFonts w:ascii="Calibri" w:hAnsi="Calibri" w:cs="Calibri"/>
        </w:rPr>
        <w:t xml:space="preserve">the </w:t>
      </w:r>
      <w:r w:rsidRPr="00BB235D">
        <w:rPr>
          <w:rFonts w:ascii="Calibri" w:hAnsi="Calibri" w:cs="Calibri"/>
        </w:rPr>
        <w:t>national consultants.</w:t>
      </w:r>
      <w:r>
        <w:rPr>
          <w:rFonts w:ascii="Helvetica Neue" w:eastAsiaTheme="minorHAnsi" w:hAnsi="Helvetica Neue" w:cs="Helvetica Neue"/>
          <w:color w:val="171311"/>
          <w:sz w:val="26"/>
          <w:szCs w:val="26"/>
          <w:lang w:val="en-GB" w:eastAsia="en-US"/>
          <w14:ligatures w14:val="standardContextual"/>
        </w:rPr>
        <w:t xml:space="preserve">  </w:t>
      </w:r>
    </w:p>
    <w:p w14:paraId="2211082C" w14:textId="77777777" w:rsidR="00534455" w:rsidRDefault="00534455" w:rsidP="003B7AE9">
      <w:pPr>
        <w:spacing w:line="276" w:lineRule="auto"/>
        <w:jc w:val="both"/>
        <w:rPr>
          <w:rFonts w:ascii="Calibri" w:hAnsi="Calibri" w:cs="Calibri"/>
          <w:color w:val="000000"/>
          <w:lang w:val="en-US"/>
        </w:rPr>
      </w:pPr>
    </w:p>
    <w:p w14:paraId="613B3337" w14:textId="77777777" w:rsidR="00ED0452" w:rsidRDefault="00ED0452" w:rsidP="003B7AE9">
      <w:pPr>
        <w:spacing w:line="276" w:lineRule="auto"/>
        <w:jc w:val="both"/>
        <w:rPr>
          <w:rFonts w:ascii="Calibri" w:hAnsi="Calibri" w:cs="Calibri"/>
          <w:color w:val="000000"/>
          <w:lang w:val="en-US"/>
        </w:rPr>
      </w:pPr>
    </w:p>
    <w:p w14:paraId="2EA935B6" w14:textId="77777777" w:rsidR="00ED0452" w:rsidRDefault="00ED0452" w:rsidP="003B7AE9">
      <w:pPr>
        <w:spacing w:line="276" w:lineRule="auto"/>
        <w:jc w:val="both"/>
        <w:rPr>
          <w:rFonts w:ascii="Calibri" w:hAnsi="Calibri" w:cs="Calibri"/>
          <w:color w:val="000000"/>
          <w:lang w:val="en-US"/>
        </w:rPr>
      </w:pPr>
    </w:p>
    <w:p w14:paraId="580A6506" w14:textId="4A062F73" w:rsidR="006E1D2B" w:rsidRPr="00F569AE" w:rsidRDefault="00A0025F" w:rsidP="00166441">
      <w:pPr>
        <w:pStyle w:val="Heading1"/>
        <w:numPr>
          <w:ilvl w:val="0"/>
          <w:numId w:val="1"/>
        </w:numPr>
        <w:spacing w:line="276" w:lineRule="auto"/>
        <w:rPr>
          <w:rFonts w:ascii="Calibri" w:hAnsi="Calibri" w:cs="Calibri"/>
        </w:rPr>
      </w:pPr>
      <w:bookmarkStart w:id="202" w:name="_Toc210058531"/>
      <w:r w:rsidRPr="00F569AE">
        <w:rPr>
          <w:rFonts w:ascii="Calibri" w:hAnsi="Calibri" w:cs="Calibri"/>
        </w:rPr>
        <w:lastRenderedPageBreak/>
        <w:t>FINDINGS</w:t>
      </w:r>
      <w:bookmarkEnd w:id="202"/>
    </w:p>
    <w:p w14:paraId="49CDD801" w14:textId="16CBC3E7" w:rsidR="006E1D2B" w:rsidRPr="00F569AE" w:rsidRDefault="006E1D2B" w:rsidP="00166441">
      <w:pPr>
        <w:spacing w:line="276" w:lineRule="auto"/>
        <w:jc w:val="both"/>
        <w:rPr>
          <w:rFonts w:ascii="Calibri" w:hAnsi="Calibri" w:cs="Calibri"/>
          <w:lang w:val="en-US"/>
        </w:rPr>
      </w:pPr>
      <w:r w:rsidRPr="00F569AE">
        <w:rPr>
          <w:rFonts w:ascii="Calibri" w:hAnsi="Calibri" w:cs="Calibri"/>
          <w:lang w:val="en-US"/>
        </w:rPr>
        <w:t xml:space="preserve">This section provides the main findings of the evaluation arranged per evaluation criteria and evaluation questions. </w:t>
      </w:r>
    </w:p>
    <w:p w14:paraId="19EABBC1" w14:textId="77777777" w:rsidR="006E1D2B" w:rsidRPr="00F569AE" w:rsidRDefault="006E1D2B" w:rsidP="006E1D2B">
      <w:pPr>
        <w:spacing w:line="276" w:lineRule="auto"/>
        <w:jc w:val="both"/>
        <w:rPr>
          <w:rFonts w:ascii="Calibri" w:hAnsi="Calibri" w:cs="Calibri"/>
          <w:lang w:val="en-US"/>
        </w:rPr>
      </w:pPr>
    </w:p>
    <w:p w14:paraId="537F8E46" w14:textId="4D41E211" w:rsidR="006E1D2B" w:rsidRPr="00F569AE" w:rsidRDefault="006E1D2B" w:rsidP="006E1D2B">
      <w:pPr>
        <w:spacing w:line="276" w:lineRule="auto"/>
        <w:jc w:val="both"/>
        <w:rPr>
          <w:rFonts w:ascii="Calibri" w:hAnsi="Calibri" w:cs="Calibri"/>
          <w:b/>
          <w:sz w:val="26"/>
          <w:szCs w:val="26"/>
          <w:lang w:val="en-US"/>
        </w:rPr>
      </w:pPr>
      <w:r w:rsidRPr="00F569AE">
        <w:rPr>
          <w:rFonts w:ascii="Calibri" w:hAnsi="Calibri" w:cs="Calibri"/>
          <w:b/>
          <w:sz w:val="26"/>
          <w:szCs w:val="26"/>
          <w:lang w:val="en-US"/>
        </w:rPr>
        <w:t>Relevance</w:t>
      </w:r>
    </w:p>
    <w:tbl>
      <w:tblPr>
        <w:tblStyle w:val="TableGrid"/>
        <w:tblW w:w="0" w:type="auto"/>
        <w:shd w:val="clear" w:color="auto" w:fill="F2F2F2" w:themeFill="background1" w:themeFillShade="F2"/>
        <w:tblLook w:val="04A0" w:firstRow="1" w:lastRow="0" w:firstColumn="1" w:lastColumn="0" w:noHBand="0" w:noVBand="1"/>
      </w:tblPr>
      <w:tblGrid>
        <w:gridCol w:w="9010"/>
      </w:tblGrid>
      <w:tr w:rsidR="004A0580" w:rsidRPr="00F569AE" w14:paraId="7D3665B1" w14:textId="77777777" w:rsidTr="00F53B1E">
        <w:tc>
          <w:tcPr>
            <w:tcW w:w="9010" w:type="dxa"/>
            <w:tcBorders>
              <w:top w:val="nil"/>
              <w:left w:val="nil"/>
              <w:bottom w:val="nil"/>
              <w:right w:val="nil"/>
            </w:tcBorders>
            <w:shd w:val="clear" w:color="auto" w:fill="F2F2F2" w:themeFill="background1" w:themeFillShade="F2"/>
          </w:tcPr>
          <w:p w14:paraId="067CAE55" w14:textId="404E7CE6" w:rsidR="00015891" w:rsidRPr="00F569AE" w:rsidRDefault="00015891" w:rsidP="00015891">
            <w:pPr>
              <w:spacing w:line="276" w:lineRule="auto"/>
              <w:jc w:val="both"/>
              <w:rPr>
                <w:rFonts w:ascii="Calibri" w:hAnsi="Calibri" w:cs="Calibri"/>
                <w:lang w:val="en-US"/>
              </w:rPr>
            </w:pPr>
            <w:r w:rsidRPr="00F569AE">
              <w:rPr>
                <w:rFonts w:ascii="Calibri" w:hAnsi="Calibri" w:cs="Calibri"/>
                <w:lang w:val="en-US"/>
              </w:rPr>
              <w:t xml:space="preserve">The project’s ambition and its results were fully in line with the high-level priority within BiH to harmonize its legislation with the EU Water Aquis as well as with the priorities set in the entity-level Water Management Strategies. The </w:t>
            </w:r>
            <w:r>
              <w:rPr>
                <w:rFonts w:ascii="Calibri" w:hAnsi="Calibri" w:cs="Calibri"/>
                <w:lang w:val="en-US"/>
              </w:rPr>
              <w:t xml:space="preserve">recalibration of </w:t>
            </w:r>
            <w:r w:rsidR="003145CC">
              <w:rPr>
                <w:rFonts w:ascii="Calibri" w:hAnsi="Calibri" w:cs="Calibri"/>
                <w:lang w:val="en-US"/>
              </w:rPr>
              <w:t xml:space="preserve">the </w:t>
            </w:r>
            <w:r>
              <w:rPr>
                <w:rFonts w:ascii="Calibri" w:hAnsi="Calibri" w:cs="Calibri"/>
                <w:lang w:val="en-US"/>
              </w:rPr>
              <w:t xml:space="preserve">project ambition to focus only on drinking water was fully justified to optimize </w:t>
            </w:r>
            <w:r w:rsidR="003145CC">
              <w:rPr>
                <w:rFonts w:ascii="Calibri" w:hAnsi="Calibri" w:cs="Calibri"/>
                <w:lang w:val="en-US"/>
              </w:rPr>
              <w:t>its</w:t>
            </w:r>
            <w:r>
              <w:rPr>
                <w:rFonts w:ascii="Calibri" w:hAnsi="Calibri" w:cs="Calibri"/>
                <w:lang w:val="en-US"/>
              </w:rPr>
              <w:t xml:space="preserve"> focus. </w:t>
            </w:r>
            <w:r w:rsidRPr="00F569AE">
              <w:rPr>
                <w:rFonts w:ascii="Calibri" w:hAnsi="Calibri" w:cs="Calibri"/>
                <w:lang w:val="en-US"/>
              </w:rPr>
              <w:t xml:space="preserve">The integrative approach of the project design facilitated the alignment of sectoral (water sector) and governance objectives to make meaningful strides toward sustainable service delivery and institutional modernization in BiH. The project design </w:t>
            </w:r>
            <w:r w:rsidRPr="004E4AFA">
              <w:rPr>
                <w:rFonts w:ascii="Calibri" w:eastAsiaTheme="minorHAnsi" w:hAnsi="Calibri" w:cs="Calibri"/>
                <w:lang w:val="en-US" w:eastAsia="en-US"/>
                <w14:ligatures w14:val="standardContextual"/>
              </w:rPr>
              <w:t xml:space="preserve">captured the key systemic bottlenecks </w:t>
            </w:r>
            <w:r>
              <w:rPr>
                <w:rFonts w:ascii="Calibri" w:eastAsiaTheme="minorHAnsi" w:hAnsi="Calibri" w:cs="Calibri"/>
                <w:lang w:val="en-US" w:eastAsia="en-US"/>
                <w14:ligatures w14:val="standardContextual"/>
              </w:rPr>
              <w:t xml:space="preserve">in water services governance, and some of the key bottlenecks related to </w:t>
            </w:r>
            <w:r w:rsidR="003145CC">
              <w:rPr>
                <w:rFonts w:ascii="Calibri" w:eastAsiaTheme="minorHAnsi" w:hAnsi="Calibri" w:cs="Calibri"/>
                <w:lang w:val="en-US" w:eastAsia="en-US"/>
                <w14:ligatures w14:val="standardContextual"/>
              </w:rPr>
              <w:t xml:space="preserve">drinking </w:t>
            </w:r>
            <w:r>
              <w:rPr>
                <w:rFonts w:ascii="Calibri" w:eastAsiaTheme="minorHAnsi" w:hAnsi="Calibri" w:cs="Calibri"/>
                <w:lang w:val="en-US" w:eastAsia="en-US"/>
                <w14:ligatures w14:val="standardContextual"/>
              </w:rPr>
              <w:t>water infrastructure</w:t>
            </w:r>
            <w:r>
              <w:rPr>
                <w:rFonts w:ascii="Calibri" w:hAnsi="Calibri" w:cs="Calibri"/>
                <w:lang w:val="en-US"/>
              </w:rPr>
              <w:t xml:space="preserve">. </w:t>
            </w:r>
            <w:r w:rsidR="009A3BD3">
              <w:rPr>
                <w:rFonts w:ascii="Calibri" w:hAnsi="Calibri" w:cs="Calibri"/>
                <w:lang w:val="en-US"/>
              </w:rPr>
              <w:t xml:space="preserve">The </w:t>
            </w:r>
            <w:r w:rsidR="009A3BD3" w:rsidRPr="00F569AE">
              <w:rPr>
                <w:rFonts w:ascii="Calibri" w:eastAsia="Calibri" w:hAnsi="Calibri" w:cs="Calibri"/>
                <w:color w:val="000000" w:themeColor="text1"/>
                <w:lang w:val="en-US"/>
              </w:rPr>
              <w:t>MEG/EU4MEG</w:t>
            </w:r>
            <w:r w:rsidR="009A3BD3">
              <w:rPr>
                <w:rFonts w:ascii="Calibri" w:eastAsia="Calibri" w:hAnsi="Calibri" w:cs="Calibri"/>
                <w:color w:val="000000" w:themeColor="text1"/>
                <w:lang w:val="en-US"/>
              </w:rPr>
              <w:t xml:space="preserve"> project design introduced ‘MEG standardization’ as quality mark for all LGs in BiH.</w:t>
            </w:r>
          </w:p>
          <w:p w14:paraId="7838B51D" w14:textId="77777777" w:rsidR="00015891" w:rsidRPr="00F569AE" w:rsidRDefault="00015891" w:rsidP="00015891">
            <w:pPr>
              <w:spacing w:line="276" w:lineRule="auto"/>
              <w:jc w:val="both"/>
              <w:rPr>
                <w:rFonts w:ascii="Calibri" w:hAnsi="Calibri" w:cs="Calibri"/>
                <w:lang w:val="en-US"/>
              </w:rPr>
            </w:pPr>
          </w:p>
          <w:p w14:paraId="414E8AFA" w14:textId="73973071" w:rsidR="004A0580" w:rsidRPr="00015891" w:rsidRDefault="00015891" w:rsidP="00015891">
            <w:pPr>
              <w:spacing w:line="276" w:lineRule="auto"/>
              <w:jc w:val="both"/>
              <w:rPr>
                <w:rFonts w:ascii="Calibri" w:eastAsiaTheme="majorEastAsia" w:hAnsi="Calibri" w:cs="Calibri"/>
                <w:lang w:val="en-US"/>
              </w:rPr>
            </w:pPr>
            <w:r w:rsidRPr="00F569AE">
              <w:rPr>
                <w:rFonts w:ascii="Calibri" w:hAnsi="Calibri" w:cs="Calibri"/>
                <w:lang w:val="en-US"/>
              </w:rPr>
              <w:t xml:space="preserve">The project </w:t>
            </w:r>
            <w:r>
              <w:rPr>
                <w:rFonts w:ascii="Calibri" w:hAnsi="Calibri" w:cs="Calibri"/>
                <w:lang w:val="en-US"/>
              </w:rPr>
              <w:t>design indicated</w:t>
            </w:r>
            <w:r w:rsidRPr="00F569AE">
              <w:rPr>
                <w:rFonts w:ascii="Calibri" w:hAnsi="Calibri" w:cs="Calibri"/>
                <w:lang w:val="en-US"/>
              </w:rPr>
              <w:t xml:space="preserve"> high relevance to the needs of the vulnerable population</w:t>
            </w:r>
            <w:r>
              <w:rPr>
                <w:rFonts w:ascii="Calibri" w:hAnsi="Calibri" w:cs="Calibri"/>
                <w:lang w:val="en-US"/>
              </w:rPr>
              <w:t>, yet missed the opportunity to stronger engage with</w:t>
            </w:r>
            <w:r w:rsidRPr="00521AA2">
              <w:rPr>
                <w:rFonts w:ascii="Calibri" w:hAnsi="Calibri" w:cs="Calibri"/>
              </w:rPr>
              <w:t xml:space="preserve"> the</w:t>
            </w:r>
            <w:r w:rsidRPr="00521AA2">
              <w:rPr>
                <w:rFonts w:ascii="Calibri" w:hAnsi="Calibri" w:cs="Calibri"/>
                <w:lang w:val="en-US"/>
              </w:rPr>
              <w:t xml:space="preserve"> CSOs</w:t>
            </w:r>
            <w:r w:rsidRPr="00F569AE">
              <w:rPr>
                <w:rFonts w:ascii="Calibri" w:hAnsi="Calibri" w:cs="Calibri"/>
                <w:lang w:val="en-US"/>
              </w:rPr>
              <w:t xml:space="preserve"> </w:t>
            </w:r>
            <w:r>
              <w:rPr>
                <w:rFonts w:ascii="Calibri" w:hAnsi="Calibri" w:cs="Calibri"/>
              </w:rPr>
              <w:t xml:space="preserve">to build their </w:t>
            </w:r>
            <w:r w:rsidRPr="00F569AE">
              <w:rPr>
                <w:rFonts w:ascii="Calibri" w:hAnsi="Calibri" w:cs="Calibri"/>
                <w:lang w:val="en-US"/>
              </w:rPr>
              <w:t xml:space="preserve">public oversight </w:t>
            </w:r>
            <w:r>
              <w:rPr>
                <w:rFonts w:ascii="Calibri" w:hAnsi="Calibri" w:cs="Calibri"/>
              </w:rPr>
              <w:t xml:space="preserve">function </w:t>
            </w:r>
            <w:r w:rsidRPr="00F569AE">
              <w:rPr>
                <w:rFonts w:ascii="Calibri" w:hAnsi="Calibri" w:cs="Calibri"/>
                <w:lang w:val="en-US"/>
              </w:rPr>
              <w:t>and civic scrutiny role</w:t>
            </w:r>
            <w:r>
              <w:rPr>
                <w:rFonts w:ascii="Calibri" w:hAnsi="Calibri" w:cs="Calibri"/>
                <w:lang w:val="en-US"/>
              </w:rPr>
              <w:t>.</w:t>
            </w:r>
            <w:r w:rsidRPr="00F569AE">
              <w:rPr>
                <w:rFonts w:ascii="Calibri" w:hAnsi="Calibri" w:cs="Calibri"/>
                <w:lang w:val="en-US"/>
              </w:rPr>
              <w:t xml:space="preserve"> </w:t>
            </w:r>
          </w:p>
        </w:tc>
      </w:tr>
    </w:tbl>
    <w:p w14:paraId="6D632F0A" w14:textId="77777777" w:rsidR="004A0580" w:rsidRPr="00F569AE" w:rsidRDefault="004A0580" w:rsidP="006E1D2B">
      <w:pPr>
        <w:spacing w:line="276" w:lineRule="auto"/>
        <w:jc w:val="both"/>
        <w:rPr>
          <w:rFonts w:ascii="Calibri" w:hAnsi="Calibri" w:cs="Calibri"/>
          <w:b/>
          <w:lang w:val="en-US"/>
        </w:rPr>
      </w:pPr>
    </w:p>
    <w:p w14:paraId="2FDBC6F8" w14:textId="3FDC7CA4" w:rsidR="00CA03F6" w:rsidRPr="00F569AE" w:rsidRDefault="00CA03F6" w:rsidP="00CA03F6">
      <w:pPr>
        <w:spacing w:line="276" w:lineRule="auto"/>
        <w:jc w:val="both"/>
        <w:rPr>
          <w:rFonts w:ascii="Calibri" w:hAnsi="Calibri" w:cs="Calibri"/>
          <w:i/>
          <w:lang w:val="en-US"/>
        </w:rPr>
      </w:pPr>
      <w:r w:rsidRPr="00F569AE">
        <w:rPr>
          <w:rFonts w:ascii="Calibri" w:hAnsi="Calibri" w:cs="Calibri"/>
          <w:i/>
          <w:lang w:val="en-US"/>
        </w:rPr>
        <w:t xml:space="preserve">1. To what extend was the project aligned with the national development strategic and sectoral strategic priorities in water/wastewater management sector priorities in BiH? </w:t>
      </w:r>
    </w:p>
    <w:p w14:paraId="4BE8D1D1" w14:textId="77777777" w:rsidR="00D2048A" w:rsidRDefault="000C5583" w:rsidP="00B40C34">
      <w:pPr>
        <w:spacing w:line="276" w:lineRule="auto"/>
        <w:jc w:val="both"/>
        <w:rPr>
          <w:rFonts w:ascii="Calibri" w:hAnsi="Calibri" w:cs="Calibri"/>
          <w:lang w:val="en-US"/>
        </w:rPr>
      </w:pPr>
      <w:r w:rsidRPr="00F569AE">
        <w:rPr>
          <w:rFonts w:ascii="Calibri" w:hAnsi="Calibri" w:cs="Calibri"/>
          <w:lang w:val="en-US"/>
        </w:rPr>
        <w:t>The project</w:t>
      </w:r>
      <w:r w:rsidR="009C4421" w:rsidRPr="00F569AE">
        <w:rPr>
          <w:rFonts w:ascii="Calibri" w:hAnsi="Calibri" w:cs="Calibri"/>
          <w:lang w:val="en-US"/>
        </w:rPr>
        <w:t>’s</w:t>
      </w:r>
      <w:r w:rsidRPr="00F569AE">
        <w:rPr>
          <w:rFonts w:ascii="Calibri" w:hAnsi="Calibri" w:cs="Calibri"/>
          <w:lang w:val="en-US"/>
        </w:rPr>
        <w:t xml:space="preserve"> ambition and its results </w:t>
      </w:r>
      <w:r w:rsidR="009C4421" w:rsidRPr="00F569AE">
        <w:rPr>
          <w:rFonts w:ascii="Calibri" w:hAnsi="Calibri" w:cs="Calibri"/>
          <w:lang w:val="en-US"/>
        </w:rPr>
        <w:t>were</w:t>
      </w:r>
      <w:r w:rsidRPr="00F569AE">
        <w:rPr>
          <w:rFonts w:ascii="Calibri" w:hAnsi="Calibri" w:cs="Calibri"/>
          <w:lang w:val="en-US"/>
        </w:rPr>
        <w:t xml:space="preserve"> </w:t>
      </w:r>
      <w:r w:rsidRPr="00F569AE">
        <w:rPr>
          <w:rFonts w:ascii="Calibri" w:hAnsi="Calibri" w:cs="Calibri"/>
          <w:b/>
          <w:i/>
          <w:lang w:val="en-US"/>
        </w:rPr>
        <w:t>fully in line with the high-level priorit</w:t>
      </w:r>
      <w:r w:rsidR="009C4421" w:rsidRPr="00F569AE">
        <w:rPr>
          <w:rFonts w:ascii="Calibri" w:hAnsi="Calibri" w:cs="Calibri"/>
          <w:b/>
          <w:i/>
          <w:lang w:val="en-US"/>
        </w:rPr>
        <w:t>y</w:t>
      </w:r>
      <w:r w:rsidRPr="00F569AE">
        <w:rPr>
          <w:rFonts w:ascii="Calibri" w:hAnsi="Calibri" w:cs="Calibri"/>
          <w:b/>
          <w:i/>
          <w:lang w:val="en-US"/>
        </w:rPr>
        <w:t xml:space="preserve"> within </w:t>
      </w:r>
      <w:r w:rsidR="00C060E7" w:rsidRPr="00F569AE">
        <w:rPr>
          <w:rFonts w:ascii="Calibri" w:hAnsi="Calibri" w:cs="Calibri"/>
          <w:b/>
          <w:i/>
          <w:lang w:val="en-US"/>
        </w:rPr>
        <w:t>BiH</w:t>
      </w:r>
      <w:r w:rsidRPr="00F569AE">
        <w:rPr>
          <w:rFonts w:ascii="Calibri" w:hAnsi="Calibri" w:cs="Calibri"/>
          <w:lang w:val="en-US"/>
        </w:rPr>
        <w:t xml:space="preserve"> to harmonize its legislation with the EU Water Aquis</w:t>
      </w:r>
      <w:r w:rsidRPr="00F569AE">
        <w:rPr>
          <w:rStyle w:val="FootnoteReference"/>
          <w:rFonts w:ascii="Calibri" w:hAnsi="Calibri" w:cs="Calibri"/>
          <w:lang w:val="en-US"/>
        </w:rPr>
        <w:footnoteReference w:id="37"/>
      </w:r>
      <w:r w:rsidRPr="00F569AE">
        <w:rPr>
          <w:rFonts w:ascii="Calibri" w:hAnsi="Calibri" w:cs="Calibri"/>
          <w:lang w:val="en-US"/>
        </w:rPr>
        <w:t xml:space="preserve"> </w:t>
      </w:r>
      <w:r w:rsidR="00B07501" w:rsidRPr="00F569AE">
        <w:rPr>
          <w:rFonts w:ascii="Calibri" w:hAnsi="Calibri" w:cs="Calibri"/>
          <w:lang w:val="en-US"/>
        </w:rPr>
        <w:t>as well as</w:t>
      </w:r>
      <w:r w:rsidR="00914496" w:rsidRPr="00F569AE">
        <w:rPr>
          <w:rFonts w:ascii="Calibri" w:hAnsi="Calibri" w:cs="Calibri"/>
          <w:lang w:val="en-US"/>
        </w:rPr>
        <w:t xml:space="preserve"> </w:t>
      </w:r>
      <w:r w:rsidR="00914496" w:rsidRPr="00F569AE">
        <w:rPr>
          <w:rFonts w:ascii="Calibri" w:hAnsi="Calibri" w:cs="Calibri"/>
          <w:b/>
          <w:i/>
          <w:lang w:val="en-US"/>
        </w:rPr>
        <w:t>with the</w:t>
      </w:r>
      <w:r w:rsidR="00B07501" w:rsidRPr="00F569AE">
        <w:rPr>
          <w:rFonts w:ascii="Calibri" w:hAnsi="Calibri" w:cs="Calibri"/>
          <w:b/>
          <w:i/>
          <w:lang w:val="en-US"/>
        </w:rPr>
        <w:t xml:space="preserve"> priorities set in the</w:t>
      </w:r>
      <w:r w:rsidR="00914496" w:rsidRPr="00F569AE">
        <w:rPr>
          <w:rFonts w:ascii="Calibri" w:hAnsi="Calibri" w:cs="Calibri"/>
          <w:b/>
          <w:i/>
          <w:lang w:val="en-US"/>
        </w:rPr>
        <w:t xml:space="preserve"> entity-level</w:t>
      </w:r>
      <w:r w:rsidR="00914496" w:rsidRPr="00F569AE">
        <w:rPr>
          <w:rFonts w:ascii="Calibri" w:hAnsi="Calibri" w:cs="Calibri"/>
          <w:lang w:val="en-US"/>
        </w:rPr>
        <w:t xml:space="preserve"> Water Management Strategies</w:t>
      </w:r>
      <w:r w:rsidR="006C3579" w:rsidRPr="00F569AE">
        <w:rPr>
          <w:rFonts w:ascii="Calibri" w:hAnsi="Calibri" w:cs="Calibri"/>
          <w:lang w:val="en-US"/>
        </w:rPr>
        <w:t xml:space="preserve"> and SDG Framework in BiH</w:t>
      </w:r>
      <w:r w:rsidR="00B07501" w:rsidRPr="00F569AE">
        <w:rPr>
          <w:rFonts w:ascii="Calibri" w:hAnsi="Calibri" w:cs="Calibri"/>
          <w:lang w:val="en-US"/>
        </w:rPr>
        <w:t>.</w:t>
      </w:r>
      <w:r w:rsidR="006C3579" w:rsidRPr="00F569AE">
        <w:rPr>
          <w:rStyle w:val="FootnoteReference"/>
          <w:rFonts w:ascii="Calibri" w:hAnsi="Calibri" w:cs="Calibri"/>
          <w:lang w:val="en-US"/>
        </w:rPr>
        <w:footnoteReference w:id="38"/>
      </w:r>
      <w:r w:rsidR="00B07501" w:rsidRPr="00F569AE">
        <w:rPr>
          <w:rFonts w:ascii="Calibri" w:hAnsi="Calibri" w:cs="Calibri"/>
          <w:lang w:val="en-US"/>
        </w:rPr>
        <w:t xml:space="preserve"> </w:t>
      </w:r>
    </w:p>
    <w:p w14:paraId="14D897F8" w14:textId="77777777" w:rsidR="00D2048A" w:rsidRDefault="00D2048A" w:rsidP="00B40C34">
      <w:pPr>
        <w:spacing w:line="276" w:lineRule="auto"/>
        <w:jc w:val="both"/>
        <w:rPr>
          <w:rFonts w:ascii="Calibri" w:hAnsi="Calibri" w:cs="Calibri"/>
          <w:lang w:val="en-US"/>
        </w:rPr>
      </w:pPr>
    </w:p>
    <w:p w14:paraId="30A8C97E" w14:textId="1A581263" w:rsidR="00732DFF" w:rsidRDefault="00A7491D" w:rsidP="003A1AE9">
      <w:pPr>
        <w:spacing w:line="276" w:lineRule="auto"/>
        <w:jc w:val="both"/>
        <w:rPr>
          <w:rFonts w:ascii="Calibri" w:hAnsi="Calibri" w:cs="Calibri"/>
          <w:lang w:val="en-US"/>
        </w:rPr>
      </w:pPr>
      <w:r>
        <w:rPr>
          <w:rFonts w:ascii="Calibri" w:hAnsi="Calibri" w:cs="Calibri"/>
          <w:lang w:val="en-US"/>
        </w:rPr>
        <w:t xml:space="preserve">The project </w:t>
      </w:r>
      <w:r w:rsidR="00D2048A">
        <w:rPr>
          <w:rFonts w:ascii="Calibri" w:hAnsi="Calibri" w:cs="Calibri"/>
          <w:lang w:val="en-US"/>
        </w:rPr>
        <w:t xml:space="preserve">design and implementation </w:t>
      </w:r>
      <w:r>
        <w:rPr>
          <w:rFonts w:ascii="Calibri" w:hAnsi="Calibri" w:cs="Calibri"/>
          <w:lang w:val="en-US"/>
        </w:rPr>
        <w:t xml:space="preserve">demonstrated high relevance to domestic and sectoral strategic priorities - </w:t>
      </w:r>
      <w:r w:rsidR="00B07501" w:rsidRPr="00F569AE">
        <w:rPr>
          <w:rFonts w:ascii="Calibri" w:hAnsi="Calibri" w:cs="Calibri"/>
          <w:lang w:val="en-US"/>
        </w:rPr>
        <w:t xml:space="preserve">Table </w:t>
      </w:r>
      <w:r w:rsidR="000961BA">
        <w:rPr>
          <w:rFonts w:ascii="Calibri" w:hAnsi="Calibri" w:cs="Calibri"/>
          <w:lang w:val="en-US"/>
        </w:rPr>
        <w:t>2</w:t>
      </w:r>
      <w:r w:rsidR="00B07501" w:rsidRPr="00F569AE">
        <w:rPr>
          <w:rFonts w:ascii="Calibri" w:hAnsi="Calibri" w:cs="Calibri"/>
          <w:lang w:val="en-US"/>
        </w:rPr>
        <w:t xml:space="preserve"> below</w:t>
      </w:r>
      <w:r>
        <w:rPr>
          <w:rFonts w:ascii="Calibri" w:hAnsi="Calibri" w:cs="Calibri"/>
          <w:lang w:val="en-US"/>
        </w:rPr>
        <w:t xml:space="preserve"> </w:t>
      </w:r>
      <w:r w:rsidR="00B07501" w:rsidRPr="00F569AE">
        <w:rPr>
          <w:rFonts w:ascii="Calibri" w:hAnsi="Calibri" w:cs="Calibri"/>
          <w:lang w:val="en-US"/>
        </w:rPr>
        <w:t xml:space="preserve">provides an overview </w:t>
      </w:r>
      <w:r w:rsidR="00B235A1" w:rsidRPr="00F569AE">
        <w:rPr>
          <w:rFonts w:ascii="Calibri" w:hAnsi="Calibri" w:cs="Calibri"/>
          <w:lang w:val="en-US"/>
        </w:rPr>
        <w:t xml:space="preserve">on </w:t>
      </w:r>
      <w:r w:rsidR="00B07501" w:rsidRPr="00F569AE">
        <w:rPr>
          <w:rFonts w:ascii="Calibri" w:hAnsi="Calibri" w:cs="Calibri"/>
          <w:lang w:val="en-US"/>
        </w:rPr>
        <w:t xml:space="preserve">how </w:t>
      </w:r>
      <w:r w:rsidR="003145CC">
        <w:rPr>
          <w:rFonts w:ascii="Calibri" w:hAnsi="Calibri" w:cs="Calibri"/>
          <w:lang w:val="en-US"/>
        </w:rPr>
        <w:t>key</w:t>
      </w:r>
      <w:r w:rsidR="00B07501" w:rsidRPr="00F569AE">
        <w:rPr>
          <w:rFonts w:ascii="Calibri" w:hAnsi="Calibri" w:cs="Calibri"/>
          <w:lang w:val="en-US"/>
        </w:rPr>
        <w:t xml:space="preserve"> tool</w:t>
      </w:r>
      <w:r w:rsidR="003145CC">
        <w:rPr>
          <w:rFonts w:ascii="Calibri" w:hAnsi="Calibri" w:cs="Calibri"/>
          <w:lang w:val="en-US"/>
        </w:rPr>
        <w:t>s</w:t>
      </w:r>
      <w:r w:rsidR="00F11B30" w:rsidRPr="00F569AE">
        <w:rPr>
          <w:rFonts w:ascii="Calibri" w:hAnsi="Calibri" w:cs="Calibri"/>
          <w:lang w:val="en-US"/>
        </w:rPr>
        <w:t>/solution</w:t>
      </w:r>
      <w:r w:rsidR="003145CC">
        <w:rPr>
          <w:rFonts w:ascii="Calibri" w:hAnsi="Calibri" w:cs="Calibri"/>
          <w:lang w:val="en-US"/>
        </w:rPr>
        <w:t>s</w:t>
      </w:r>
      <w:r w:rsidR="00B07501" w:rsidRPr="00F569AE">
        <w:rPr>
          <w:rFonts w:ascii="Calibri" w:hAnsi="Calibri" w:cs="Calibri"/>
          <w:lang w:val="en-US"/>
        </w:rPr>
        <w:t xml:space="preserve"> designed within the project </w:t>
      </w:r>
      <w:r w:rsidR="003145CC">
        <w:rPr>
          <w:rFonts w:ascii="Calibri" w:hAnsi="Calibri" w:cs="Calibri"/>
          <w:lang w:val="en-US"/>
        </w:rPr>
        <w:t>were</w:t>
      </w:r>
      <w:r w:rsidR="00B07501" w:rsidRPr="00F569AE">
        <w:rPr>
          <w:rFonts w:ascii="Calibri" w:hAnsi="Calibri" w:cs="Calibri"/>
          <w:lang w:val="en-US"/>
        </w:rPr>
        <w:t xml:space="preserve"> firmly situated within broader normative and strategic contexts, ensuring both cross-sectoral relevance and alignment with </w:t>
      </w:r>
      <w:r w:rsidR="003145CC">
        <w:rPr>
          <w:rFonts w:ascii="Calibri" w:hAnsi="Calibri" w:cs="Calibri"/>
          <w:lang w:val="en-US"/>
        </w:rPr>
        <w:t xml:space="preserve">the </w:t>
      </w:r>
      <w:r w:rsidR="00B07501" w:rsidRPr="00F569AE">
        <w:rPr>
          <w:rFonts w:ascii="Calibri" w:hAnsi="Calibri" w:cs="Calibri"/>
          <w:lang w:val="en-US"/>
        </w:rPr>
        <w:t>established standards and policies at the EU, UN/UNDP, and at all policy levels within BiH.</w:t>
      </w:r>
      <w:r w:rsidR="00391F16" w:rsidRPr="00F569AE">
        <w:rPr>
          <w:rFonts w:ascii="Calibri" w:hAnsi="Calibri" w:cs="Calibri"/>
          <w:lang w:val="en-US"/>
        </w:rPr>
        <w:t xml:space="preserve"> </w:t>
      </w:r>
      <w:r w:rsidR="00B40C34" w:rsidRPr="00F569AE">
        <w:rPr>
          <w:rFonts w:ascii="Calibri" w:hAnsi="Calibri" w:cs="Calibri"/>
          <w:lang w:val="en-US"/>
        </w:rPr>
        <w:t xml:space="preserve">Table </w:t>
      </w:r>
      <w:r w:rsidR="000961BA">
        <w:rPr>
          <w:rFonts w:ascii="Calibri" w:hAnsi="Calibri" w:cs="Calibri"/>
          <w:lang w:val="en-US"/>
        </w:rPr>
        <w:t>2</w:t>
      </w:r>
      <w:r w:rsidR="00B40C34">
        <w:rPr>
          <w:rFonts w:ascii="Calibri" w:hAnsi="Calibri" w:cs="Calibri"/>
          <w:lang w:val="en-US"/>
        </w:rPr>
        <w:t xml:space="preserve"> </w:t>
      </w:r>
      <w:r w:rsidR="00B40C34" w:rsidRPr="00F569AE">
        <w:rPr>
          <w:rFonts w:ascii="Calibri" w:hAnsi="Calibri" w:cs="Calibri"/>
          <w:lang w:val="en-US"/>
        </w:rPr>
        <w:t>also indicate</w:t>
      </w:r>
      <w:r w:rsidR="00B40C34">
        <w:rPr>
          <w:rFonts w:ascii="Calibri" w:hAnsi="Calibri" w:cs="Calibri"/>
          <w:lang w:val="en-US"/>
        </w:rPr>
        <w:t>s</w:t>
      </w:r>
      <w:r w:rsidR="00B40C34" w:rsidRPr="00F569AE">
        <w:rPr>
          <w:rFonts w:ascii="Calibri" w:hAnsi="Calibri" w:cs="Calibri"/>
          <w:lang w:val="en-US"/>
        </w:rPr>
        <w:t xml:space="preserve"> the strong continuity with the previous phase of the MEG programme, indicating</w:t>
      </w:r>
      <w:r w:rsidR="00B40C34">
        <w:rPr>
          <w:rFonts w:ascii="Calibri" w:hAnsi="Calibri" w:cs="Calibri"/>
          <w:lang w:val="en-US"/>
        </w:rPr>
        <w:t xml:space="preserve"> </w:t>
      </w:r>
      <w:r w:rsidR="00B40C34" w:rsidRPr="00F569AE">
        <w:rPr>
          <w:rFonts w:ascii="Calibri" w:hAnsi="Calibri" w:cs="Calibri"/>
          <w:lang w:val="en-US"/>
        </w:rPr>
        <w:t xml:space="preserve">that some solutions were developed during the previous phase and enhanced and updated during the second phase (e.g. </w:t>
      </w:r>
      <w:r w:rsidR="001F5342">
        <w:rPr>
          <w:rFonts w:ascii="Calibri" w:hAnsi="Calibri" w:cs="Calibri"/>
          <w:lang w:val="en-US"/>
        </w:rPr>
        <w:t>e</w:t>
      </w:r>
      <w:r w:rsidR="00B40C34" w:rsidRPr="00F569AE">
        <w:rPr>
          <w:rFonts w:ascii="Calibri" w:hAnsi="Calibri" w:cs="Calibri"/>
          <w:lang w:val="en-US"/>
        </w:rPr>
        <w:t xml:space="preserve">-Citizens platform). Also, the overview provided in Table </w:t>
      </w:r>
      <w:r w:rsidR="00F05EFB">
        <w:rPr>
          <w:rFonts w:ascii="Calibri" w:hAnsi="Calibri" w:cs="Calibri"/>
          <w:lang w:val="en-US"/>
        </w:rPr>
        <w:t>2</w:t>
      </w:r>
      <w:r w:rsidR="00B40C34" w:rsidRPr="00F569AE">
        <w:rPr>
          <w:rFonts w:ascii="Calibri" w:hAnsi="Calibri" w:cs="Calibri"/>
          <w:lang w:val="en-US"/>
        </w:rPr>
        <w:t xml:space="preserve"> indicate</w:t>
      </w:r>
      <w:r w:rsidR="00B40C34">
        <w:rPr>
          <w:rFonts w:ascii="Calibri" w:hAnsi="Calibri" w:cs="Calibri"/>
          <w:lang w:val="en-US"/>
        </w:rPr>
        <w:t>s that</w:t>
      </w:r>
      <w:r w:rsidR="00B40C34" w:rsidRPr="00F569AE">
        <w:rPr>
          <w:rFonts w:ascii="Calibri" w:hAnsi="Calibri" w:cs="Calibri"/>
          <w:lang w:val="en-US"/>
        </w:rPr>
        <w:t xml:space="preserve"> the project leveraged some of the other projects implemented under UNDP Governance portfolio (e.g. the financial and operational performance plans were initially developed under UNDP </w:t>
      </w:r>
      <w:r w:rsidR="00792CDC" w:rsidRPr="00F569AE">
        <w:rPr>
          <w:rFonts w:ascii="Calibri" w:hAnsi="Calibri" w:cs="Calibri"/>
          <w:lang w:val="en-US"/>
        </w:rPr>
        <w:t>Integrated Local Development Project (ILDP) 2008-2018</w:t>
      </w:r>
      <w:r w:rsidR="00792CDC">
        <w:rPr>
          <w:rFonts w:ascii="Calibri" w:hAnsi="Calibri" w:cs="Calibri"/>
          <w:lang w:val="en-US"/>
        </w:rPr>
        <w:t xml:space="preserve"> </w:t>
      </w:r>
      <w:r w:rsidR="00B40C34" w:rsidRPr="00B40C34">
        <w:rPr>
          <w:rFonts w:ascii="Calibri" w:hAnsi="Calibri" w:cs="Calibri"/>
          <w:lang w:val="en-US"/>
        </w:rPr>
        <w:t>project</w:t>
      </w:r>
      <w:r w:rsidR="00B40C34">
        <w:rPr>
          <w:rFonts w:ascii="Calibri" w:hAnsi="Calibri" w:cs="Calibri"/>
          <w:lang w:val="en-US"/>
        </w:rPr>
        <w:t>)</w:t>
      </w:r>
      <w:r w:rsidR="00B40C34" w:rsidRPr="00B40C34">
        <w:rPr>
          <w:rFonts w:ascii="Calibri" w:hAnsi="Calibri" w:cs="Calibri"/>
          <w:lang w:val="en-US"/>
        </w:rPr>
        <w:t xml:space="preserve">. </w:t>
      </w:r>
      <w:r w:rsidR="00B40C34" w:rsidRPr="00F569AE">
        <w:rPr>
          <w:rFonts w:ascii="Calibri" w:hAnsi="Calibri" w:cs="Calibri"/>
          <w:lang w:val="en-US"/>
        </w:rPr>
        <w:t xml:space="preserve">Through such comprehensive alignment the project was strategically positioned within a </w:t>
      </w:r>
      <w:r w:rsidR="00B40C34" w:rsidRPr="00F569AE">
        <w:rPr>
          <w:rFonts w:ascii="Calibri" w:hAnsi="Calibri" w:cs="Calibri"/>
          <w:lang w:val="en-US"/>
        </w:rPr>
        <w:lastRenderedPageBreak/>
        <w:t xml:space="preserve">broader policy landscape, reinforcing thereby normative and operational context for the water service and </w:t>
      </w:r>
      <w:r w:rsidR="005A683A">
        <w:rPr>
          <w:rFonts w:ascii="Calibri" w:hAnsi="Calibri" w:cs="Calibri"/>
          <w:lang w:val="en-US"/>
        </w:rPr>
        <w:t xml:space="preserve">local governance and consequently, the </w:t>
      </w:r>
      <w:r w:rsidR="00B40C34" w:rsidRPr="00F569AE">
        <w:rPr>
          <w:rFonts w:ascii="Calibri" w:hAnsi="Calibri" w:cs="Calibri"/>
          <w:lang w:val="en-US"/>
        </w:rPr>
        <w:t>water sector modernization in BiH</w:t>
      </w:r>
      <w:r w:rsidR="002646E4">
        <w:rPr>
          <w:rFonts w:ascii="Calibri" w:hAnsi="Calibri" w:cs="Calibri"/>
          <w:lang w:val="en-US"/>
        </w:rPr>
        <w:t xml:space="preserve">. </w:t>
      </w:r>
    </w:p>
    <w:p w14:paraId="3404C3F7" w14:textId="77777777" w:rsidR="00E1438D" w:rsidRDefault="00E1438D" w:rsidP="003A1AE9">
      <w:pPr>
        <w:spacing w:line="276" w:lineRule="auto"/>
        <w:jc w:val="both"/>
        <w:rPr>
          <w:rFonts w:ascii="Calibri" w:hAnsi="Calibri" w:cs="Calibri"/>
          <w:lang w:val="en-US"/>
        </w:rPr>
      </w:pPr>
    </w:p>
    <w:p w14:paraId="022A8373" w14:textId="025CCF11" w:rsidR="00E1438D" w:rsidRPr="00F569AE" w:rsidRDefault="00E1438D" w:rsidP="00E1438D">
      <w:pPr>
        <w:spacing w:line="276" w:lineRule="auto"/>
        <w:jc w:val="both"/>
        <w:rPr>
          <w:rFonts w:ascii="Calibri" w:hAnsi="Calibri" w:cs="Calibri"/>
          <w:lang w:val="en-US"/>
        </w:rPr>
      </w:pPr>
      <w:r w:rsidRPr="00F569AE">
        <w:rPr>
          <w:rFonts w:ascii="Calibri" w:hAnsi="Calibri" w:cs="Calibri"/>
          <w:lang w:val="en-US"/>
        </w:rPr>
        <w:t xml:space="preserve">The primary ambition of the project to address systemic challenges in drinking water and wastewater </w:t>
      </w:r>
      <w:r w:rsidR="0096331E">
        <w:rPr>
          <w:rFonts w:ascii="Calibri" w:hAnsi="Calibri" w:cs="Calibri"/>
          <w:lang w:val="en-US"/>
        </w:rPr>
        <w:t xml:space="preserve">with equal extent </w:t>
      </w:r>
      <w:r w:rsidRPr="00F569AE">
        <w:rPr>
          <w:rFonts w:ascii="Calibri" w:hAnsi="Calibri" w:cs="Calibri"/>
          <w:lang w:val="en-US"/>
        </w:rPr>
        <w:t xml:space="preserve">proved to be too broad for the absorbing capacity of all project stakeholders, which resulted in </w:t>
      </w:r>
      <w:r w:rsidR="0096331E">
        <w:rPr>
          <w:rFonts w:ascii="Calibri" w:hAnsi="Calibri" w:cs="Calibri"/>
          <w:lang w:val="en-US"/>
        </w:rPr>
        <w:t xml:space="preserve">primary focus on </w:t>
      </w:r>
      <w:r w:rsidRPr="00F569AE">
        <w:rPr>
          <w:rFonts w:ascii="Calibri" w:hAnsi="Calibri" w:cs="Calibri"/>
          <w:lang w:val="en-US"/>
        </w:rPr>
        <w:t xml:space="preserve">drinking water services. </w:t>
      </w:r>
      <w:r w:rsidR="0096331E">
        <w:rPr>
          <w:rFonts w:ascii="Calibri" w:hAnsi="Calibri" w:cs="Calibri"/>
          <w:lang w:val="en-US"/>
        </w:rPr>
        <w:t xml:space="preserve">Though the scope of the project interventions – e.g. policy work, capacity development, institution building, and such – provided foundations for water services improvement, including drinking water and wastewater management, and </w:t>
      </w:r>
      <w:r w:rsidR="00960BFB">
        <w:rPr>
          <w:rFonts w:ascii="Calibri" w:hAnsi="Calibri" w:cs="Calibri"/>
          <w:lang w:val="en-US"/>
        </w:rPr>
        <w:t xml:space="preserve">with potential to </w:t>
      </w:r>
      <w:r w:rsidRPr="00F569AE">
        <w:rPr>
          <w:rFonts w:ascii="Calibri" w:hAnsi="Calibri" w:cs="Calibri"/>
          <w:lang w:val="en-US"/>
        </w:rPr>
        <w:t xml:space="preserve">serve as a catalyst for the </w:t>
      </w:r>
      <w:r w:rsidR="003145CC">
        <w:rPr>
          <w:rFonts w:ascii="Calibri" w:hAnsi="Calibri" w:cs="Calibri"/>
          <w:lang w:val="en-US"/>
        </w:rPr>
        <w:t xml:space="preserve">entire </w:t>
      </w:r>
      <w:r w:rsidRPr="00F569AE">
        <w:rPr>
          <w:rFonts w:ascii="Calibri" w:hAnsi="Calibri" w:cs="Calibri"/>
          <w:lang w:val="en-US"/>
        </w:rPr>
        <w:t>water sector modernization</w:t>
      </w:r>
      <w:r w:rsidR="00960BFB">
        <w:rPr>
          <w:rFonts w:ascii="Calibri" w:hAnsi="Calibri" w:cs="Calibri"/>
          <w:lang w:val="en-US"/>
        </w:rPr>
        <w:t xml:space="preserve"> and strengthening local governance in BiH for</w:t>
      </w:r>
      <w:r w:rsidR="00AD0774">
        <w:rPr>
          <w:rFonts w:ascii="Calibri" w:hAnsi="Calibri" w:cs="Calibri"/>
          <w:lang w:val="en-US"/>
        </w:rPr>
        <w:t xml:space="preserve"> improved communal</w:t>
      </w:r>
      <w:r w:rsidR="0078392C">
        <w:rPr>
          <w:rFonts w:ascii="Calibri" w:hAnsi="Calibri" w:cs="Calibri"/>
          <w:lang w:val="en-US"/>
        </w:rPr>
        <w:t xml:space="preserve"> </w:t>
      </w:r>
      <w:r w:rsidR="00960BFB">
        <w:rPr>
          <w:rFonts w:ascii="Calibri" w:hAnsi="Calibri" w:cs="Calibri"/>
          <w:lang w:val="en-US"/>
        </w:rPr>
        <w:t>service provision at the municipal level</w:t>
      </w:r>
      <w:r w:rsidRPr="00F569AE">
        <w:rPr>
          <w:rFonts w:ascii="Calibri" w:hAnsi="Calibri" w:cs="Calibri"/>
          <w:lang w:val="en-US"/>
        </w:rPr>
        <w:t>.</w:t>
      </w:r>
    </w:p>
    <w:p w14:paraId="56E9E387" w14:textId="77777777" w:rsidR="00E1438D" w:rsidRDefault="00E1438D" w:rsidP="003A1AE9">
      <w:pPr>
        <w:spacing w:line="276" w:lineRule="auto"/>
        <w:jc w:val="both"/>
        <w:rPr>
          <w:rFonts w:ascii="Calibri" w:hAnsi="Calibri" w:cs="Calibri"/>
          <w:lang w:val="en-US"/>
        </w:rPr>
      </w:pPr>
    </w:p>
    <w:p w14:paraId="6D85BA0A" w14:textId="609E979C" w:rsidR="00B97167" w:rsidRPr="00F569AE" w:rsidRDefault="00B97167" w:rsidP="003A1AE9">
      <w:pPr>
        <w:spacing w:line="276" w:lineRule="auto"/>
        <w:jc w:val="both"/>
        <w:rPr>
          <w:rFonts w:ascii="Calibri" w:hAnsi="Calibri" w:cs="Calibri"/>
          <w:lang w:val="en-US"/>
        </w:rPr>
        <w:sectPr w:rsidR="00B97167" w:rsidRPr="00F569AE" w:rsidSect="00343DAD">
          <w:footerReference w:type="even" r:id="rId16"/>
          <w:footerReference w:type="default" r:id="rId17"/>
          <w:pgSz w:w="11900" w:h="16820"/>
          <w:pgMar w:top="1440" w:right="1440" w:bottom="1440" w:left="1440" w:header="708" w:footer="708" w:gutter="0"/>
          <w:cols w:space="708"/>
          <w:titlePg/>
          <w:docGrid w:linePitch="360"/>
        </w:sectPr>
      </w:pPr>
    </w:p>
    <w:p w14:paraId="6B698667" w14:textId="5526F582" w:rsidR="008224F6" w:rsidRPr="00F569AE" w:rsidRDefault="008224F6" w:rsidP="006E1D2B">
      <w:pPr>
        <w:spacing w:line="276" w:lineRule="auto"/>
        <w:jc w:val="both"/>
        <w:rPr>
          <w:rFonts w:ascii="Calibri" w:hAnsi="Calibri" w:cs="Calibri"/>
          <w:b/>
          <w:lang w:val="en-US"/>
        </w:rPr>
      </w:pPr>
      <w:r w:rsidRPr="00F569AE">
        <w:rPr>
          <w:rFonts w:ascii="Calibri" w:hAnsi="Calibri" w:cs="Calibri"/>
          <w:b/>
          <w:lang w:val="en-US"/>
        </w:rPr>
        <w:lastRenderedPageBreak/>
        <w:t xml:space="preserve">Table </w:t>
      </w:r>
      <w:r w:rsidR="000961BA">
        <w:rPr>
          <w:rFonts w:ascii="Calibri" w:hAnsi="Calibri" w:cs="Calibri"/>
          <w:b/>
          <w:lang w:val="en-US"/>
        </w:rPr>
        <w:t>2</w:t>
      </w:r>
      <w:r w:rsidRPr="00F569AE">
        <w:rPr>
          <w:rFonts w:ascii="Calibri" w:hAnsi="Calibri" w:cs="Calibri"/>
          <w:b/>
          <w:lang w:val="en-US"/>
        </w:rPr>
        <w:t>: Normative contest of the tools produced within the project</w:t>
      </w:r>
    </w:p>
    <w:tbl>
      <w:tblPr>
        <w:tblStyle w:val="TableGrid"/>
        <w:tblW w:w="14029" w:type="dxa"/>
        <w:tblLook w:val="04A0" w:firstRow="1" w:lastRow="0" w:firstColumn="1" w:lastColumn="0" w:noHBand="0" w:noVBand="1"/>
      </w:tblPr>
      <w:tblGrid>
        <w:gridCol w:w="1555"/>
        <w:gridCol w:w="3402"/>
        <w:gridCol w:w="2835"/>
        <w:gridCol w:w="6237"/>
      </w:tblGrid>
      <w:tr w:rsidR="008224F6" w:rsidRPr="00F569AE" w14:paraId="0AF163DD" w14:textId="77777777" w:rsidTr="43F76C25">
        <w:trPr>
          <w:tblHeader/>
        </w:trPr>
        <w:tc>
          <w:tcPr>
            <w:tcW w:w="1555" w:type="dxa"/>
            <w:shd w:val="clear" w:color="auto" w:fill="D9D9D9" w:themeFill="background1" w:themeFillShade="D9"/>
            <w:vAlign w:val="center"/>
          </w:tcPr>
          <w:p w14:paraId="33DF5556" w14:textId="77777777" w:rsidR="004C1518" w:rsidRPr="00F569AE" w:rsidRDefault="008224F6" w:rsidP="00A5744A">
            <w:pPr>
              <w:jc w:val="center"/>
              <w:rPr>
                <w:rFonts w:ascii="Calibri" w:hAnsi="Calibri" w:cs="Calibri"/>
                <w:b/>
                <w:sz w:val="21"/>
                <w:szCs w:val="21"/>
                <w:lang w:val="en-US"/>
              </w:rPr>
            </w:pPr>
            <w:r w:rsidRPr="00F569AE">
              <w:rPr>
                <w:rFonts w:ascii="Calibri" w:hAnsi="Calibri" w:cs="Calibri"/>
                <w:b/>
                <w:sz w:val="21"/>
                <w:szCs w:val="21"/>
                <w:lang w:val="en-US"/>
              </w:rPr>
              <w:t>Instrument</w:t>
            </w:r>
            <w:r w:rsidR="004C1518" w:rsidRPr="00F569AE">
              <w:rPr>
                <w:rFonts w:ascii="Calibri" w:hAnsi="Calibri" w:cs="Calibri"/>
                <w:b/>
                <w:sz w:val="21"/>
                <w:szCs w:val="21"/>
                <w:lang w:val="en-US"/>
              </w:rPr>
              <w:t>s/</w:t>
            </w:r>
          </w:p>
          <w:p w14:paraId="6FD48B2C" w14:textId="2A80DD59" w:rsidR="008224F6" w:rsidRPr="00F569AE" w:rsidRDefault="00A32B16" w:rsidP="00A5744A">
            <w:pPr>
              <w:jc w:val="center"/>
              <w:rPr>
                <w:rFonts w:ascii="Calibri" w:hAnsi="Calibri" w:cs="Calibri"/>
                <w:b/>
                <w:sz w:val="21"/>
                <w:szCs w:val="21"/>
                <w:lang w:val="en-US"/>
              </w:rPr>
            </w:pPr>
            <w:r w:rsidRPr="00F569AE">
              <w:rPr>
                <w:rFonts w:ascii="Calibri" w:hAnsi="Calibri" w:cs="Calibri"/>
                <w:b/>
                <w:sz w:val="21"/>
                <w:szCs w:val="21"/>
                <w:lang w:val="en-US"/>
              </w:rPr>
              <w:t>S</w:t>
            </w:r>
            <w:r w:rsidR="004C1518" w:rsidRPr="00F569AE">
              <w:rPr>
                <w:rFonts w:ascii="Calibri" w:hAnsi="Calibri" w:cs="Calibri"/>
                <w:b/>
                <w:sz w:val="21"/>
                <w:szCs w:val="21"/>
                <w:lang w:val="en-US"/>
              </w:rPr>
              <w:t>olutions</w:t>
            </w:r>
          </w:p>
        </w:tc>
        <w:tc>
          <w:tcPr>
            <w:tcW w:w="3402" w:type="dxa"/>
            <w:shd w:val="clear" w:color="auto" w:fill="D9D9D9" w:themeFill="background1" w:themeFillShade="D9"/>
            <w:vAlign w:val="center"/>
          </w:tcPr>
          <w:p w14:paraId="47EBF791" w14:textId="77777777" w:rsidR="008224F6" w:rsidRPr="00F569AE" w:rsidRDefault="008224F6" w:rsidP="00A5744A">
            <w:pPr>
              <w:jc w:val="center"/>
              <w:rPr>
                <w:rFonts w:ascii="Calibri" w:hAnsi="Calibri" w:cs="Calibri"/>
                <w:b/>
                <w:sz w:val="21"/>
                <w:szCs w:val="21"/>
                <w:lang w:val="en-US"/>
              </w:rPr>
            </w:pPr>
            <w:r w:rsidRPr="00F569AE">
              <w:rPr>
                <w:rFonts w:ascii="Calibri" w:hAnsi="Calibri" w:cs="Calibri"/>
                <w:b/>
                <w:sz w:val="21"/>
                <w:szCs w:val="21"/>
                <w:lang w:val="en-US"/>
              </w:rPr>
              <w:t xml:space="preserve">EU requirements  </w:t>
            </w:r>
          </w:p>
        </w:tc>
        <w:tc>
          <w:tcPr>
            <w:tcW w:w="2835" w:type="dxa"/>
            <w:shd w:val="clear" w:color="auto" w:fill="D9D9D9" w:themeFill="background1" w:themeFillShade="D9"/>
            <w:vAlign w:val="center"/>
          </w:tcPr>
          <w:p w14:paraId="428554C3" w14:textId="77777777" w:rsidR="008224F6" w:rsidRPr="00F569AE" w:rsidRDefault="008224F6" w:rsidP="00A5744A">
            <w:pPr>
              <w:jc w:val="center"/>
              <w:rPr>
                <w:rFonts w:ascii="Calibri" w:hAnsi="Calibri" w:cs="Calibri"/>
                <w:b/>
                <w:sz w:val="21"/>
                <w:szCs w:val="21"/>
                <w:lang w:val="en-US"/>
              </w:rPr>
            </w:pPr>
            <w:r w:rsidRPr="00F569AE">
              <w:rPr>
                <w:rFonts w:ascii="Calibri" w:hAnsi="Calibri" w:cs="Calibri"/>
                <w:b/>
                <w:sz w:val="21"/>
                <w:szCs w:val="21"/>
                <w:lang w:val="en-US"/>
              </w:rPr>
              <w:t>UN / UNDP project / programme</w:t>
            </w:r>
          </w:p>
        </w:tc>
        <w:tc>
          <w:tcPr>
            <w:tcW w:w="6237" w:type="dxa"/>
            <w:shd w:val="clear" w:color="auto" w:fill="D9D9D9" w:themeFill="background1" w:themeFillShade="D9"/>
            <w:vAlign w:val="center"/>
          </w:tcPr>
          <w:p w14:paraId="10118393" w14:textId="77777777" w:rsidR="008224F6" w:rsidRPr="00F569AE" w:rsidRDefault="008224F6" w:rsidP="00A5744A">
            <w:pPr>
              <w:jc w:val="center"/>
              <w:rPr>
                <w:rFonts w:ascii="Calibri" w:hAnsi="Calibri" w:cs="Calibri"/>
                <w:b/>
                <w:sz w:val="21"/>
                <w:szCs w:val="21"/>
                <w:lang w:val="en-US"/>
              </w:rPr>
            </w:pPr>
            <w:r w:rsidRPr="00F569AE">
              <w:rPr>
                <w:rFonts w:ascii="Calibri" w:hAnsi="Calibri" w:cs="Calibri"/>
                <w:b/>
                <w:sz w:val="21"/>
                <w:szCs w:val="21"/>
                <w:lang w:val="en-US"/>
              </w:rPr>
              <w:t>National legal / strategic framework</w:t>
            </w:r>
          </w:p>
        </w:tc>
      </w:tr>
      <w:tr w:rsidR="004C1518" w:rsidRPr="00F569AE" w14:paraId="730B99A3" w14:textId="77777777" w:rsidTr="43F76C25">
        <w:trPr>
          <w:trHeight w:val="1130"/>
        </w:trPr>
        <w:tc>
          <w:tcPr>
            <w:tcW w:w="1555" w:type="dxa"/>
          </w:tcPr>
          <w:p w14:paraId="6990D75F" w14:textId="77777777" w:rsidR="008224F6" w:rsidRPr="00F569AE" w:rsidRDefault="008224F6" w:rsidP="00A5744A">
            <w:pPr>
              <w:rPr>
                <w:rFonts w:ascii="Calibri" w:hAnsi="Calibri" w:cs="Calibri"/>
                <w:b/>
                <w:sz w:val="21"/>
                <w:szCs w:val="21"/>
                <w:lang w:val="en-US"/>
              </w:rPr>
            </w:pPr>
            <w:r w:rsidRPr="00F569AE">
              <w:rPr>
                <w:rFonts w:ascii="Calibri" w:hAnsi="Calibri" w:cs="Calibri"/>
                <w:b/>
                <w:sz w:val="21"/>
                <w:szCs w:val="21"/>
                <w:lang w:val="en-US"/>
              </w:rPr>
              <w:t xml:space="preserve">Common Assessment Framework - CAF </w:t>
            </w:r>
          </w:p>
        </w:tc>
        <w:tc>
          <w:tcPr>
            <w:tcW w:w="3402" w:type="dxa"/>
          </w:tcPr>
          <w:p w14:paraId="74A3394A" w14:textId="77777777" w:rsidR="008224F6" w:rsidRPr="00F569AE" w:rsidRDefault="008224F6" w:rsidP="00A5744A">
            <w:pPr>
              <w:pStyle w:val="NormalWeb"/>
              <w:shd w:val="clear" w:color="auto" w:fill="FFFFFF"/>
              <w:rPr>
                <w:rFonts w:ascii="Calibri" w:hAnsi="Calibri" w:cs="Calibri"/>
                <w:sz w:val="21"/>
                <w:szCs w:val="21"/>
              </w:rPr>
            </w:pPr>
            <w:r w:rsidRPr="00F569AE">
              <w:rPr>
                <w:rFonts w:ascii="Calibri" w:hAnsi="Calibri" w:cs="Calibri"/>
                <w:sz w:val="21"/>
                <w:szCs w:val="21"/>
              </w:rPr>
              <w:t>The twelve principles of good democratic governance advocated by the Council of Europe</w:t>
            </w:r>
          </w:p>
          <w:p w14:paraId="34D9CDA9" w14:textId="77777777" w:rsidR="008224F6" w:rsidRPr="00F569AE" w:rsidRDefault="008224F6" w:rsidP="00A5744A">
            <w:pPr>
              <w:pStyle w:val="NormalWeb"/>
              <w:shd w:val="clear" w:color="auto" w:fill="FFFFFF"/>
              <w:rPr>
                <w:rFonts w:ascii="Calibri" w:hAnsi="Calibri" w:cs="Calibri"/>
                <w:sz w:val="21"/>
                <w:szCs w:val="21"/>
              </w:rPr>
            </w:pPr>
          </w:p>
        </w:tc>
        <w:tc>
          <w:tcPr>
            <w:tcW w:w="2835" w:type="dxa"/>
          </w:tcPr>
          <w:p w14:paraId="22B396F3" w14:textId="45ED8D93" w:rsidR="008224F6" w:rsidRPr="00F569AE" w:rsidRDefault="1CD75AEA" w:rsidP="0033780B">
            <w:pPr>
              <w:pStyle w:val="ListParagraph"/>
              <w:numPr>
                <w:ilvl w:val="0"/>
                <w:numId w:val="14"/>
              </w:numPr>
              <w:rPr>
                <w:rFonts w:ascii="Calibri" w:hAnsi="Calibri" w:cs="Calibri"/>
                <w:sz w:val="21"/>
                <w:szCs w:val="21"/>
              </w:rPr>
            </w:pPr>
            <w:r w:rsidRPr="00F569AE">
              <w:rPr>
                <w:rFonts w:ascii="Calibri" w:hAnsi="Calibri" w:cs="Calibri"/>
                <w:sz w:val="21"/>
                <w:szCs w:val="21"/>
              </w:rPr>
              <w:t>MEG project - Introduction of Performance Management System (</w:t>
            </w:r>
            <w:r w:rsidR="008224F6" w:rsidRPr="00F569AE">
              <w:rPr>
                <w:rFonts w:ascii="Calibri" w:hAnsi="Calibri" w:cs="Calibri"/>
                <w:sz w:val="21"/>
                <w:szCs w:val="21"/>
              </w:rPr>
              <w:t>PM</w:t>
            </w:r>
            <w:r w:rsidR="00137285" w:rsidRPr="00F569AE">
              <w:rPr>
                <w:rFonts w:ascii="Calibri" w:hAnsi="Calibri" w:cs="Calibri"/>
                <w:sz w:val="21"/>
                <w:szCs w:val="21"/>
              </w:rPr>
              <w:t>S</w:t>
            </w:r>
            <w:r w:rsidRPr="00F569AE">
              <w:rPr>
                <w:rFonts w:ascii="Calibri" w:hAnsi="Calibri" w:cs="Calibri"/>
                <w:sz w:val="21"/>
                <w:szCs w:val="21"/>
              </w:rPr>
              <w:t xml:space="preserve">) </w:t>
            </w:r>
          </w:p>
          <w:p w14:paraId="5EB2B7DA" w14:textId="455D2BA0" w:rsidR="008224F6" w:rsidRPr="00F569AE" w:rsidRDefault="008224F6" w:rsidP="0033780B">
            <w:pPr>
              <w:pStyle w:val="ListParagraph"/>
              <w:numPr>
                <w:ilvl w:val="0"/>
                <w:numId w:val="14"/>
              </w:numPr>
              <w:rPr>
                <w:rFonts w:ascii="Calibri" w:hAnsi="Calibri" w:cs="Calibri"/>
                <w:sz w:val="21"/>
                <w:szCs w:val="21"/>
              </w:rPr>
            </w:pPr>
            <w:r w:rsidRPr="00F569AE">
              <w:rPr>
                <w:rFonts w:ascii="Calibri" w:hAnsi="Calibri" w:cs="Calibri"/>
                <w:sz w:val="21"/>
                <w:szCs w:val="21"/>
              </w:rPr>
              <w:t>MEG II project - Introduction of CAF4LGs</w:t>
            </w:r>
          </w:p>
          <w:p w14:paraId="0943FC4B" w14:textId="77777777" w:rsidR="008224F6" w:rsidRPr="00F569AE" w:rsidRDefault="008224F6" w:rsidP="00A5744A">
            <w:pPr>
              <w:rPr>
                <w:rFonts w:ascii="Calibri" w:hAnsi="Calibri" w:cs="Calibri"/>
                <w:sz w:val="21"/>
                <w:szCs w:val="21"/>
                <w:lang w:val="en-US"/>
              </w:rPr>
            </w:pPr>
          </w:p>
        </w:tc>
        <w:tc>
          <w:tcPr>
            <w:tcW w:w="6237" w:type="dxa"/>
          </w:tcPr>
          <w:p w14:paraId="10327169" w14:textId="77777777" w:rsidR="008224F6" w:rsidRPr="00F569AE" w:rsidRDefault="008224F6" w:rsidP="0033780B">
            <w:pPr>
              <w:pStyle w:val="ListParagraph"/>
              <w:numPr>
                <w:ilvl w:val="0"/>
                <w:numId w:val="20"/>
              </w:numPr>
              <w:ind w:left="360"/>
              <w:rPr>
                <w:rFonts w:ascii="Calibri" w:hAnsi="Calibri" w:cs="Calibri"/>
                <w:color w:val="212529"/>
                <w:sz w:val="21"/>
                <w:szCs w:val="21"/>
              </w:rPr>
            </w:pPr>
            <w:r w:rsidRPr="00F569AE">
              <w:rPr>
                <w:rFonts w:ascii="Calibri" w:hAnsi="Calibri" w:cs="Calibri"/>
                <w:color w:val="212529"/>
                <w:sz w:val="21"/>
                <w:szCs w:val="21"/>
              </w:rPr>
              <w:t xml:space="preserve">Decision on the approval of the Planning Document on the </w:t>
            </w:r>
            <w:hyperlink r:id="rId18" w:history="1">
              <w:r w:rsidRPr="00F569AE">
                <w:rPr>
                  <w:rStyle w:val="Hyperlink"/>
                  <w:rFonts w:ascii="Calibri" w:eastAsiaTheme="majorEastAsia" w:hAnsi="Calibri" w:cs="Calibri"/>
                  <w:sz w:val="21"/>
                  <w:szCs w:val="21"/>
                </w:rPr>
                <w:t>introduction of CAF standards</w:t>
              </w:r>
            </w:hyperlink>
            <w:r w:rsidRPr="00F569AE">
              <w:rPr>
                <w:rFonts w:ascii="Calibri" w:hAnsi="Calibri" w:cs="Calibri"/>
                <w:color w:val="212529"/>
                <w:sz w:val="21"/>
                <w:szCs w:val="21"/>
              </w:rPr>
              <w:t xml:space="preserve"> for quality management in civil service bodies for the period 2022-2024 (FBiH).</w:t>
            </w:r>
          </w:p>
          <w:p w14:paraId="7A358A67" w14:textId="77777777" w:rsidR="008224F6" w:rsidRPr="00F569AE" w:rsidRDefault="008224F6" w:rsidP="0033780B">
            <w:pPr>
              <w:pStyle w:val="ListParagraph"/>
              <w:numPr>
                <w:ilvl w:val="0"/>
                <w:numId w:val="20"/>
              </w:numPr>
              <w:ind w:left="360"/>
              <w:rPr>
                <w:rFonts w:ascii="Calibri" w:hAnsi="Calibri" w:cs="Calibri"/>
                <w:sz w:val="21"/>
                <w:szCs w:val="21"/>
              </w:rPr>
            </w:pPr>
            <w:r w:rsidRPr="00F569AE">
              <w:rPr>
                <w:rFonts w:ascii="Calibri" w:hAnsi="Calibri" w:cs="Calibri"/>
                <w:sz w:val="21"/>
                <w:szCs w:val="21"/>
              </w:rPr>
              <w:t>Strategy for Local Self-Government Development in (</w:t>
            </w:r>
            <w:hyperlink r:id="rId19" w:history="1">
              <w:r w:rsidRPr="00F569AE">
                <w:rPr>
                  <w:rStyle w:val="Hyperlink"/>
                  <w:rFonts w:ascii="Calibri" w:eastAsiaTheme="majorEastAsia" w:hAnsi="Calibri" w:cs="Calibri"/>
                  <w:sz w:val="21"/>
                  <w:szCs w:val="21"/>
                </w:rPr>
                <w:t>RS</w:t>
              </w:r>
            </w:hyperlink>
            <w:r w:rsidRPr="00F569AE">
              <w:rPr>
                <w:rFonts w:ascii="Calibri" w:hAnsi="Calibri" w:cs="Calibri"/>
                <w:sz w:val="21"/>
                <w:szCs w:val="21"/>
              </w:rPr>
              <w:t xml:space="preserve">) 2023 - 2029 supplemented with the Action Plan for Implementation of the Strategy 2024–2026 – </w:t>
            </w:r>
            <w:r w:rsidRPr="00F569AE">
              <w:rPr>
                <w:rFonts w:ascii="Calibri" w:hAnsi="Calibri" w:cs="Calibri"/>
                <w:color w:val="212529"/>
                <w:sz w:val="21"/>
                <w:szCs w:val="21"/>
              </w:rPr>
              <w:t xml:space="preserve">Measure „3.1.1. Support the development of good governance practices in local governments“ </w:t>
            </w:r>
          </w:p>
        </w:tc>
      </w:tr>
      <w:tr w:rsidR="004C1518" w:rsidRPr="00F569AE" w14:paraId="5A52FFE7" w14:textId="77777777" w:rsidTr="43F76C25">
        <w:tc>
          <w:tcPr>
            <w:tcW w:w="1555" w:type="dxa"/>
          </w:tcPr>
          <w:p w14:paraId="1F11E499" w14:textId="777EF018" w:rsidR="008224F6" w:rsidRPr="00F569AE" w:rsidRDefault="001F5342" w:rsidP="00A5744A">
            <w:pPr>
              <w:rPr>
                <w:rFonts w:ascii="Calibri" w:hAnsi="Calibri" w:cs="Calibri"/>
                <w:b/>
                <w:sz w:val="21"/>
                <w:szCs w:val="21"/>
                <w:lang w:val="en-US"/>
              </w:rPr>
            </w:pPr>
            <w:r>
              <w:rPr>
                <w:rFonts w:ascii="Calibri" w:hAnsi="Calibri" w:cs="Calibri"/>
                <w:b/>
                <w:sz w:val="21"/>
                <w:szCs w:val="21"/>
                <w:lang w:val="en-US"/>
              </w:rPr>
              <w:t>e</w:t>
            </w:r>
            <w:r w:rsidR="008224F6" w:rsidRPr="00F569AE">
              <w:rPr>
                <w:rFonts w:ascii="Calibri" w:hAnsi="Calibri" w:cs="Calibri"/>
                <w:b/>
                <w:sz w:val="21"/>
                <w:szCs w:val="21"/>
                <w:lang w:val="en-US"/>
              </w:rPr>
              <w:t>-citizen platform</w:t>
            </w:r>
          </w:p>
          <w:p w14:paraId="0C7B8818" w14:textId="77777777" w:rsidR="008224F6" w:rsidRPr="00F569AE" w:rsidRDefault="008224F6" w:rsidP="00A5744A">
            <w:pPr>
              <w:rPr>
                <w:rFonts w:ascii="Calibri" w:hAnsi="Calibri" w:cs="Calibri"/>
                <w:b/>
                <w:sz w:val="21"/>
                <w:szCs w:val="21"/>
                <w:lang w:val="en-US"/>
              </w:rPr>
            </w:pPr>
          </w:p>
        </w:tc>
        <w:tc>
          <w:tcPr>
            <w:tcW w:w="3402" w:type="dxa"/>
          </w:tcPr>
          <w:p w14:paraId="7A20B145" w14:textId="77777777" w:rsidR="008224F6" w:rsidRPr="00F569AE" w:rsidRDefault="008224F6" w:rsidP="00A5744A">
            <w:pPr>
              <w:rPr>
                <w:rFonts w:ascii="Calibri" w:hAnsi="Calibri" w:cs="Calibri"/>
                <w:sz w:val="21"/>
                <w:szCs w:val="21"/>
                <w:lang w:val="en-US"/>
              </w:rPr>
            </w:pPr>
            <w:r w:rsidRPr="00F569AE">
              <w:rPr>
                <w:rFonts w:ascii="Calibri" w:hAnsi="Calibri" w:cs="Calibri"/>
                <w:sz w:val="21"/>
                <w:szCs w:val="21"/>
                <w:lang w:val="en-US"/>
              </w:rPr>
              <w:t xml:space="preserve">European Digital Government Principles (user-centricity, transparency, digital by default, once-only principle, and accessibility) - BiH must align e-Government services with EU best practices </w:t>
            </w:r>
          </w:p>
        </w:tc>
        <w:tc>
          <w:tcPr>
            <w:tcW w:w="2835" w:type="dxa"/>
          </w:tcPr>
          <w:p w14:paraId="533D98E1" w14:textId="77777777" w:rsidR="008224F6" w:rsidRPr="00F569AE" w:rsidRDefault="008224F6" w:rsidP="0033780B">
            <w:pPr>
              <w:pStyle w:val="ListParagraph"/>
              <w:numPr>
                <w:ilvl w:val="0"/>
                <w:numId w:val="15"/>
              </w:numPr>
              <w:rPr>
                <w:rFonts w:ascii="Calibri" w:hAnsi="Calibri" w:cs="Calibri"/>
                <w:sz w:val="21"/>
                <w:szCs w:val="21"/>
              </w:rPr>
            </w:pPr>
            <w:r w:rsidRPr="00F569AE">
              <w:rPr>
                <w:rFonts w:ascii="Calibri" w:hAnsi="Calibri" w:cs="Calibri"/>
                <w:sz w:val="21"/>
                <w:szCs w:val="21"/>
              </w:rPr>
              <w:t xml:space="preserve">MEG I and II project  </w:t>
            </w:r>
          </w:p>
          <w:p w14:paraId="7D1ED078" w14:textId="77777777" w:rsidR="008224F6" w:rsidRPr="00F569AE" w:rsidRDefault="008224F6" w:rsidP="0033780B">
            <w:pPr>
              <w:pStyle w:val="ListParagraph"/>
              <w:numPr>
                <w:ilvl w:val="0"/>
                <w:numId w:val="15"/>
              </w:numPr>
              <w:rPr>
                <w:rFonts w:ascii="Calibri" w:hAnsi="Calibri" w:cs="Calibri"/>
                <w:sz w:val="21"/>
                <w:szCs w:val="21"/>
              </w:rPr>
            </w:pPr>
            <w:hyperlink r:id="rId20" w:history="1">
              <w:r w:rsidRPr="00F569AE">
                <w:rPr>
                  <w:rStyle w:val="Hyperlink"/>
                  <w:rFonts w:ascii="Calibri" w:eastAsiaTheme="majorEastAsia" w:hAnsi="Calibri" w:cs="Calibri"/>
                  <w:sz w:val="21"/>
                  <w:szCs w:val="21"/>
                </w:rPr>
                <w:t>Digital Transformation in Public Sector</w:t>
              </w:r>
            </w:hyperlink>
            <w:r w:rsidRPr="00F569AE">
              <w:rPr>
                <w:rFonts w:ascii="Calibri" w:hAnsi="Calibri" w:cs="Calibri"/>
                <w:sz w:val="21"/>
                <w:szCs w:val="21"/>
              </w:rPr>
              <w:t xml:space="preserve"> </w:t>
            </w:r>
          </w:p>
          <w:p w14:paraId="2230788B" w14:textId="77777777" w:rsidR="008224F6" w:rsidRPr="00F569AE" w:rsidRDefault="008224F6" w:rsidP="00A5744A">
            <w:pPr>
              <w:rPr>
                <w:rFonts w:ascii="Calibri" w:hAnsi="Calibri" w:cs="Calibri"/>
                <w:color w:val="212529"/>
                <w:sz w:val="21"/>
                <w:szCs w:val="21"/>
                <w:lang w:val="en-US"/>
              </w:rPr>
            </w:pPr>
          </w:p>
        </w:tc>
        <w:tc>
          <w:tcPr>
            <w:tcW w:w="6237" w:type="dxa"/>
          </w:tcPr>
          <w:p w14:paraId="388D2405" w14:textId="77777777" w:rsidR="008224F6" w:rsidRPr="00F569AE" w:rsidRDefault="008224F6" w:rsidP="00A5744A">
            <w:pPr>
              <w:rPr>
                <w:rFonts w:ascii="Calibri" w:hAnsi="Calibri" w:cs="Calibri"/>
                <w:color w:val="212529"/>
                <w:sz w:val="21"/>
                <w:szCs w:val="21"/>
                <w:lang w:val="en-US"/>
              </w:rPr>
            </w:pPr>
            <w:r w:rsidRPr="00F569AE">
              <w:rPr>
                <w:rFonts w:ascii="Calibri" w:hAnsi="Calibri" w:cs="Calibri"/>
                <w:color w:val="212529"/>
                <w:sz w:val="21"/>
                <w:szCs w:val="21"/>
                <w:lang w:val="en-US"/>
              </w:rPr>
              <w:t>Laws on:</w:t>
            </w:r>
          </w:p>
          <w:p w14:paraId="19AB9E26"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Freedom on Access to Information (</w:t>
            </w:r>
            <w:hyperlink r:id="rId21" w:history="1">
              <w:r w:rsidRPr="00F569AE">
                <w:rPr>
                  <w:rStyle w:val="Hyperlink"/>
                  <w:rFonts w:ascii="Calibri" w:eastAsiaTheme="majorEastAsia" w:hAnsi="Calibri" w:cs="Calibri"/>
                  <w:sz w:val="21"/>
                  <w:szCs w:val="21"/>
                </w:rPr>
                <w:t>FBiH</w:t>
              </w:r>
            </w:hyperlink>
            <w:r w:rsidRPr="00F569AE">
              <w:rPr>
                <w:rFonts w:ascii="Calibri" w:hAnsi="Calibri" w:cs="Calibri"/>
                <w:color w:val="212529"/>
                <w:sz w:val="21"/>
                <w:szCs w:val="21"/>
              </w:rPr>
              <w:t xml:space="preserve">, </w:t>
            </w:r>
            <w:hyperlink r:id="rId22"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w:t>
            </w:r>
          </w:p>
          <w:p w14:paraId="6A3D4E69" w14:textId="77777777" w:rsidR="008224F6" w:rsidRPr="00F569AE" w:rsidRDefault="008224F6" w:rsidP="00A5744A">
            <w:pPr>
              <w:rPr>
                <w:rFonts w:ascii="Calibri" w:hAnsi="Calibri" w:cs="Calibri"/>
                <w:color w:val="212529"/>
                <w:sz w:val="21"/>
                <w:szCs w:val="21"/>
                <w:lang w:val="en-US"/>
              </w:rPr>
            </w:pPr>
            <w:r w:rsidRPr="00F569AE">
              <w:rPr>
                <w:rFonts w:ascii="Calibri" w:hAnsi="Calibri" w:cs="Calibri"/>
                <w:color w:val="212529"/>
                <w:sz w:val="21"/>
                <w:szCs w:val="21"/>
                <w:lang w:val="en-US"/>
              </w:rPr>
              <w:t>Strategies on:</w:t>
            </w:r>
          </w:p>
          <w:p w14:paraId="4CF605E9" w14:textId="77777777" w:rsidR="008224F6" w:rsidRPr="00F569AE" w:rsidRDefault="008224F6" w:rsidP="0033780B">
            <w:pPr>
              <w:pStyle w:val="ListParagraph"/>
              <w:numPr>
                <w:ilvl w:val="0"/>
                <w:numId w:val="10"/>
              </w:numPr>
              <w:rPr>
                <w:rFonts w:ascii="Calibri" w:hAnsi="Calibri" w:cs="Calibri"/>
                <w:color w:val="212529"/>
                <w:sz w:val="21"/>
                <w:szCs w:val="21"/>
              </w:rPr>
            </w:pPr>
            <w:r w:rsidRPr="00F569AE">
              <w:rPr>
                <w:rFonts w:ascii="Calibri" w:hAnsi="Calibri" w:cs="Calibri"/>
                <w:color w:val="212529"/>
                <w:sz w:val="21"/>
                <w:szCs w:val="21"/>
              </w:rPr>
              <w:t>Strategic Framework for Public Administration Reform (</w:t>
            </w:r>
            <w:hyperlink r:id="rId23" w:history="1">
              <w:r w:rsidRPr="00F569AE">
                <w:rPr>
                  <w:rStyle w:val="Hyperlink"/>
                  <w:rFonts w:ascii="Calibri" w:eastAsiaTheme="majorEastAsia" w:hAnsi="Calibri" w:cs="Calibri"/>
                  <w:sz w:val="21"/>
                  <w:szCs w:val="21"/>
                </w:rPr>
                <w:t>BiH</w:t>
              </w:r>
            </w:hyperlink>
            <w:r w:rsidRPr="00F569AE">
              <w:rPr>
                <w:rFonts w:ascii="Calibri" w:hAnsi="Calibri" w:cs="Calibri"/>
                <w:color w:val="212529"/>
                <w:sz w:val="21"/>
                <w:szCs w:val="21"/>
              </w:rPr>
              <w:t xml:space="preserve">) </w:t>
            </w:r>
          </w:p>
          <w:p w14:paraId="56180C31" w14:textId="77777777" w:rsidR="008224F6" w:rsidRPr="00F569AE" w:rsidRDefault="008224F6" w:rsidP="0033780B">
            <w:pPr>
              <w:pStyle w:val="ListParagraph"/>
              <w:numPr>
                <w:ilvl w:val="0"/>
                <w:numId w:val="10"/>
              </w:numPr>
              <w:rPr>
                <w:rFonts w:ascii="Calibri" w:hAnsi="Calibri" w:cs="Calibri"/>
                <w:color w:val="212529"/>
                <w:sz w:val="21"/>
                <w:szCs w:val="21"/>
              </w:rPr>
            </w:pPr>
            <w:r w:rsidRPr="00F569AE">
              <w:rPr>
                <w:rFonts w:ascii="Calibri" w:hAnsi="Calibri" w:cs="Calibri"/>
                <w:color w:val="212529"/>
                <w:sz w:val="21"/>
                <w:szCs w:val="21"/>
              </w:rPr>
              <w:t>Development of e-Government in</w:t>
            </w:r>
            <w:hyperlink r:id="rId24" w:history="1">
              <w:r w:rsidRPr="00F569AE">
                <w:rPr>
                  <w:rStyle w:val="Hyperlink"/>
                  <w:rFonts w:ascii="Calibri" w:eastAsiaTheme="majorEastAsia" w:hAnsi="Calibri" w:cs="Calibri"/>
                  <w:sz w:val="21"/>
                  <w:szCs w:val="21"/>
                </w:rPr>
                <w:t xml:space="preserve"> RS</w:t>
              </w:r>
            </w:hyperlink>
            <w:r w:rsidRPr="00F569AE">
              <w:rPr>
                <w:rFonts w:ascii="Calibri" w:hAnsi="Calibri" w:cs="Calibri"/>
                <w:color w:val="212529"/>
                <w:sz w:val="21"/>
                <w:szCs w:val="21"/>
              </w:rPr>
              <w:t xml:space="preserve"> (2021–2025)</w:t>
            </w:r>
          </w:p>
          <w:p w14:paraId="154D877A" w14:textId="0272A16A" w:rsidR="00B11481" w:rsidRPr="00F569AE" w:rsidRDefault="00B11481" w:rsidP="0033780B">
            <w:pPr>
              <w:pStyle w:val="ListParagraph"/>
              <w:numPr>
                <w:ilvl w:val="0"/>
                <w:numId w:val="10"/>
              </w:numPr>
              <w:rPr>
                <w:rFonts w:ascii="Calibri" w:hAnsi="Calibri" w:cs="Calibri"/>
                <w:color w:val="212529"/>
                <w:sz w:val="21"/>
                <w:szCs w:val="21"/>
              </w:rPr>
            </w:pPr>
            <w:r w:rsidRPr="00F569AE">
              <w:rPr>
                <w:rFonts w:ascii="Calibri" w:hAnsi="Calibri" w:cs="Calibri"/>
                <w:color w:val="212529"/>
                <w:sz w:val="21"/>
                <w:szCs w:val="21"/>
              </w:rPr>
              <w:t>SDG Framework in BiH</w:t>
            </w:r>
          </w:p>
        </w:tc>
      </w:tr>
      <w:tr w:rsidR="004C1518" w:rsidRPr="00F569AE" w14:paraId="3F73C7B0" w14:textId="77777777" w:rsidTr="43F76C25">
        <w:tc>
          <w:tcPr>
            <w:tcW w:w="1555" w:type="dxa"/>
          </w:tcPr>
          <w:p w14:paraId="3D301DAE" w14:textId="54D14682" w:rsidR="008224F6" w:rsidRPr="00F569AE" w:rsidRDefault="008224F6" w:rsidP="00A5744A">
            <w:pPr>
              <w:rPr>
                <w:rFonts w:ascii="Calibri" w:hAnsi="Calibri" w:cs="Calibri"/>
                <w:b/>
                <w:sz w:val="21"/>
                <w:szCs w:val="21"/>
                <w:lang w:val="en-US"/>
              </w:rPr>
            </w:pPr>
            <w:r w:rsidRPr="00F569AE">
              <w:rPr>
                <w:rFonts w:ascii="Calibri" w:hAnsi="Calibri" w:cs="Calibri"/>
                <w:b/>
                <w:sz w:val="21"/>
                <w:szCs w:val="21"/>
                <w:lang w:val="en-US"/>
              </w:rPr>
              <w:t xml:space="preserve">Public Service Agreements </w:t>
            </w:r>
            <w:r w:rsidR="00A32B16" w:rsidRPr="00F569AE">
              <w:rPr>
                <w:rFonts w:ascii="Calibri" w:hAnsi="Calibri" w:cs="Calibri"/>
                <w:b/>
                <w:sz w:val="21"/>
                <w:szCs w:val="21"/>
                <w:lang w:val="en-US"/>
              </w:rPr>
              <w:t>–</w:t>
            </w:r>
            <w:r w:rsidRPr="00F569AE">
              <w:rPr>
                <w:rFonts w:ascii="Calibri" w:hAnsi="Calibri" w:cs="Calibri"/>
                <w:b/>
                <w:sz w:val="21"/>
                <w:szCs w:val="21"/>
                <w:lang w:val="en-US"/>
              </w:rPr>
              <w:t xml:space="preserve"> PSA</w:t>
            </w:r>
          </w:p>
        </w:tc>
        <w:tc>
          <w:tcPr>
            <w:tcW w:w="3402" w:type="dxa"/>
          </w:tcPr>
          <w:p w14:paraId="79EF711A" w14:textId="77777777" w:rsidR="008224F6" w:rsidRPr="00F569AE" w:rsidRDefault="008224F6" w:rsidP="00A5744A">
            <w:pPr>
              <w:rPr>
                <w:rFonts w:ascii="Calibri" w:hAnsi="Calibri" w:cs="Calibri"/>
                <w:sz w:val="21"/>
                <w:szCs w:val="21"/>
                <w:lang w:val="en-US"/>
              </w:rPr>
            </w:pPr>
            <w:r w:rsidRPr="00F569AE">
              <w:rPr>
                <w:rFonts w:ascii="Calibri" w:hAnsi="Calibri" w:cs="Calibri"/>
                <w:sz w:val="21"/>
                <w:szCs w:val="21"/>
                <w:lang w:val="en-US"/>
              </w:rPr>
              <w:t>EU co-financing rules (especially for infrastructure like water and wastewater under Cohesion Fund or IPA) – require clear and majority public ownership, infrastructure operated by a legal entity with operational and financial capacity</w:t>
            </w:r>
          </w:p>
        </w:tc>
        <w:tc>
          <w:tcPr>
            <w:tcW w:w="2835" w:type="dxa"/>
          </w:tcPr>
          <w:p w14:paraId="71D2EAED" w14:textId="77777777" w:rsidR="008224F6" w:rsidRPr="00F569AE" w:rsidRDefault="008224F6" w:rsidP="0033780B">
            <w:pPr>
              <w:pStyle w:val="ListParagraph"/>
              <w:numPr>
                <w:ilvl w:val="0"/>
                <w:numId w:val="16"/>
              </w:numPr>
              <w:rPr>
                <w:rFonts w:ascii="Calibri" w:hAnsi="Calibri" w:cs="Calibri"/>
                <w:color w:val="212529"/>
                <w:sz w:val="21"/>
                <w:szCs w:val="21"/>
              </w:rPr>
            </w:pPr>
            <w:r w:rsidRPr="00F569AE">
              <w:rPr>
                <w:rFonts w:ascii="Calibri" w:hAnsi="Calibri" w:cs="Calibri"/>
                <w:color w:val="212529"/>
                <w:sz w:val="21"/>
                <w:szCs w:val="21"/>
              </w:rPr>
              <w:t xml:space="preserve">MEG II project </w:t>
            </w:r>
          </w:p>
          <w:p w14:paraId="438B894C" w14:textId="77777777" w:rsidR="008224F6" w:rsidRPr="00F569AE" w:rsidRDefault="008224F6" w:rsidP="0033780B">
            <w:pPr>
              <w:pStyle w:val="ListParagraph"/>
              <w:numPr>
                <w:ilvl w:val="0"/>
                <w:numId w:val="16"/>
              </w:numPr>
              <w:rPr>
                <w:rFonts w:ascii="Calibri" w:hAnsi="Calibri" w:cs="Calibri"/>
                <w:color w:val="212529"/>
                <w:sz w:val="21"/>
                <w:szCs w:val="21"/>
              </w:rPr>
            </w:pPr>
            <w:r w:rsidRPr="00F569AE">
              <w:rPr>
                <w:rFonts w:ascii="Calibri" w:hAnsi="Calibri" w:cs="Calibri"/>
                <w:sz w:val="21"/>
                <w:szCs w:val="21"/>
              </w:rPr>
              <w:t>UNDP’s SDGs and LNOB principle (subsidies to vulnerable)</w:t>
            </w:r>
          </w:p>
          <w:p w14:paraId="5B1F048C" w14:textId="77777777" w:rsidR="008224F6" w:rsidRPr="00F569AE" w:rsidRDefault="008224F6" w:rsidP="00A5744A">
            <w:pPr>
              <w:rPr>
                <w:rFonts w:ascii="Calibri" w:hAnsi="Calibri" w:cs="Calibri"/>
                <w:color w:val="212529"/>
                <w:sz w:val="21"/>
                <w:szCs w:val="21"/>
                <w:lang w:val="en-US"/>
              </w:rPr>
            </w:pPr>
          </w:p>
        </w:tc>
        <w:tc>
          <w:tcPr>
            <w:tcW w:w="6237" w:type="dxa"/>
          </w:tcPr>
          <w:p w14:paraId="4FFE43D4" w14:textId="77777777" w:rsidR="008224F6" w:rsidRPr="00F569AE" w:rsidRDefault="008224F6" w:rsidP="0033780B">
            <w:pPr>
              <w:pStyle w:val="ListParagraph"/>
              <w:numPr>
                <w:ilvl w:val="0"/>
                <w:numId w:val="13"/>
              </w:numPr>
              <w:rPr>
                <w:rFonts w:ascii="Calibri" w:hAnsi="Calibri" w:cs="Calibri"/>
                <w:sz w:val="21"/>
                <w:szCs w:val="21"/>
              </w:rPr>
            </w:pPr>
            <w:r w:rsidRPr="00F569AE">
              <w:rPr>
                <w:rFonts w:ascii="Calibri" w:hAnsi="Calibri" w:cs="Calibri"/>
                <w:sz w:val="21"/>
                <w:szCs w:val="21"/>
              </w:rPr>
              <w:t>Law on Waters (</w:t>
            </w:r>
            <w:hyperlink r:id="rId25" w:history="1">
              <w:r w:rsidRPr="00F569AE">
                <w:rPr>
                  <w:rStyle w:val="Hyperlink"/>
                  <w:rFonts w:ascii="Calibri" w:eastAsiaTheme="majorEastAsia" w:hAnsi="Calibri" w:cs="Calibri"/>
                  <w:sz w:val="21"/>
                  <w:szCs w:val="21"/>
                </w:rPr>
                <w:t>FBiH</w:t>
              </w:r>
            </w:hyperlink>
            <w:r w:rsidRPr="00F569AE">
              <w:rPr>
                <w:rFonts w:ascii="Calibri" w:hAnsi="Calibri" w:cs="Calibri"/>
                <w:sz w:val="21"/>
                <w:szCs w:val="21"/>
              </w:rPr>
              <w:t>,</w:t>
            </w:r>
            <w:hyperlink r:id="rId26" w:history="1">
              <w:r w:rsidRPr="00F569AE">
                <w:rPr>
                  <w:rStyle w:val="Hyperlink"/>
                  <w:rFonts w:ascii="Calibri" w:eastAsiaTheme="majorEastAsia" w:hAnsi="Calibri" w:cs="Calibri"/>
                  <w:sz w:val="21"/>
                  <w:szCs w:val="21"/>
                </w:rPr>
                <w:t xml:space="preserve"> RS</w:t>
              </w:r>
            </w:hyperlink>
            <w:r w:rsidRPr="00F569AE">
              <w:rPr>
                <w:rFonts w:ascii="Calibri" w:hAnsi="Calibri" w:cs="Calibri"/>
                <w:sz w:val="21"/>
                <w:szCs w:val="21"/>
              </w:rPr>
              <w:t>)</w:t>
            </w:r>
          </w:p>
          <w:p w14:paraId="687CF51A" w14:textId="77777777" w:rsidR="008224F6" w:rsidRPr="00F569AE" w:rsidRDefault="008224F6" w:rsidP="0033780B">
            <w:pPr>
              <w:pStyle w:val="ListParagraph"/>
              <w:numPr>
                <w:ilvl w:val="0"/>
                <w:numId w:val="13"/>
              </w:numPr>
              <w:rPr>
                <w:rFonts w:ascii="Calibri" w:hAnsi="Calibri" w:cs="Calibri"/>
                <w:sz w:val="21"/>
                <w:szCs w:val="21"/>
              </w:rPr>
            </w:pPr>
            <w:r w:rsidRPr="00F569AE">
              <w:rPr>
                <w:rFonts w:ascii="Calibri" w:hAnsi="Calibri" w:cs="Calibri"/>
                <w:sz w:val="21"/>
                <w:szCs w:val="21"/>
              </w:rPr>
              <w:t>Law on Public Utilities (</w:t>
            </w:r>
            <w:hyperlink r:id="rId27" w:history="1">
              <w:r w:rsidRPr="00F569AE">
                <w:rPr>
                  <w:rStyle w:val="Hyperlink"/>
                  <w:rFonts w:ascii="Calibri" w:eastAsiaTheme="majorEastAsia" w:hAnsi="Calibri" w:cs="Calibri"/>
                  <w:sz w:val="21"/>
                  <w:szCs w:val="21"/>
                </w:rPr>
                <w:t>FBIH</w:t>
              </w:r>
            </w:hyperlink>
            <w:r w:rsidRPr="00F569AE">
              <w:rPr>
                <w:rFonts w:ascii="Calibri" w:hAnsi="Calibri" w:cs="Calibri"/>
                <w:sz w:val="21"/>
                <w:szCs w:val="21"/>
              </w:rPr>
              <w:t xml:space="preserve">, </w:t>
            </w:r>
            <w:hyperlink r:id="rId28" w:history="1">
              <w:r w:rsidRPr="00F569AE">
                <w:rPr>
                  <w:rStyle w:val="Hyperlink"/>
                  <w:rFonts w:ascii="Calibri" w:eastAsiaTheme="majorEastAsia" w:hAnsi="Calibri" w:cs="Calibri"/>
                  <w:sz w:val="21"/>
                  <w:szCs w:val="21"/>
                </w:rPr>
                <w:t>RS</w:t>
              </w:r>
            </w:hyperlink>
            <w:r w:rsidRPr="00F569AE">
              <w:rPr>
                <w:rFonts w:ascii="Calibri" w:hAnsi="Calibri" w:cs="Calibri"/>
                <w:sz w:val="21"/>
                <w:szCs w:val="21"/>
              </w:rPr>
              <w:t>)</w:t>
            </w:r>
          </w:p>
          <w:p w14:paraId="1CD3E587" w14:textId="77777777" w:rsidR="008224F6" w:rsidRPr="00F569AE" w:rsidRDefault="008224F6" w:rsidP="0033780B">
            <w:pPr>
              <w:pStyle w:val="ListParagraph"/>
              <w:numPr>
                <w:ilvl w:val="0"/>
                <w:numId w:val="13"/>
              </w:numPr>
              <w:rPr>
                <w:rFonts w:ascii="Calibri" w:hAnsi="Calibri" w:cs="Calibri"/>
                <w:sz w:val="21"/>
                <w:szCs w:val="21"/>
              </w:rPr>
            </w:pPr>
            <w:r w:rsidRPr="00F569AE">
              <w:rPr>
                <w:rFonts w:ascii="Calibri" w:hAnsi="Calibri" w:cs="Calibri"/>
                <w:sz w:val="21"/>
                <w:szCs w:val="21"/>
              </w:rPr>
              <w:t>Law on Privatization (</w:t>
            </w:r>
            <w:hyperlink r:id="rId29" w:history="1">
              <w:r w:rsidRPr="00F569AE">
                <w:rPr>
                  <w:rStyle w:val="Hyperlink"/>
                  <w:rFonts w:ascii="Calibri" w:eastAsiaTheme="majorEastAsia" w:hAnsi="Calibri" w:cs="Calibri"/>
                  <w:sz w:val="21"/>
                  <w:szCs w:val="21"/>
                </w:rPr>
                <w:t>RS</w:t>
              </w:r>
            </w:hyperlink>
            <w:r w:rsidRPr="00F569AE">
              <w:rPr>
                <w:rFonts w:ascii="Calibri" w:hAnsi="Calibri" w:cs="Calibri"/>
                <w:sz w:val="21"/>
                <w:szCs w:val="21"/>
              </w:rPr>
              <w:t xml:space="preserve">, </w:t>
            </w:r>
            <w:hyperlink r:id="rId30" w:history="1">
              <w:r w:rsidRPr="00F569AE">
                <w:rPr>
                  <w:rStyle w:val="Hyperlink"/>
                  <w:rFonts w:ascii="Calibri" w:eastAsiaTheme="majorEastAsia" w:hAnsi="Calibri" w:cs="Calibri"/>
                  <w:sz w:val="21"/>
                  <w:szCs w:val="21"/>
                </w:rPr>
                <w:t>FBiH</w:t>
              </w:r>
            </w:hyperlink>
            <w:r w:rsidRPr="00F569AE">
              <w:rPr>
                <w:rFonts w:ascii="Calibri" w:hAnsi="Calibri" w:cs="Calibri"/>
                <w:sz w:val="21"/>
                <w:szCs w:val="21"/>
              </w:rPr>
              <w:t>)</w:t>
            </w:r>
          </w:p>
          <w:p w14:paraId="081921EC" w14:textId="77777777" w:rsidR="008224F6" w:rsidRPr="00F569AE" w:rsidRDefault="008224F6" w:rsidP="0033780B">
            <w:pPr>
              <w:pStyle w:val="ListParagraph"/>
              <w:numPr>
                <w:ilvl w:val="0"/>
                <w:numId w:val="13"/>
              </w:numPr>
              <w:rPr>
                <w:rFonts w:ascii="Calibri" w:hAnsi="Calibri" w:cs="Calibri"/>
                <w:sz w:val="21"/>
                <w:szCs w:val="21"/>
              </w:rPr>
            </w:pPr>
            <w:r w:rsidRPr="00F569AE">
              <w:rPr>
                <w:rFonts w:ascii="Calibri" w:hAnsi="Calibri" w:cs="Calibri"/>
                <w:sz w:val="21"/>
                <w:szCs w:val="21"/>
              </w:rPr>
              <w:t>Social Protection Laws (</w:t>
            </w:r>
            <w:hyperlink r:id="rId31" w:history="1">
              <w:r w:rsidRPr="00F569AE">
                <w:rPr>
                  <w:rStyle w:val="Hyperlink"/>
                  <w:rFonts w:ascii="Calibri" w:eastAsiaTheme="majorEastAsia" w:hAnsi="Calibri" w:cs="Calibri"/>
                  <w:sz w:val="21"/>
                  <w:szCs w:val="21"/>
                </w:rPr>
                <w:t>RS</w:t>
              </w:r>
            </w:hyperlink>
            <w:r w:rsidRPr="00F569AE">
              <w:rPr>
                <w:rFonts w:ascii="Calibri" w:hAnsi="Calibri" w:cs="Calibri"/>
                <w:sz w:val="21"/>
                <w:szCs w:val="21"/>
              </w:rPr>
              <w:t xml:space="preserve">, </w:t>
            </w:r>
            <w:hyperlink r:id="rId32" w:history="1">
              <w:r w:rsidRPr="00F569AE">
                <w:rPr>
                  <w:rStyle w:val="Hyperlink"/>
                  <w:rFonts w:ascii="Calibri" w:eastAsiaTheme="majorEastAsia" w:hAnsi="Calibri" w:cs="Calibri"/>
                  <w:sz w:val="21"/>
                  <w:szCs w:val="21"/>
                </w:rPr>
                <w:t>FBiH</w:t>
              </w:r>
            </w:hyperlink>
            <w:r w:rsidRPr="00F569AE">
              <w:rPr>
                <w:rFonts w:ascii="Calibri" w:hAnsi="Calibri" w:cs="Calibri"/>
                <w:sz w:val="21"/>
                <w:szCs w:val="21"/>
              </w:rPr>
              <w:t>)</w:t>
            </w:r>
          </w:p>
          <w:p w14:paraId="4736FEDA" w14:textId="77777777" w:rsidR="008224F6" w:rsidRPr="00F569AE" w:rsidRDefault="008224F6" w:rsidP="00A5744A">
            <w:pPr>
              <w:rPr>
                <w:rFonts w:ascii="Calibri" w:hAnsi="Calibri" w:cs="Calibri"/>
                <w:sz w:val="21"/>
                <w:szCs w:val="21"/>
                <w:lang w:val="en-US"/>
              </w:rPr>
            </w:pPr>
          </w:p>
          <w:p w14:paraId="23DBB9CE" w14:textId="77777777" w:rsidR="008224F6" w:rsidRPr="00F569AE" w:rsidRDefault="008224F6" w:rsidP="00A5744A">
            <w:pPr>
              <w:rPr>
                <w:rFonts w:ascii="Calibri" w:hAnsi="Calibri" w:cs="Calibri"/>
                <w:color w:val="212529"/>
                <w:sz w:val="21"/>
                <w:szCs w:val="21"/>
                <w:lang w:val="en-US"/>
              </w:rPr>
            </w:pPr>
          </w:p>
        </w:tc>
      </w:tr>
      <w:tr w:rsidR="004C1518" w:rsidRPr="00F569AE" w14:paraId="3E643540" w14:textId="77777777" w:rsidTr="43F76C25">
        <w:tc>
          <w:tcPr>
            <w:tcW w:w="1555" w:type="dxa"/>
          </w:tcPr>
          <w:p w14:paraId="57C07916" w14:textId="77777777" w:rsidR="008224F6" w:rsidRPr="00F569AE" w:rsidRDefault="008224F6" w:rsidP="00A5744A">
            <w:pPr>
              <w:rPr>
                <w:rFonts w:ascii="Calibri" w:hAnsi="Calibri" w:cs="Calibri"/>
                <w:b/>
                <w:sz w:val="21"/>
                <w:szCs w:val="21"/>
                <w:lang w:val="en-US"/>
              </w:rPr>
            </w:pPr>
            <w:r w:rsidRPr="00F569AE">
              <w:rPr>
                <w:rFonts w:ascii="Calibri" w:hAnsi="Calibri" w:cs="Calibri"/>
                <w:b/>
                <w:sz w:val="21"/>
                <w:szCs w:val="21"/>
                <w:lang w:val="en-US"/>
              </w:rPr>
              <w:t>Financial and operational performance plans</w:t>
            </w:r>
          </w:p>
        </w:tc>
        <w:tc>
          <w:tcPr>
            <w:tcW w:w="3402" w:type="dxa"/>
          </w:tcPr>
          <w:p w14:paraId="0DF22C25" w14:textId="77777777" w:rsidR="008224F6" w:rsidRPr="00F569AE" w:rsidRDefault="008224F6" w:rsidP="00A5744A">
            <w:pPr>
              <w:rPr>
                <w:rFonts w:ascii="Calibri" w:hAnsi="Calibri" w:cs="Calibri"/>
                <w:sz w:val="21"/>
                <w:szCs w:val="21"/>
                <w:lang w:val="en-US"/>
              </w:rPr>
            </w:pPr>
            <w:r w:rsidRPr="00F569AE">
              <w:rPr>
                <w:rFonts w:ascii="Calibri" w:hAnsi="Calibri" w:cs="Calibri"/>
                <w:sz w:val="21"/>
                <w:szCs w:val="21"/>
                <w:lang w:val="en-US"/>
              </w:rPr>
              <w:t xml:space="preserve">EU Water Framework Directive (2000/60/EC) - Cost recovery of water services </w:t>
            </w:r>
          </w:p>
          <w:p w14:paraId="1E94312E" w14:textId="77777777" w:rsidR="008224F6" w:rsidRPr="00F569AE" w:rsidRDefault="008224F6" w:rsidP="00A5744A">
            <w:pPr>
              <w:rPr>
                <w:rFonts w:ascii="Calibri" w:hAnsi="Calibri" w:cs="Calibri"/>
                <w:sz w:val="21"/>
                <w:szCs w:val="21"/>
                <w:lang w:val="en-US"/>
              </w:rPr>
            </w:pPr>
            <w:r w:rsidRPr="00F569AE">
              <w:rPr>
                <w:rFonts w:ascii="Calibri" w:hAnsi="Calibri" w:cs="Calibri"/>
                <w:sz w:val="21"/>
                <w:szCs w:val="21"/>
                <w:lang w:val="en-US"/>
              </w:rPr>
              <w:t xml:space="preserve">EU co-financing rules </w:t>
            </w:r>
          </w:p>
          <w:p w14:paraId="362F6BDB" w14:textId="77777777" w:rsidR="008224F6" w:rsidRPr="00F569AE" w:rsidRDefault="008224F6" w:rsidP="00A5744A">
            <w:pPr>
              <w:rPr>
                <w:rFonts w:ascii="Calibri" w:hAnsi="Calibri" w:cs="Calibri"/>
                <w:sz w:val="21"/>
                <w:szCs w:val="21"/>
                <w:lang w:val="en-US"/>
              </w:rPr>
            </w:pPr>
          </w:p>
          <w:p w14:paraId="54498899" w14:textId="77777777" w:rsidR="008224F6" w:rsidRPr="00F569AE" w:rsidRDefault="008224F6" w:rsidP="00A5744A">
            <w:pPr>
              <w:rPr>
                <w:rFonts w:ascii="Calibri" w:hAnsi="Calibri" w:cs="Calibri"/>
                <w:sz w:val="21"/>
                <w:szCs w:val="21"/>
                <w:lang w:val="en-US"/>
              </w:rPr>
            </w:pPr>
          </w:p>
          <w:p w14:paraId="240A3FD5" w14:textId="77777777" w:rsidR="008224F6" w:rsidRPr="00F569AE" w:rsidRDefault="008224F6" w:rsidP="00A5744A">
            <w:pPr>
              <w:rPr>
                <w:rFonts w:ascii="Calibri" w:hAnsi="Calibri" w:cs="Calibri"/>
                <w:sz w:val="21"/>
                <w:szCs w:val="21"/>
                <w:lang w:val="en-US"/>
              </w:rPr>
            </w:pPr>
          </w:p>
          <w:p w14:paraId="383F9796" w14:textId="77777777" w:rsidR="008224F6" w:rsidRPr="00F569AE" w:rsidRDefault="008224F6" w:rsidP="00A5744A">
            <w:pPr>
              <w:rPr>
                <w:rFonts w:ascii="Calibri" w:hAnsi="Calibri" w:cs="Calibri"/>
                <w:sz w:val="21"/>
                <w:szCs w:val="21"/>
                <w:lang w:val="en-US"/>
              </w:rPr>
            </w:pPr>
            <w:r w:rsidRPr="00F569AE">
              <w:rPr>
                <w:rFonts w:ascii="Calibri" w:hAnsi="Calibri" w:cs="Calibri"/>
                <w:sz w:val="21"/>
                <w:szCs w:val="21"/>
                <w:lang w:val="en-US"/>
              </w:rPr>
              <w:t xml:space="preserve"> </w:t>
            </w:r>
          </w:p>
        </w:tc>
        <w:tc>
          <w:tcPr>
            <w:tcW w:w="2835" w:type="dxa"/>
          </w:tcPr>
          <w:p w14:paraId="7AA71AB9" w14:textId="21A9CAEF" w:rsidR="008224F6" w:rsidRPr="00F569AE" w:rsidRDefault="008224F6" w:rsidP="0033780B">
            <w:pPr>
              <w:pStyle w:val="ListParagraph"/>
              <w:numPr>
                <w:ilvl w:val="0"/>
                <w:numId w:val="11"/>
              </w:numPr>
              <w:rPr>
                <w:rFonts w:ascii="Calibri" w:hAnsi="Calibri" w:cs="Calibri"/>
                <w:sz w:val="21"/>
                <w:szCs w:val="21"/>
              </w:rPr>
            </w:pPr>
            <w:r w:rsidRPr="00F569AE">
              <w:rPr>
                <w:rFonts w:ascii="Calibri" w:hAnsi="Calibri" w:cs="Calibri"/>
                <w:sz w:val="21"/>
                <w:szCs w:val="21"/>
              </w:rPr>
              <w:t xml:space="preserve">ILDP project - development of methodologies and legal framework governing strategic planning and development management </w:t>
            </w:r>
            <w:r w:rsidR="00A92470" w:rsidRPr="00F569AE">
              <w:rPr>
                <w:rFonts w:ascii="Calibri" w:hAnsi="Calibri" w:cs="Calibri"/>
                <w:sz w:val="21"/>
                <w:szCs w:val="21"/>
              </w:rPr>
              <w:t>in both entities</w:t>
            </w:r>
          </w:p>
          <w:p w14:paraId="77B9251D" w14:textId="77777777" w:rsidR="008224F6" w:rsidRPr="00F569AE" w:rsidRDefault="008224F6" w:rsidP="0033780B">
            <w:pPr>
              <w:pStyle w:val="ListParagraph"/>
              <w:numPr>
                <w:ilvl w:val="0"/>
                <w:numId w:val="11"/>
              </w:numPr>
              <w:rPr>
                <w:rFonts w:ascii="Calibri" w:hAnsi="Calibri" w:cs="Calibri"/>
                <w:sz w:val="21"/>
                <w:szCs w:val="21"/>
              </w:rPr>
            </w:pPr>
            <w:r w:rsidRPr="00F569AE">
              <w:rPr>
                <w:rFonts w:ascii="Calibri" w:hAnsi="Calibri" w:cs="Calibri"/>
                <w:sz w:val="21"/>
                <w:szCs w:val="21"/>
              </w:rPr>
              <w:t xml:space="preserve">MEG II project </w:t>
            </w:r>
          </w:p>
        </w:tc>
        <w:tc>
          <w:tcPr>
            <w:tcW w:w="6237" w:type="dxa"/>
          </w:tcPr>
          <w:p w14:paraId="14D1B7C2" w14:textId="77777777" w:rsidR="008224F6" w:rsidRPr="00F569AE" w:rsidRDefault="008224F6" w:rsidP="0033780B">
            <w:pPr>
              <w:pStyle w:val="ListParagraph"/>
              <w:numPr>
                <w:ilvl w:val="0"/>
                <w:numId w:val="11"/>
              </w:numPr>
              <w:rPr>
                <w:rFonts w:ascii="Calibri" w:hAnsi="Calibri" w:cs="Calibri"/>
                <w:sz w:val="21"/>
                <w:szCs w:val="21"/>
              </w:rPr>
            </w:pPr>
            <w:r w:rsidRPr="00F569AE">
              <w:rPr>
                <w:rFonts w:ascii="Calibri" w:hAnsi="Calibri" w:cs="Calibri"/>
                <w:sz w:val="21"/>
                <w:szCs w:val="21"/>
              </w:rPr>
              <w:t>Law on Strategic / Planning and Development Management (</w:t>
            </w:r>
            <w:hyperlink r:id="rId33" w:history="1">
              <w:r w:rsidRPr="00F569AE">
                <w:rPr>
                  <w:rStyle w:val="Hyperlink"/>
                  <w:rFonts w:ascii="Calibri" w:eastAsiaTheme="majorEastAsia" w:hAnsi="Calibri" w:cs="Calibri"/>
                  <w:sz w:val="21"/>
                  <w:szCs w:val="21"/>
                </w:rPr>
                <w:t>RS</w:t>
              </w:r>
            </w:hyperlink>
            <w:r w:rsidRPr="00F569AE">
              <w:rPr>
                <w:rFonts w:ascii="Calibri" w:hAnsi="Calibri" w:cs="Calibri"/>
                <w:sz w:val="21"/>
                <w:szCs w:val="21"/>
              </w:rPr>
              <w:t xml:space="preserve">) </w:t>
            </w:r>
          </w:p>
          <w:p w14:paraId="4C834872" w14:textId="77777777" w:rsidR="008224F6" w:rsidRPr="00F569AE" w:rsidRDefault="008224F6" w:rsidP="0033780B">
            <w:pPr>
              <w:pStyle w:val="ListParagraph"/>
              <w:numPr>
                <w:ilvl w:val="0"/>
                <w:numId w:val="11"/>
              </w:numPr>
              <w:rPr>
                <w:rFonts w:ascii="Calibri" w:hAnsi="Calibri" w:cs="Calibri"/>
                <w:sz w:val="21"/>
                <w:szCs w:val="21"/>
              </w:rPr>
            </w:pPr>
            <w:r w:rsidRPr="00F569AE">
              <w:rPr>
                <w:rFonts w:ascii="Calibri" w:hAnsi="Calibri" w:cs="Calibri"/>
                <w:sz w:val="21"/>
                <w:szCs w:val="21"/>
              </w:rPr>
              <w:t>Law on Development Planning and Development Management (</w:t>
            </w:r>
            <w:hyperlink r:id="rId34" w:history="1">
              <w:r w:rsidRPr="00F569AE">
                <w:rPr>
                  <w:rStyle w:val="Hyperlink"/>
                  <w:rFonts w:ascii="Calibri" w:eastAsiaTheme="majorEastAsia" w:hAnsi="Calibri" w:cs="Calibri"/>
                  <w:sz w:val="21"/>
                  <w:szCs w:val="21"/>
                </w:rPr>
                <w:t>FBiH</w:t>
              </w:r>
            </w:hyperlink>
            <w:r w:rsidRPr="00F569AE">
              <w:rPr>
                <w:rFonts w:ascii="Calibri" w:hAnsi="Calibri" w:cs="Calibri"/>
                <w:sz w:val="21"/>
                <w:szCs w:val="21"/>
              </w:rPr>
              <w:t>)</w:t>
            </w:r>
          </w:p>
          <w:p w14:paraId="637F1561" w14:textId="77777777" w:rsidR="008224F6" w:rsidRPr="00F569AE" w:rsidRDefault="008224F6" w:rsidP="0033780B">
            <w:pPr>
              <w:pStyle w:val="ListParagraph"/>
              <w:numPr>
                <w:ilvl w:val="0"/>
                <w:numId w:val="11"/>
              </w:numPr>
              <w:rPr>
                <w:rFonts w:ascii="Calibri" w:hAnsi="Calibri" w:cs="Calibri"/>
                <w:sz w:val="21"/>
                <w:szCs w:val="21"/>
              </w:rPr>
            </w:pPr>
            <w:r w:rsidRPr="00F569AE">
              <w:rPr>
                <w:rFonts w:ascii="Calibri" w:hAnsi="Calibri" w:cs="Calibri"/>
                <w:sz w:val="21"/>
                <w:szCs w:val="21"/>
              </w:rPr>
              <w:t>Regulation on Strategic Documents (</w:t>
            </w:r>
            <w:hyperlink r:id="rId35" w:history="1">
              <w:r w:rsidRPr="00F569AE">
                <w:rPr>
                  <w:rStyle w:val="Hyperlink"/>
                  <w:rFonts w:ascii="Calibri" w:eastAsiaTheme="majorEastAsia" w:hAnsi="Calibri" w:cs="Calibri"/>
                  <w:sz w:val="21"/>
                  <w:szCs w:val="21"/>
                </w:rPr>
                <w:t>RS</w:t>
              </w:r>
            </w:hyperlink>
            <w:r w:rsidRPr="00F569AE">
              <w:rPr>
                <w:rFonts w:ascii="Calibri" w:hAnsi="Calibri" w:cs="Calibri"/>
                <w:sz w:val="21"/>
                <w:szCs w:val="21"/>
              </w:rPr>
              <w:t xml:space="preserve">, </w:t>
            </w:r>
            <w:hyperlink r:id="rId36" w:history="1">
              <w:r w:rsidRPr="00F569AE">
                <w:rPr>
                  <w:rStyle w:val="Hyperlink"/>
                  <w:rFonts w:ascii="Calibri" w:eastAsiaTheme="majorEastAsia" w:hAnsi="Calibri" w:cs="Calibri"/>
                  <w:sz w:val="21"/>
                  <w:szCs w:val="21"/>
                </w:rPr>
                <w:t>FBiH</w:t>
              </w:r>
            </w:hyperlink>
            <w:r w:rsidRPr="00F569AE">
              <w:rPr>
                <w:rFonts w:ascii="Calibri" w:hAnsi="Calibri" w:cs="Calibri"/>
                <w:sz w:val="21"/>
                <w:szCs w:val="21"/>
              </w:rPr>
              <w:t>)</w:t>
            </w:r>
          </w:p>
          <w:p w14:paraId="1D640D85" w14:textId="77777777" w:rsidR="008224F6" w:rsidRPr="00F569AE" w:rsidRDefault="008224F6" w:rsidP="0033780B">
            <w:pPr>
              <w:pStyle w:val="ListParagraph"/>
              <w:numPr>
                <w:ilvl w:val="0"/>
                <w:numId w:val="11"/>
              </w:numPr>
              <w:rPr>
                <w:rFonts w:ascii="Calibri" w:hAnsi="Calibri" w:cs="Calibri"/>
                <w:sz w:val="21"/>
                <w:szCs w:val="21"/>
              </w:rPr>
            </w:pPr>
            <w:r w:rsidRPr="00F569AE">
              <w:rPr>
                <w:rFonts w:ascii="Calibri" w:hAnsi="Calibri" w:cs="Calibri"/>
                <w:sz w:val="21"/>
                <w:szCs w:val="21"/>
              </w:rPr>
              <w:t>Regulation on Implementing Documents (</w:t>
            </w:r>
            <w:hyperlink r:id="rId37" w:history="1">
              <w:r w:rsidRPr="00F569AE">
                <w:rPr>
                  <w:rStyle w:val="Hyperlink"/>
                  <w:rFonts w:ascii="Calibri" w:eastAsiaTheme="majorEastAsia" w:hAnsi="Calibri" w:cs="Calibri"/>
                  <w:sz w:val="21"/>
                  <w:szCs w:val="21"/>
                </w:rPr>
                <w:t>RS</w:t>
              </w:r>
            </w:hyperlink>
            <w:r w:rsidRPr="00F569AE">
              <w:rPr>
                <w:rFonts w:ascii="Calibri" w:hAnsi="Calibri" w:cs="Calibri"/>
                <w:sz w:val="21"/>
                <w:szCs w:val="21"/>
              </w:rPr>
              <w:t>, FBiH)</w:t>
            </w:r>
          </w:p>
          <w:p w14:paraId="226774A5"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Public Procurement Law (</w:t>
            </w:r>
            <w:hyperlink r:id="rId38" w:history="1">
              <w:r w:rsidRPr="00F569AE">
                <w:rPr>
                  <w:rStyle w:val="Hyperlink"/>
                  <w:rFonts w:ascii="Calibri" w:eastAsiaTheme="majorEastAsia" w:hAnsi="Calibri" w:cs="Calibri"/>
                  <w:sz w:val="21"/>
                  <w:szCs w:val="21"/>
                </w:rPr>
                <w:t>BiH</w:t>
              </w:r>
            </w:hyperlink>
            <w:r w:rsidRPr="00F569AE">
              <w:rPr>
                <w:rFonts w:ascii="Calibri" w:hAnsi="Calibri" w:cs="Calibri"/>
                <w:color w:val="212529"/>
                <w:sz w:val="21"/>
                <w:szCs w:val="21"/>
              </w:rPr>
              <w:t xml:space="preserve">, </w:t>
            </w:r>
            <w:hyperlink r:id="rId39"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w:t>
            </w:r>
          </w:p>
          <w:p w14:paraId="75F2A2CC"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Law on Budgetary System (</w:t>
            </w:r>
            <w:hyperlink r:id="rId40"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w:t>
            </w:r>
          </w:p>
          <w:p w14:paraId="785C6989"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Law on budgets (</w:t>
            </w:r>
            <w:hyperlink r:id="rId41" w:history="1">
              <w:r w:rsidRPr="00F569AE">
                <w:rPr>
                  <w:rStyle w:val="Hyperlink"/>
                  <w:rFonts w:ascii="Calibri" w:eastAsiaTheme="majorEastAsia" w:hAnsi="Calibri" w:cs="Calibri"/>
                  <w:sz w:val="21"/>
                  <w:szCs w:val="21"/>
                </w:rPr>
                <w:t>FBiH</w:t>
              </w:r>
            </w:hyperlink>
            <w:r w:rsidRPr="00F569AE">
              <w:rPr>
                <w:rFonts w:ascii="Calibri" w:hAnsi="Calibri" w:cs="Calibri"/>
                <w:color w:val="212529"/>
                <w:sz w:val="21"/>
                <w:szCs w:val="21"/>
              </w:rPr>
              <w:t>)</w:t>
            </w:r>
          </w:p>
          <w:p w14:paraId="0C49AF86"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Law on Financial Management and Control in Public Sector (</w:t>
            </w:r>
            <w:hyperlink r:id="rId42" w:history="1">
              <w:r w:rsidRPr="00F569AE">
                <w:rPr>
                  <w:rStyle w:val="Hyperlink"/>
                  <w:rFonts w:ascii="Calibri" w:eastAsiaTheme="majorEastAsia" w:hAnsi="Calibri" w:cs="Calibri"/>
                  <w:sz w:val="21"/>
                  <w:szCs w:val="21"/>
                </w:rPr>
                <w:t>FBiH</w:t>
              </w:r>
            </w:hyperlink>
            <w:r w:rsidRPr="00F569AE">
              <w:rPr>
                <w:rFonts w:ascii="Calibri" w:hAnsi="Calibri" w:cs="Calibri"/>
                <w:color w:val="212529"/>
                <w:sz w:val="21"/>
                <w:szCs w:val="21"/>
              </w:rPr>
              <w:t>)</w:t>
            </w:r>
          </w:p>
          <w:p w14:paraId="01DF59D0"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lastRenderedPageBreak/>
              <w:t>Law on System of Internal Financial Controls in Public Sector (</w:t>
            </w:r>
            <w:hyperlink r:id="rId43"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w:t>
            </w:r>
          </w:p>
          <w:p w14:paraId="70852187"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Law on Prevention of Corruption (</w:t>
            </w:r>
            <w:hyperlink r:id="rId44"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 xml:space="preserve">, </w:t>
            </w:r>
            <w:hyperlink r:id="rId45" w:history="1">
              <w:r w:rsidRPr="00F569AE">
                <w:rPr>
                  <w:rStyle w:val="Hyperlink"/>
                  <w:rFonts w:ascii="Calibri" w:eastAsiaTheme="majorEastAsia" w:hAnsi="Calibri" w:cs="Calibri"/>
                  <w:sz w:val="21"/>
                  <w:szCs w:val="21"/>
                </w:rPr>
                <w:t>FBiH</w:t>
              </w:r>
            </w:hyperlink>
            <w:r w:rsidRPr="00F569AE">
              <w:rPr>
                <w:rFonts w:ascii="Calibri" w:hAnsi="Calibri" w:cs="Calibri"/>
                <w:color w:val="212529"/>
                <w:sz w:val="21"/>
                <w:szCs w:val="21"/>
              </w:rPr>
              <w:t>)</w:t>
            </w:r>
          </w:p>
        </w:tc>
      </w:tr>
      <w:tr w:rsidR="004C1518" w:rsidRPr="00F569AE" w14:paraId="6477D45A" w14:textId="77777777" w:rsidTr="43F76C25">
        <w:tc>
          <w:tcPr>
            <w:tcW w:w="1555" w:type="dxa"/>
          </w:tcPr>
          <w:p w14:paraId="255BB6BD" w14:textId="77777777" w:rsidR="008224F6" w:rsidRPr="00F569AE" w:rsidRDefault="008224F6" w:rsidP="00A5744A">
            <w:pPr>
              <w:rPr>
                <w:rFonts w:ascii="Calibri" w:hAnsi="Calibri" w:cs="Calibri"/>
                <w:b/>
                <w:sz w:val="21"/>
                <w:szCs w:val="21"/>
                <w:lang w:val="en-US"/>
              </w:rPr>
            </w:pPr>
            <w:r w:rsidRPr="00F569AE">
              <w:rPr>
                <w:rFonts w:ascii="Calibri" w:hAnsi="Calibri" w:cs="Calibri"/>
                <w:b/>
                <w:sz w:val="21"/>
                <w:szCs w:val="21"/>
                <w:lang w:val="en-US"/>
              </w:rPr>
              <w:lastRenderedPageBreak/>
              <w:t>Benchmarking system</w:t>
            </w:r>
          </w:p>
        </w:tc>
        <w:tc>
          <w:tcPr>
            <w:tcW w:w="3402" w:type="dxa"/>
          </w:tcPr>
          <w:p w14:paraId="4A7E2602" w14:textId="77777777" w:rsidR="008224F6" w:rsidRPr="00F569AE" w:rsidRDefault="008224F6" w:rsidP="00A5744A">
            <w:pPr>
              <w:rPr>
                <w:rFonts w:ascii="Calibri" w:hAnsi="Calibri" w:cs="Calibri"/>
                <w:sz w:val="21"/>
                <w:szCs w:val="21"/>
                <w:lang w:val="en-US"/>
              </w:rPr>
            </w:pPr>
            <w:r w:rsidRPr="00F569AE">
              <w:rPr>
                <w:rFonts w:ascii="Calibri" w:hAnsi="Calibri" w:cs="Calibri"/>
                <w:sz w:val="21"/>
                <w:szCs w:val="21"/>
                <w:lang w:val="en-US"/>
              </w:rPr>
              <w:t xml:space="preserve">EU </w:t>
            </w:r>
            <w:r w:rsidRPr="00F569AE">
              <w:rPr>
                <w:rFonts w:ascii="Calibri" w:hAnsi="Calibri" w:cs="Calibri"/>
                <w:i/>
                <w:sz w:val="21"/>
                <w:szCs w:val="21"/>
                <w:lang w:val="en-US"/>
              </w:rPr>
              <w:t>acquis communautaire (</w:t>
            </w:r>
            <w:r w:rsidRPr="00F569AE">
              <w:rPr>
                <w:rFonts w:ascii="Calibri" w:hAnsi="Calibri" w:cs="Calibri"/>
                <w:sz w:val="21"/>
                <w:szCs w:val="21"/>
                <w:lang w:val="en-US"/>
              </w:rPr>
              <w:t xml:space="preserve">good governance, transparency, and accountability) - BiH’s EU Progress Reports </w:t>
            </w:r>
          </w:p>
        </w:tc>
        <w:tc>
          <w:tcPr>
            <w:tcW w:w="2835" w:type="dxa"/>
          </w:tcPr>
          <w:p w14:paraId="64850127" w14:textId="77777777" w:rsidR="008224F6" w:rsidRPr="00F569AE" w:rsidRDefault="008224F6" w:rsidP="0033780B">
            <w:pPr>
              <w:pStyle w:val="ListParagraph"/>
              <w:numPr>
                <w:ilvl w:val="0"/>
                <w:numId w:val="17"/>
              </w:numPr>
              <w:rPr>
                <w:rFonts w:ascii="Calibri" w:hAnsi="Calibri" w:cs="Calibri"/>
                <w:color w:val="212529"/>
                <w:sz w:val="21"/>
                <w:szCs w:val="21"/>
              </w:rPr>
            </w:pPr>
            <w:r w:rsidRPr="00F569AE">
              <w:rPr>
                <w:rFonts w:ascii="Calibri" w:hAnsi="Calibri" w:cs="Calibri"/>
                <w:color w:val="212529"/>
                <w:sz w:val="21"/>
                <w:szCs w:val="21"/>
              </w:rPr>
              <w:t xml:space="preserve">MEG II Project </w:t>
            </w:r>
          </w:p>
        </w:tc>
        <w:tc>
          <w:tcPr>
            <w:tcW w:w="6237" w:type="dxa"/>
          </w:tcPr>
          <w:p w14:paraId="5D8A1A9F" w14:textId="77777777" w:rsidR="008224F6" w:rsidRPr="00F569AE" w:rsidRDefault="008224F6" w:rsidP="0033780B">
            <w:pPr>
              <w:pStyle w:val="ListParagraph"/>
              <w:numPr>
                <w:ilvl w:val="0"/>
                <w:numId w:val="17"/>
              </w:numPr>
              <w:rPr>
                <w:rFonts w:ascii="Calibri" w:hAnsi="Calibri" w:cs="Calibri"/>
                <w:color w:val="212529"/>
                <w:sz w:val="21"/>
                <w:szCs w:val="21"/>
              </w:rPr>
            </w:pPr>
            <w:r w:rsidRPr="00F569AE">
              <w:rPr>
                <w:rFonts w:ascii="Calibri" w:hAnsi="Calibri" w:cs="Calibri"/>
                <w:color w:val="212529"/>
                <w:sz w:val="21"/>
                <w:szCs w:val="21"/>
              </w:rPr>
              <w:t>Law on local self-government (</w:t>
            </w:r>
            <w:hyperlink r:id="rId46"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w:t>
            </w:r>
          </w:p>
          <w:p w14:paraId="162C1D5B" w14:textId="77777777" w:rsidR="008224F6" w:rsidRPr="00F569AE" w:rsidRDefault="008224F6" w:rsidP="0033780B">
            <w:pPr>
              <w:pStyle w:val="ListParagraph"/>
              <w:numPr>
                <w:ilvl w:val="0"/>
                <w:numId w:val="17"/>
              </w:numPr>
              <w:rPr>
                <w:rFonts w:ascii="Calibri" w:hAnsi="Calibri" w:cs="Calibri"/>
                <w:color w:val="212529"/>
                <w:sz w:val="21"/>
                <w:szCs w:val="21"/>
              </w:rPr>
            </w:pPr>
            <w:r w:rsidRPr="00F569AE">
              <w:rPr>
                <w:rFonts w:ascii="Calibri" w:hAnsi="Calibri" w:cs="Calibri"/>
                <w:color w:val="212529"/>
                <w:sz w:val="21"/>
                <w:szCs w:val="21"/>
              </w:rPr>
              <w:t>Law on Principles of Local Self-governance (</w:t>
            </w:r>
            <w:hyperlink r:id="rId47" w:history="1">
              <w:r w:rsidRPr="00F569AE">
                <w:rPr>
                  <w:rStyle w:val="Hyperlink"/>
                  <w:rFonts w:ascii="Calibri" w:eastAsiaTheme="majorEastAsia" w:hAnsi="Calibri" w:cs="Calibri"/>
                  <w:sz w:val="21"/>
                  <w:szCs w:val="21"/>
                </w:rPr>
                <w:t>FBiH</w:t>
              </w:r>
            </w:hyperlink>
            <w:r w:rsidRPr="00F569AE">
              <w:rPr>
                <w:rFonts w:ascii="Calibri" w:hAnsi="Calibri" w:cs="Calibri"/>
                <w:color w:val="212529"/>
                <w:sz w:val="21"/>
                <w:szCs w:val="21"/>
              </w:rPr>
              <w:t>)</w:t>
            </w:r>
          </w:p>
          <w:p w14:paraId="356EEC7F" w14:textId="77777777" w:rsidR="008224F6" w:rsidRPr="00F569AE" w:rsidRDefault="008224F6" w:rsidP="0033780B">
            <w:pPr>
              <w:pStyle w:val="ListParagraph"/>
              <w:numPr>
                <w:ilvl w:val="0"/>
                <w:numId w:val="17"/>
              </w:numPr>
              <w:rPr>
                <w:rFonts w:ascii="Calibri" w:hAnsi="Calibri" w:cs="Calibri"/>
                <w:color w:val="212529"/>
                <w:sz w:val="21"/>
                <w:szCs w:val="21"/>
              </w:rPr>
            </w:pPr>
            <w:r w:rsidRPr="00F569AE">
              <w:rPr>
                <w:rFonts w:ascii="Calibri" w:hAnsi="Calibri" w:cs="Calibri"/>
                <w:color w:val="212529"/>
                <w:sz w:val="21"/>
                <w:szCs w:val="21"/>
              </w:rPr>
              <w:t>Law on administration (</w:t>
            </w:r>
            <w:hyperlink r:id="rId48" w:history="1">
              <w:r w:rsidRPr="00F569AE">
                <w:rPr>
                  <w:rStyle w:val="Hyperlink"/>
                  <w:rFonts w:ascii="Calibri" w:eastAsiaTheme="majorEastAsia" w:hAnsi="Calibri" w:cs="Calibri"/>
                  <w:sz w:val="21"/>
                  <w:szCs w:val="21"/>
                </w:rPr>
                <w:t>BiH</w:t>
              </w:r>
            </w:hyperlink>
            <w:r w:rsidRPr="00F569AE">
              <w:rPr>
                <w:rFonts w:ascii="Calibri" w:hAnsi="Calibri" w:cs="Calibri"/>
                <w:color w:val="212529"/>
                <w:sz w:val="21"/>
                <w:szCs w:val="21"/>
              </w:rPr>
              <w:t>)</w:t>
            </w:r>
          </w:p>
          <w:p w14:paraId="7B73A611" w14:textId="77777777" w:rsidR="008224F6" w:rsidRPr="00F569AE" w:rsidRDefault="008224F6" w:rsidP="0033780B">
            <w:pPr>
              <w:pStyle w:val="ListParagraph"/>
              <w:numPr>
                <w:ilvl w:val="0"/>
                <w:numId w:val="17"/>
              </w:numPr>
              <w:rPr>
                <w:rFonts w:ascii="Calibri" w:hAnsi="Calibri" w:cs="Calibri"/>
                <w:color w:val="212529"/>
                <w:sz w:val="21"/>
                <w:szCs w:val="21"/>
              </w:rPr>
            </w:pPr>
            <w:r w:rsidRPr="00F569AE">
              <w:rPr>
                <w:rFonts w:ascii="Calibri" w:hAnsi="Calibri" w:cs="Calibri"/>
                <w:color w:val="212529"/>
                <w:sz w:val="21"/>
                <w:szCs w:val="21"/>
              </w:rPr>
              <w:t>Law on Financial Management and Control in Public Sector (</w:t>
            </w:r>
            <w:hyperlink r:id="rId49" w:history="1">
              <w:r w:rsidRPr="00F569AE">
                <w:rPr>
                  <w:rStyle w:val="Hyperlink"/>
                  <w:rFonts w:ascii="Calibri" w:eastAsiaTheme="majorEastAsia" w:hAnsi="Calibri" w:cs="Calibri"/>
                  <w:sz w:val="21"/>
                  <w:szCs w:val="21"/>
                </w:rPr>
                <w:t>FBiH</w:t>
              </w:r>
            </w:hyperlink>
            <w:r w:rsidRPr="00F569AE">
              <w:rPr>
                <w:rFonts w:ascii="Calibri" w:hAnsi="Calibri" w:cs="Calibri"/>
                <w:color w:val="212529"/>
                <w:sz w:val="21"/>
                <w:szCs w:val="21"/>
              </w:rPr>
              <w:t>)</w:t>
            </w:r>
          </w:p>
          <w:p w14:paraId="1EB6C387" w14:textId="77777777" w:rsidR="008224F6" w:rsidRPr="00F569AE" w:rsidRDefault="008224F6" w:rsidP="0033780B">
            <w:pPr>
              <w:pStyle w:val="ListParagraph"/>
              <w:numPr>
                <w:ilvl w:val="0"/>
                <w:numId w:val="17"/>
              </w:numPr>
              <w:rPr>
                <w:rFonts w:ascii="Calibri" w:hAnsi="Calibri" w:cs="Calibri"/>
                <w:color w:val="212529"/>
                <w:sz w:val="21"/>
                <w:szCs w:val="21"/>
              </w:rPr>
            </w:pPr>
            <w:r w:rsidRPr="00F569AE">
              <w:rPr>
                <w:rFonts w:ascii="Calibri" w:hAnsi="Calibri" w:cs="Calibri"/>
                <w:color w:val="212529"/>
                <w:sz w:val="21"/>
                <w:szCs w:val="21"/>
              </w:rPr>
              <w:t>Law on System of Internal Financial Controls in Public Sector (</w:t>
            </w:r>
            <w:hyperlink r:id="rId50"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w:t>
            </w:r>
          </w:p>
        </w:tc>
      </w:tr>
      <w:tr w:rsidR="004C1518" w:rsidRPr="00F569AE" w14:paraId="0B090DD0" w14:textId="77777777" w:rsidTr="43F76C25">
        <w:tc>
          <w:tcPr>
            <w:tcW w:w="1555" w:type="dxa"/>
          </w:tcPr>
          <w:p w14:paraId="641A7761" w14:textId="77777777" w:rsidR="008224F6" w:rsidRPr="00F569AE" w:rsidRDefault="008224F6" w:rsidP="00A5744A">
            <w:pPr>
              <w:rPr>
                <w:rFonts w:ascii="Calibri" w:hAnsi="Calibri" w:cs="Calibri"/>
                <w:b/>
                <w:sz w:val="21"/>
                <w:szCs w:val="21"/>
                <w:lang w:val="en-US"/>
              </w:rPr>
            </w:pPr>
            <w:r w:rsidRPr="00F569AE">
              <w:rPr>
                <w:rFonts w:ascii="Calibri" w:hAnsi="Calibri" w:cs="Calibri"/>
                <w:b/>
                <w:sz w:val="21"/>
                <w:szCs w:val="21"/>
                <w:lang w:val="en-US"/>
              </w:rPr>
              <w:t>Integrity plans</w:t>
            </w:r>
          </w:p>
        </w:tc>
        <w:tc>
          <w:tcPr>
            <w:tcW w:w="3402" w:type="dxa"/>
          </w:tcPr>
          <w:p w14:paraId="6662B9A6" w14:textId="77777777" w:rsidR="008224F6" w:rsidRPr="00F569AE" w:rsidRDefault="008224F6" w:rsidP="00A5744A">
            <w:pPr>
              <w:rPr>
                <w:rFonts w:ascii="Calibri" w:hAnsi="Calibri" w:cs="Calibri"/>
                <w:sz w:val="21"/>
                <w:szCs w:val="21"/>
                <w:lang w:val="en-US"/>
              </w:rPr>
            </w:pPr>
            <w:r w:rsidRPr="00F569AE">
              <w:rPr>
                <w:rFonts w:ascii="Calibri" w:hAnsi="Calibri" w:cs="Calibri"/>
                <w:sz w:val="21"/>
                <w:szCs w:val="21"/>
                <w:lang w:val="en-US"/>
              </w:rPr>
              <w:t>OECD Anti-Bribery Convention</w:t>
            </w:r>
          </w:p>
          <w:p w14:paraId="74790758" w14:textId="77777777" w:rsidR="008224F6" w:rsidRPr="00F569AE" w:rsidRDefault="008224F6" w:rsidP="00A5744A">
            <w:pPr>
              <w:rPr>
                <w:rFonts w:ascii="Calibri" w:hAnsi="Calibri" w:cs="Calibri"/>
                <w:sz w:val="21"/>
                <w:szCs w:val="21"/>
                <w:lang w:val="en-US"/>
              </w:rPr>
            </w:pPr>
            <w:r w:rsidRPr="00F569AE">
              <w:rPr>
                <w:rFonts w:ascii="Calibri" w:hAnsi="Calibri" w:cs="Calibri"/>
                <w:sz w:val="21"/>
                <w:szCs w:val="21"/>
                <w:lang w:val="en-US"/>
              </w:rPr>
              <w:t>Stability Pact for South Eastern Europe — Anti-Corruption Initiative</w:t>
            </w:r>
          </w:p>
          <w:p w14:paraId="621BA657" w14:textId="77777777" w:rsidR="008224F6" w:rsidRPr="00F569AE" w:rsidRDefault="008224F6" w:rsidP="00A5744A">
            <w:pPr>
              <w:rPr>
                <w:rFonts w:ascii="Calibri" w:hAnsi="Calibri" w:cs="Calibri"/>
                <w:sz w:val="21"/>
                <w:szCs w:val="21"/>
                <w:lang w:val="en-US"/>
              </w:rPr>
            </w:pPr>
            <w:r w:rsidRPr="00F569AE">
              <w:rPr>
                <w:rFonts w:ascii="Calibri" w:hAnsi="Calibri" w:cs="Calibri"/>
                <w:sz w:val="21"/>
                <w:szCs w:val="21"/>
                <w:lang w:val="en-US"/>
              </w:rPr>
              <w:t>Council of Europe’s Group of States Against Corruption (GRECO) recommendations</w:t>
            </w:r>
          </w:p>
        </w:tc>
        <w:tc>
          <w:tcPr>
            <w:tcW w:w="2835" w:type="dxa"/>
          </w:tcPr>
          <w:p w14:paraId="59C93CAF" w14:textId="77777777" w:rsidR="008224F6" w:rsidRPr="00F569AE" w:rsidRDefault="008224F6" w:rsidP="0033780B">
            <w:pPr>
              <w:pStyle w:val="ListParagraph"/>
              <w:numPr>
                <w:ilvl w:val="0"/>
                <w:numId w:val="18"/>
              </w:numPr>
              <w:rPr>
                <w:rFonts w:ascii="Calibri" w:hAnsi="Calibri" w:cs="Calibri"/>
                <w:sz w:val="21"/>
                <w:szCs w:val="21"/>
              </w:rPr>
            </w:pPr>
            <w:r w:rsidRPr="00F569AE">
              <w:rPr>
                <w:rFonts w:ascii="Calibri" w:hAnsi="Calibri" w:cs="Calibri"/>
                <w:sz w:val="21"/>
                <w:szCs w:val="21"/>
              </w:rPr>
              <w:t>UN Convention Against Corruption (UNCAC)</w:t>
            </w:r>
          </w:p>
          <w:p w14:paraId="1829E0B1" w14:textId="77777777" w:rsidR="008224F6" w:rsidRPr="00F569AE" w:rsidRDefault="008224F6" w:rsidP="0033780B">
            <w:pPr>
              <w:pStyle w:val="ListParagraph"/>
              <w:numPr>
                <w:ilvl w:val="0"/>
                <w:numId w:val="18"/>
              </w:numPr>
              <w:rPr>
                <w:rFonts w:ascii="Calibri" w:hAnsi="Calibri" w:cs="Calibri"/>
                <w:color w:val="212529"/>
                <w:sz w:val="21"/>
                <w:szCs w:val="21"/>
              </w:rPr>
            </w:pPr>
            <w:r w:rsidRPr="00F569AE">
              <w:rPr>
                <w:rFonts w:ascii="Calibri" w:hAnsi="Calibri" w:cs="Calibri"/>
                <w:color w:val="212529"/>
                <w:sz w:val="21"/>
                <w:szCs w:val="21"/>
              </w:rPr>
              <w:t>UNDP’s "Support to Anti-Corruption and Good Governance"</w:t>
            </w:r>
          </w:p>
          <w:p w14:paraId="199D94FC" w14:textId="77777777" w:rsidR="008224F6" w:rsidRPr="00F569AE" w:rsidRDefault="008224F6" w:rsidP="0033780B">
            <w:pPr>
              <w:pStyle w:val="ListParagraph"/>
              <w:numPr>
                <w:ilvl w:val="0"/>
                <w:numId w:val="18"/>
              </w:numPr>
              <w:rPr>
                <w:rFonts w:ascii="Calibri" w:hAnsi="Calibri" w:cs="Calibri"/>
                <w:color w:val="212529"/>
                <w:sz w:val="21"/>
                <w:szCs w:val="21"/>
              </w:rPr>
            </w:pPr>
            <w:r w:rsidRPr="00F569AE">
              <w:rPr>
                <w:rFonts w:ascii="Calibri" w:hAnsi="Calibri" w:cs="Calibri"/>
                <w:color w:val="212529"/>
                <w:sz w:val="21"/>
                <w:szCs w:val="21"/>
              </w:rPr>
              <w:t>Global Integrity and Transparency Initiatives - UN-led assessments and reporting mechanisms that evaluate transparency and governance standards</w:t>
            </w:r>
          </w:p>
          <w:p w14:paraId="1D0EA473" w14:textId="77777777" w:rsidR="008224F6" w:rsidRPr="00F569AE" w:rsidRDefault="1CD75AEA" w:rsidP="0033780B">
            <w:pPr>
              <w:pStyle w:val="ListParagraph"/>
              <w:numPr>
                <w:ilvl w:val="0"/>
                <w:numId w:val="18"/>
              </w:numPr>
              <w:rPr>
                <w:rFonts w:ascii="Calibri" w:hAnsi="Calibri" w:cs="Calibri"/>
                <w:sz w:val="21"/>
                <w:szCs w:val="21"/>
              </w:rPr>
            </w:pPr>
            <w:r w:rsidRPr="00F569AE">
              <w:rPr>
                <w:rFonts w:ascii="Calibri" w:hAnsi="Calibri" w:cs="Calibri"/>
                <w:sz w:val="21"/>
                <w:szCs w:val="21"/>
              </w:rPr>
              <w:t>MEG II project</w:t>
            </w:r>
          </w:p>
          <w:p w14:paraId="4D69413E" w14:textId="1C8D35BC" w:rsidR="00AC7D8D" w:rsidRPr="00F569AE" w:rsidRDefault="00AC7D8D" w:rsidP="0033780B">
            <w:pPr>
              <w:pStyle w:val="ListParagraph"/>
              <w:numPr>
                <w:ilvl w:val="0"/>
                <w:numId w:val="18"/>
              </w:numPr>
              <w:rPr>
                <w:rFonts w:ascii="Calibri" w:hAnsi="Calibri" w:cs="Calibri"/>
                <w:sz w:val="21"/>
                <w:szCs w:val="21"/>
              </w:rPr>
            </w:pPr>
            <w:r w:rsidRPr="00F569AE">
              <w:rPr>
                <w:rFonts w:ascii="Calibri" w:hAnsi="Calibri" w:cs="Calibri"/>
                <w:sz w:val="21"/>
                <w:szCs w:val="21"/>
              </w:rPr>
              <w:t>MEG I project</w:t>
            </w:r>
          </w:p>
        </w:tc>
        <w:tc>
          <w:tcPr>
            <w:tcW w:w="6237" w:type="dxa"/>
          </w:tcPr>
          <w:p w14:paraId="59F8BC1E" w14:textId="0397BBF5" w:rsidR="008224F6" w:rsidRPr="00F569AE" w:rsidRDefault="008224F6" w:rsidP="00A5744A">
            <w:pPr>
              <w:rPr>
                <w:rFonts w:ascii="Calibri" w:hAnsi="Calibri" w:cs="Calibri"/>
                <w:color w:val="212529"/>
                <w:sz w:val="21"/>
                <w:szCs w:val="21"/>
                <w:lang w:val="en-US"/>
              </w:rPr>
            </w:pPr>
            <w:r w:rsidRPr="00F569AE">
              <w:rPr>
                <w:rFonts w:ascii="Calibri" w:hAnsi="Calibri" w:cs="Calibri"/>
                <w:color w:val="212529"/>
                <w:sz w:val="21"/>
                <w:szCs w:val="21"/>
                <w:lang w:val="en-US"/>
              </w:rPr>
              <w:t>Laws on:</w:t>
            </w:r>
          </w:p>
          <w:p w14:paraId="3655A783" w14:textId="77777777" w:rsidR="008224F6" w:rsidRPr="00F569AE" w:rsidRDefault="008224F6" w:rsidP="0033780B">
            <w:pPr>
              <w:pStyle w:val="ListParagraph"/>
              <w:numPr>
                <w:ilvl w:val="0"/>
                <w:numId w:val="12"/>
              </w:numPr>
              <w:rPr>
                <w:rFonts w:ascii="Calibri" w:hAnsi="Calibri" w:cs="Calibri"/>
                <w:color w:val="212529"/>
                <w:sz w:val="21"/>
                <w:szCs w:val="21"/>
              </w:rPr>
            </w:pPr>
            <w:r w:rsidRPr="00F569AE">
              <w:rPr>
                <w:rFonts w:ascii="Calibri" w:hAnsi="Calibri" w:cs="Calibri"/>
                <w:color w:val="212529"/>
                <w:sz w:val="21"/>
                <w:szCs w:val="21"/>
              </w:rPr>
              <w:t>Prevention of Corruption (</w:t>
            </w:r>
            <w:hyperlink r:id="rId51"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 xml:space="preserve">, </w:t>
            </w:r>
            <w:hyperlink r:id="rId52" w:history="1">
              <w:r w:rsidRPr="00F569AE">
                <w:rPr>
                  <w:rStyle w:val="Hyperlink"/>
                  <w:rFonts w:ascii="Calibri" w:eastAsiaTheme="majorEastAsia" w:hAnsi="Calibri" w:cs="Calibri"/>
                  <w:sz w:val="21"/>
                  <w:szCs w:val="21"/>
                </w:rPr>
                <w:t>FBiH</w:t>
              </w:r>
            </w:hyperlink>
            <w:r w:rsidRPr="00F569AE">
              <w:rPr>
                <w:rFonts w:ascii="Calibri" w:hAnsi="Calibri" w:cs="Calibri"/>
                <w:color w:val="212529"/>
                <w:sz w:val="21"/>
                <w:szCs w:val="21"/>
              </w:rPr>
              <w:t>)</w:t>
            </w:r>
          </w:p>
          <w:p w14:paraId="0F08138D" w14:textId="77777777" w:rsidR="008224F6" w:rsidRPr="00F569AE" w:rsidRDefault="008224F6" w:rsidP="0033780B">
            <w:pPr>
              <w:pStyle w:val="ListParagraph"/>
              <w:numPr>
                <w:ilvl w:val="0"/>
                <w:numId w:val="12"/>
              </w:numPr>
              <w:rPr>
                <w:rFonts w:ascii="Calibri" w:hAnsi="Calibri" w:cs="Calibri"/>
                <w:color w:val="212529"/>
                <w:sz w:val="21"/>
                <w:szCs w:val="21"/>
              </w:rPr>
            </w:pPr>
            <w:r w:rsidRPr="00F569AE">
              <w:rPr>
                <w:rFonts w:ascii="Calibri" w:hAnsi="Calibri" w:cs="Calibri"/>
                <w:color w:val="212529"/>
                <w:sz w:val="21"/>
                <w:szCs w:val="21"/>
              </w:rPr>
              <w:t>Conflict of Interest in the Performance of Public Office (</w:t>
            </w:r>
            <w:hyperlink r:id="rId53" w:history="1">
              <w:r w:rsidRPr="00F569AE">
                <w:rPr>
                  <w:rStyle w:val="Hyperlink"/>
                  <w:rFonts w:ascii="Calibri" w:eastAsiaTheme="majorEastAsia" w:hAnsi="Calibri" w:cs="Calibri"/>
                  <w:sz w:val="21"/>
                  <w:szCs w:val="21"/>
                </w:rPr>
                <w:t>BiH</w:t>
              </w:r>
            </w:hyperlink>
            <w:r w:rsidRPr="00F569AE">
              <w:rPr>
                <w:rFonts w:ascii="Calibri" w:hAnsi="Calibri" w:cs="Calibri"/>
                <w:color w:val="212529"/>
                <w:sz w:val="21"/>
                <w:szCs w:val="21"/>
              </w:rPr>
              <w:t>)</w:t>
            </w:r>
          </w:p>
          <w:p w14:paraId="43E2BC39" w14:textId="77777777" w:rsidR="008224F6" w:rsidRPr="00F569AE" w:rsidRDefault="008224F6" w:rsidP="0033780B">
            <w:pPr>
              <w:pStyle w:val="ListParagraph"/>
              <w:numPr>
                <w:ilvl w:val="0"/>
                <w:numId w:val="12"/>
              </w:numPr>
              <w:rPr>
                <w:rFonts w:ascii="Calibri" w:hAnsi="Calibri" w:cs="Calibri"/>
                <w:color w:val="212529"/>
                <w:sz w:val="21"/>
                <w:szCs w:val="21"/>
              </w:rPr>
            </w:pPr>
            <w:r w:rsidRPr="00F569AE">
              <w:rPr>
                <w:rFonts w:ascii="Calibri" w:hAnsi="Calibri" w:cs="Calibri"/>
                <w:color w:val="212529"/>
                <w:sz w:val="21"/>
                <w:szCs w:val="21"/>
              </w:rPr>
              <w:t>Freedom on Access to Information (</w:t>
            </w:r>
            <w:hyperlink r:id="rId54" w:history="1">
              <w:r w:rsidRPr="00F569AE">
                <w:rPr>
                  <w:rStyle w:val="Hyperlink"/>
                  <w:rFonts w:ascii="Calibri" w:eastAsiaTheme="majorEastAsia" w:hAnsi="Calibri" w:cs="Calibri"/>
                  <w:sz w:val="21"/>
                  <w:szCs w:val="21"/>
                </w:rPr>
                <w:t>FBiH</w:t>
              </w:r>
            </w:hyperlink>
            <w:r w:rsidRPr="00F569AE">
              <w:rPr>
                <w:rFonts w:ascii="Calibri" w:hAnsi="Calibri" w:cs="Calibri"/>
                <w:color w:val="212529"/>
                <w:sz w:val="21"/>
                <w:szCs w:val="21"/>
              </w:rPr>
              <w:t xml:space="preserve">, </w:t>
            </w:r>
            <w:hyperlink r:id="rId55"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w:t>
            </w:r>
          </w:p>
          <w:p w14:paraId="6C5BB2CB"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Public Procurement (</w:t>
            </w:r>
            <w:hyperlink r:id="rId56" w:history="1">
              <w:r w:rsidRPr="00F569AE">
                <w:rPr>
                  <w:rStyle w:val="Hyperlink"/>
                  <w:rFonts w:ascii="Calibri" w:eastAsiaTheme="majorEastAsia" w:hAnsi="Calibri" w:cs="Calibri"/>
                  <w:sz w:val="21"/>
                  <w:szCs w:val="21"/>
                </w:rPr>
                <w:t>BiH</w:t>
              </w:r>
            </w:hyperlink>
            <w:r w:rsidRPr="00F569AE">
              <w:rPr>
                <w:rFonts w:ascii="Calibri" w:hAnsi="Calibri" w:cs="Calibri"/>
                <w:color w:val="212529"/>
                <w:sz w:val="21"/>
                <w:szCs w:val="21"/>
              </w:rPr>
              <w:t xml:space="preserve">, </w:t>
            </w:r>
            <w:hyperlink r:id="rId57"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w:t>
            </w:r>
          </w:p>
          <w:p w14:paraId="3BAF2E6C" w14:textId="6F783CCF" w:rsidR="00AC7D8D" w:rsidRPr="00F569AE" w:rsidRDefault="00AC7D8D"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SDG Framework in BiH</w:t>
            </w:r>
          </w:p>
          <w:p w14:paraId="14E6F8A8" w14:textId="77777777" w:rsidR="008224F6" w:rsidRPr="00F569AE" w:rsidRDefault="008224F6" w:rsidP="00A5744A">
            <w:pPr>
              <w:rPr>
                <w:rFonts w:ascii="Calibri" w:hAnsi="Calibri" w:cs="Calibri"/>
                <w:color w:val="212529"/>
                <w:sz w:val="21"/>
                <w:szCs w:val="21"/>
                <w:lang w:val="en-US"/>
              </w:rPr>
            </w:pPr>
          </w:p>
          <w:p w14:paraId="7BDDEF83" w14:textId="77777777" w:rsidR="008224F6" w:rsidRPr="00F569AE" w:rsidRDefault="008224F6" w:rsidP="00A5744A">
            <w:pPr>
              <w:rPr>
                <w:rFonts w:ascii="Calibri" w:hAnsi="Calibri" w:cs="Calibri"/>
                <w:color w:val="212529"/>
                <w:sz w:val="21"/>
                <w:szCs w:val="21"/>
                <w:lang w:val="en-US"/>
              </w:rPr>
            </w:pPr>
            <w:r w:rsidRPr="00F569AE">
              <w:rPr>
                <w:rFonts w:ascii="Calibri" w:hAnsi="Calibri" w:cs="Calibri"/>
                <w:color w:val="212529"/>
                <w:sz w:val="21"/>
                <w:szCs w:val="21"/>
                <w:lang w:val="en-US"/>
              </w:rPr>
              <w:t>Strategies:</w:t>
            </w:r>
          </w:p>
          <w:p w14:paraId="0C3A746C"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Anti-Corruption Strategy (</w:t>
            </w:r>
            <w:hyperlink r:id="rId58" w:history="1">
              <w:r w:rsidRPr="00F569AE">
                <w:rPr>
                  <w:rStyle w:val="Hyperlink"/>
                  <w:rFonts w:ascii="Calibri" w:eastAsiaTheme="majorEastAsia" w:hAnsi="Calibri" w:cs="Calibri"/>
                  <w:sz w:val="21"/>
                  <w:szCs w:val="21"/>
                </w:rPr>
                <w:t>BiH</w:t>
              </w:r>
            </w:hyperlink>
            <w:r w:rsidRPr="00F569AE">
              <w:rPr>
                <w:rFonts w:ascii="Calibri" w:hAnsi="Calibri" w:cs="Calibri"/>
                <w:color w:val="212529"/>
                <w:sz w:val="21"/>
                <w:szCs w:val="21"/>
              </w:rPr>
              <w:t>) and Action Plans</w:t>
            </w:r>
          </w:p>
          <w:p w14:paraId="39910211" w14:textId="77777777" w:rsidR="008224F6" w:rsidRPr="00F569AE" w:rsidRDefault="008224F6" w:rsidP="00A5744A">
            <w:pPr>
              <w:rPr>
                <w:rFonts w:ascii="Calibri" w:hAnsi="Calibri" w:cs="Calibri"/>
                <w:color w:val="212529"/>
                <w:sz w:val="21"/>
                <w:szCs w:val="21"/>
                <w:lang w:val="en-US"/>
              </w:rPr>
            </w:pPr>
          </w:p>
        </w:tc>
      </w:tr>
      <w:tr w:rsidR="004C1518" w:rsidRPr="00F569AE" w14:paraId="1E05B505" w14:textId="77777777" w:rsidTr="43F76C25">
        <w:tc>
          <w:tcPr>
            <w:tcW w:w="1555" w:type="dxa"/>
          </w:tcPr>
          <w:p w14:paraId="75638A8C" w14:textId="77777777" w:rsidR="008224F6" w:rsidRPr="00F569AE" w:rsidRDefault="008224F6" w:rsidP="00A5744A">
            <w:pPr>
              <w:rPr>
                <w:rFonts w:ascii="Calibri" w:hAnsi="Calibri" w:cs="Calibri"/>
                <w:b/>
                <w:sz w:val="21"/>
                <w:szCs w:val="21"/>
                <w:lang w:val="en-US"/>
              </w:rPr>
            </w:pPr>
            <w:r w:rsidRPr="00F569AE">
              <w:rPr>
                <w:rFonts w:ascii="Calibri" w:hAnsi="Calibri" w:cs="Calibri"/>
                <w:b/>
                <w:sz w:val="21"/>
                <w:szCs w:val="21"/>
                <w:lang w:val="en-US"/>
              </w:rPr>
              <w:t>Project based budgeting</w:t>
            </w:r>
          </w:p>
        </w:tc>
        <w:tc>
          <w:tcPr>
            <w:tcW w:w="3402" w:type="dxa"/>
          </w:tcPr>
          <w:p w14:paraId="06C72096" w14:textId="77777777" w:rsidR="008224F6" w:rsidRPr="00F569AE" w:rsidRDefault="008224F6" w:rsidP="00A5744A">
            <w:pPr>
              <w:rPr>
                <w:rFonts w:ascii="Calibri" w:hAnsi="Calibri" w:cs="Calibri"/>
                <w:sz w:val="21"/>
                <w:szCs w:val="21"/>
                <w:lang w:val="en-US"/>
              </w:rPr>
            </w:pPr>
            <w:r w:rsidRPr="00F569AE">
              <w:rPr>
                <w:rFonts w:ascii="Calibri" w:hAnsi="Calibri" w:cs="Calibri"/>
                <w:sz w:val="21"/>
                <w:szCs w:val="21"/>
                <w:lang w:val="en-US"/>
              </w:rPr>
              <w:t>EU Public Financial Management (PFM) Requirements (Part of EU Enlargement Package &amp; SIGMA principles) - Public bodies (including utilities) must adopt multi-year planning, including: operational budgets, performance indicators and risk management</w:t>
            </w:r>
          </w:p>
          <w:p w14:paraId="2039DA69" w14:textId="77777777" w:rsidR="008224F6" w:rsidRPr="00F569AE" w:rsidRDefault="008224F6" w:rsidP="00A5744A">
            <w:pPr>
              <w:rPr>
                <w:rFonts w:ascii="Calibri" w:hAnsi="Calibri" w:cs="Calibri"/>
                <w:sz w:val="21"/>
                <w:szCs w:val="21"/>
                <w:lang w:val="en-US"/>
              </w:rPr>
            </w:pPr>
          </w:p>
        </w:tc>
        <w:tc>
          <w:tcPr>
            <w:tcW w:w="2835" w:type="dxa"/>
          </w:tcPr>
          <w:p w14:paraId="667C9F4C" w14:textId="2AC39083" w:rsidR="008224F6" w:rsidRPr="00F569AE" w:rsidRDefault="008224F6" w:rsidP="0033780B">
            <w:pPr>
              <w:pStyle w:val="ListParagraph"/>
              <w:numPr>
                <w:ilvl w:val="0"/>
                <w:numId w:val="19"/>
              </w:numPr>
              <w:rPr>
                <w:rFonts w:ascii="Calibri" w:hAnsi="Calibri" w:cs="Calibri"/>
                <w:color w:val="212529"/>
                <w:sz w:val="21"/>
                <w:szCs w:val="21"/>
              </w:rPr>
            </w:pPr>
            <w:r w:rsidRPr="00F569AE">
              <w:rPr>
                <w:rFonts w:ascii="Calibri" w:hAnsi="Calibri" w:cs="Calibri"/>
                <w:color w:val="212529"/>
                <w:sz w:val="21"/>
                <w:szCs w:val="21"/>
              </w:rPr>
              <w:t xml:space="preserve">ILDP </w:t>
            </w:r>
            <w:r w:rsidR="00AC7D8D" w:rsidRPr="00F569AE">
              <w:rPr>
                <w:rFonts w:ascii="Calibri" w:hAnsi="Calibri" w:cs="Calibri"/>
                <w:color w:val="212529"/>
                <w:sz w:val="21"/>
                <w:szCs w:val="21"/>
              </w:rPr>
              <w:t>p</w:t>
            </w:r>
            <w:r w:rsidRPr="00F569AE">
              <w:rPr>
                <w:rFonts w:ascii="Calibri" w:hAnsi="Calibri" w:cs="Calibri"/>
                <w:color w:val="212529"/>
                <w:sz w:val="21"/>
                <w:szCs w:val="21"/>
              </w:rPr>
              <w:t xml:space="preserve">roject </w:t>
            </w:r>
          </w:p>
          <w:p w14:paraId="55F80671" w14:textId="7121C2E5" w:rsidR="008224F6" w:rsidRPr="00F569AE" w:rsidRDefault="008224F6" w:rsidP="0033780B">
            <w:pPr>
              <w:pStyle w:val="ListParagraph"/>
              <w:numPr>
                <w:ilvl w:val="0"/>
                <w:numId w:val="19"/>
              </w:numPr>
              <w:rPr>
                <w:rFonts w:ascii="Calibri" w:hAnsi="Calibri" w:cs="Calibri"/>
                <w:color w:val="212529"/>
                <w:sz w:val="21"/>
                <w:szCs w:val="21"/>
              </w:rPr>
            </w:pPr>
            <w:r w:rsidRPr="00F569AE">
              <w:rPr>
                <w:rFonts w:ascii="Calibri" w:hAnsi="Calibri" w:cs="Calibri"/>
                <w:color w:val="212529"/>
                <w:sz w:val="21"/>
                <w:szCs w:val="21"/>
              </w:rPr>
              <w:t xml:space="preserve">PFM </w:t>
            </w:r>
            <w:r w:rsidR="00AC7D8D" w:rsidRPr="00F569AE">
              <w:rPr>
                <w:rFonts w:ascii="Calibri" w:hAnsi="Calibri" w:cs="Calibri"/>
                <w:color w:val="212529"/>
                <w:sz w:val="21"/>
                <w:szCs w:val="21"/>
              </w:rPr>
              <w:t>p</w:t>
            </w:r>
            <w:r w:rsidRPr="00F569AE">
              <w:rPr>
                <w:rFonts w:ascii="Calibri" w:hAnsi="Calibri" w:cs="Calibri"/>
                <w:color w:val="212529"/>
                <w:sz w:val="21"/>
                <w:szCs w:val="21"/>
              </w:rPr>
              <w:t>roject</w:t>
            </w:r>
          </w:p>
          <w:p w14:paraId="271C031B" w14:textId="5A13B82D" w:rsidR="008224F6" w:rsidRPr="00F569AE" w:rsidRDefault="1CD75AEA" w:rsidP="0033780B">
            <w:pPr>
              <w:pStyle w:val="ListParagraph"/>
              <w:numPr>
                <w:ilvl w:val="0"/>
                <w:numId w:val="19"/>
              </w:numPr>
              <w:rPr>
                <w:rFonts w:ascii="Calibri" w:hAnsi="Calibri" w:cs="Calibri"/>
                <w:color w:val="212529"/>
                <w:sz w:val="21"/>
                <w:szCs w:val="21"/>
              </w:rPr>
            </w:pPr>
            <w:r w:rsidRPr="00F569AE">
              <w:rPr>
                <w:rFonts w:ascii="Calibri" w:hAnsi="Calibri" w:cs="Calibri"/>
                <w:color w:val="212529"/>
                <w:sz w:val="21"/>
                <w:szCs w:val="21"/>
              </w:rPr>
              <w:t xml:space="preserve">MEG II </w:t>
            </w:r>
            <w:r w:rsidR="00AC7D8D" w:rsidRPr="00F569AE">
              <w:rPr>
                <w:rFonts w:ascii="Calibri" w:hAnsi="Calibri" w:cs="Calibri"/>
                <w:color w:val="212529"/>
                <w:sz w:val="21"/>
                <w:szCs w:val="21"/>
              </w:rPr>
              <w:t>p</w:t>
            </w:r>
            <w:r w:rsidRPr="00F569AE">
              <w:rPr>
                <w:rFonts w:ascii="Calibri" w:hAnsi="Calibri" w:cs="Calibri"/>
                <w:color w:val="212529"/>
                <w:sz w:val="21"/>
                <w:szCs w:val="21"/>
              </w:rPr>
              <w:t>roject</w:t>
            </w:r>
          </w:p>
          <w:p w14:paraId="422A8AD1" w14:textId="51F7F94C" w:rsidR="00AC7D8D" w:rsidRPr="00F569AE" w:rsidRDefault="00AC7D8D" w:rsidP="0033780B">
            <w:pPr>
              <w:pStyle w:val="ListParagraph"/>
              <w:numPr>
                <w:ilvl w:val="0"/>
                <w:numId w:val="19"/>
              </w:numPr>
              <w:rPr>
                <w:rFonts w:ascii="Calibri" w:hAnsi="Calibri" w:cs="Calibri"/>
                <w:color w:val="212529"/>
                <w:sz w:val="21"/>
                <w:szCs w:val="21"/>
              </w:rPr>
            </w:pPr>
            <w:r w:rsidRPr="00F569AE">
              <w:rPr>
                <w:rFonts w:ascii="Calibri" w:hAnsi="Calibri" w:cs="Calibri"/>
                <w:color w:val="212529"/>
                <w:sz w:val="21"/>
                <w:szCs w:val="21"/>
              </w:rPr>
              <w:t>MEG I project</w:t>
            </w:r>
          </w:p>
          <w:p w14:paraId="78AFE56B" w14:textId="77777777" w:rsidR="008224F6" w:rsidRPr="00F569AE" w:rsidRDefault="008224F6" w:rsidP="00A5744A">
            <w:pPr>
              <w:rPr>
                <w:rFonts w:ascii="Calibri" w:hAnsi="Calibri" w:cs="Calibri"/>
                <w:color w:val="212529"/>
                <w:sz w:val="21"/>
                <w:szCs w:val="21"/>
                <w:lang w:val="en-US"/>
              </w:rPr>
            </w:pPr>
          </w:p>
        </w:tc>
        <w:tc>
          <w:tcPr>
            <w:tcW w:w="6237" w:type="dxa"/>
          </w:tcPr>
          <w:p w14:paraId="0F012612" w14:textId="77777777" w:rsidR="008224F6" w:rsidRPr="00F569AE" w:rsidRDefault="008224F6" w:rsidP="0033780B">
            <w:pPr>
              <w:pStyle w:val="ListParagraph"/>
              <w:numPr>
                <w:ilvl w:val="0"/>
                <w:numId w:val="11"/>
              </w:numPr>
              <w:rPr>
                <w:rFonts w:ascii="Calibri" w:hAnsi="Calibri" w:cs="Calibri"/>
                <w:sz w:val="21"/>
                <w:szCs w:val="21"/>
              </w:rPr>
            </w:pPr>
            <w:r w:rsidRPr="00F569AE">
              <w:rPr>
                <w:rFonts w:ascii="Calibri" w:hAnsi="Calibri" w:cs="Calibri"/>
                <w:sz w:val="21"/>
                <w:szCs w:val="21"/>
              </w:rPr>
              <w:t>The Law on Strategic / Planning and Development Management (</w:t>
            </w:r>
            <w:hyperlink r:id="rId59" w:history="1">
              <w:r w:rsidRPr="00F569AE">
                <w:rPr>
                  <w:rStyle w:val="Hyperlink"/>
                  <w:rFonts w:ascii="Calibri" w:eastAsiaTheme="majorEastAsia" w:hAnsi="Calibri" w:cs="Calibri"/>
                  <w:sz w:val="21"/>
                  <w:szCs w:val="21"/>
                </w:rPr>
                <w:t>RS</w:t>
              </w:r>
            </w:hyperlink>
            <w:r w:rsidRPr="00F569AE">
              <w:rPr>
                <w:rFonts w:ascii="Calibri" w:hAnsi="Calibri" w:cs="Calibri"/>
                <w:sz w:val="21"/>
                <w:szCs w:val="21"/>
              </w:rPr>
              <w:t xml:space="preserve">) </w:t>
            </w:r>
          </w:p>
          <w:p w14:paraId="3A1E3F1B" w14:textId="77777777" w:rsidR="008224F6" w:rsidRPr="00F569AE" w:rsidRDefault="008224F6" w:rsidP="0033780B">
            <w:pPr>
              <w:pStyle w:val="ListParagraph"/>
              <w:numPr>
                <w:ilvl w:val="0"/>
                <w:numId w:val="11"/>
              </w:numPr>
              <w:rPr>
                <w:rFonts w:ascii="Calibri" w:hAnsi="Calibri" w:cs="Calibri"/>
                <w:sz w:val="21"/>
                <w:szCs w:val="21"/>
              </w:rPr>
            </w:pPr>
            <w:r w:rsidRPr="00F569AE">
              <w:rPr>
                <w:rFonts w:ascii="Calibri" w:hAnsi="Calibri" w:cs="Calibri"/>
                <w:sz w:val="21"/>
                <w:szCs w:val="21"/>
              </w:rPr>
              <w:t>The Law on Development Planning and Development Management (</w:t>
            </w:r>
            <w:hyperlink r:id="rId60" w:history="1">
              <w:r w:rsidRPr="00F569AE">
                <w:rPr>
                  <w:rStyle w:val="Hyperlink"/>
                  <w:rFonts w:ascii="Calibri" w:eastAsiaTheme="majorEastAsia" w:hAnsi="Calibri" w:cs="Calibri"/>
                  <w:sz w:val="21"/>
                  <w:szCs w:val="21"/>
                </w:rPr>
                <w:t>FBiH</w:t>
              </w:r>
            </w:hyperlink>
            <w:r w:rsidRPr="00F569AE">
              <w:rPr>
                <w:rFonts w:ascii="Calibri" w:hAnsi="Calibri" w:cs="Calibri"/>
                <w:sz w:val="21"/>
                <w:szCs w:val="21"/>
              </w:rPr>
              <w:t>)</w:t>
            </w:r>
          </w:p>
          <w:p w14:paraId="3567BBFC" w14:textId="77777777" w:rsidR="008224F6" w:rsidRPr="00F569AE" w:rsidRDefault="008224F6" w:rsidP="0033780B">
            <w:pPr>
              <w:pStyle w:val="ListParagraph"/>
              <w:numPr>
                <w:ilvl w:val="0"/>
                <w:numId w:val="11"/>
              </w:numPr>
              <w:rPr>
                <w:rFonts w:ascii="Calibri" w:hAnsi="Calibri" w:cs="Calibri"/>
                <w:sz w:val="21"/>
                <w:szCs w:val="21"/>
              </w:rPr>
            </w:pPr>
            <w:r w:rsidRPr="00F569AE">
              <w:rPr>
                <w:rFonts w:ascii="Calibri" w:hAnsi="Calibri" w:cs="Calibri"/>
                <w:sz w:val="21"/>
                <w:szCs w:val="21"/>
              </w:rPr>
              <w:t>Regulation on Strategic Documents (</w:t>
            </w:r>
            <w:hyperlink r:id="rId61" w:history="1">
              <w:r w:rsidRPr="00F569AE">
                <w:rPr>
                  <w:rStyle w:val="Hyperlink"/>
                  <w:rFonts w:ascii="Calibri" w:eastAsiaTheme="majorEastAsia" w:hAnsi="Calibri" w:cs="Calibri"/>
                  <w:sz w:val="21"/>
                  <w:szCs w:val="21"/>
                </w:rPr>
                <w:t>RS</w:t>
              </w:r>
            </w:hyperlink>
            <w:r w:rsidRPr="00F569AE">
              <w:rPr>
                <w:rFonts w:ascii="Calibri" w:hAnsi="Calibri" w:cs="Calibri"/>
                <w:sz w:val="21"/>
                <w:szCs w:val="21"/>
              </w:rPr>
              <w:t xml:space="preserve">, </w:t>
            </w:r>
            <w:hyperlink r:id="rId62" w:history="1">
              <w:r w:rsidRPr="00F569AE">
                <w:rPr>
                  <w:rStyle w:val="Hyperlink"/>
                  <w:rFonts w:ascii="Calibri" w:eastAsiaTheme="majorEastAsia" w:hAnsi="Calibri" w:cs="Calibri"/>
                  <w:sz w:val="21"/>
                  <w:szCs w:val="21"/>
                </w:rPr>
                <w:t>FBiH</w:t>
              </w:r>
            </w:hyperlink>
            <w:r w:rsidRPr="00F569AE">
              <w:rPr>
                <w:rFonts w:ascii="Calibri" w:hAnsi="Calibri" w:cs="Calibri"/>
                <w:sz w:val="21"/>
                <w:szCs w:val="21"/>
              </w:rPr>
              <w:t>)</w:t>
            </w:r>
          </w:p>
          <w:p w14:paraId="67A38FD5" w14:textId="77777777" w:rsidR="008224F6" w:rsidRPr="00F569AE" w:rsidRDefault="008224F6" w:rsidP="0033780B">
            <w:pPr>
              <w:pStyle w:val="ListParagraph"/>
              <w:numPr>
                <w:ilvl w:val="0"/>
                <w:numId w:val="11"/>
              </w:numPr>
              <w:rPr>
                <w:rFonts w:ascii="Calibri" w:hAnsi="Calibri" w:cs="Calibri"/>
                <w:sz w:val="21"/>
                <w:szCs w:val="21"/>
              </w:rPr>
            </w:pPr>
            <w:r w:rsidRPr="00F569AE">
              <w:rPr>
                <w:rFonts w:ascii="Calibri" w:hAnsi="Calibri" w:cs="Calibri"/>
                <w:sz w:val="21"/>
                <w:szCs w:val="21"/>
              </w:rPr>
              <w:t>Regulation on Implementing Documents (</w:t>
            </w:r>
            <w:hyperlink r:id="rId63" w:history="1">
              <w:r w:rsidRPr="00F569AE">
                <w:rPr>
                  <w:rStyle w:val="Hyperlink"/>
                  <w:rFonts w:ascii="Calibri" w:eastAsiaTheme="majorEastAsia" w:hAnsi="Calibri" w:cs="Calibri"/>
                  <w:sz w:val="21"/>
                  <w:szCs w:val="21"/>
                </w:rPr>
                <w:t>RS</w:t>
              </w:r>
            </w:hyperlink>
            <w:r w:rsidRPr="00F569AE">
              <w:rPr>
                <w:rFonts w:ascii="Calibri" w:hAnsi="Calibri" w:cs="Calibri"/>
                <w:sz w:val="21"/>
                <w:szCs w:val="21"/>
              </w:rPr>
              <w:t>, FBiH)</w:t>
            </w:r>
          </w:p>
          <w:p w14:paraId="08D1BDB1" w14:textId="77777777" w:rsidR="008224F6" w:rsidRPr="00F569AE" w:rsidRDefault="008224F6" w:rsidP="0033780B">
            <w:pPr>
              <w:pStyle w:val="ListParagraph"/>
              <w:numPr>
                <w:ilvl w:val="0"/>
                <w:numId w:val="11"/>
              </w:numPr>
              <w:rPr>
                <w:rFonts w:ascii="Calibri" w:hAnsi="Calibri" w:cs="Calibri"/>
                <w:sz w:val="21"/>
                <w:szCs w:val="21"/>
              </w:rPr>
            </w:pPr>
            <w:r w:rsidRPr="00F569AE">
              <w:rPr>
                <w:rFonts w:ascii="Calibri" w:hAnsi="Calibri" w:cs="Calibri"/>
                <w:color w:val="212529"/>
                <w:sz w:val="21"/>
                <w:szCs w:val="21"/>
              </w:rPr>
              <w:t>Law on Budgetary System (</w:t>
            </w:r>
            <w:hyperlink r:id="rId64"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w:t>
            </w:r>
          </w:p>
          <w:p w14:paraId="7166E492"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Law on Budgets (</w:t>
            </w:r>
            <w:hyperlink r:id="rId65" w:history="1">
              <w:r w:rsidRPr="00F569AE">
                <w:rPr>
                  <w:rStyle w:val="Hyperlink"/>
                  <w:rFonts w:ascii="Calibri" w:eastAsiaTheme="majorEastAsia" w:hAnsi="Calibri" w:cs="Calibri"/>
                  <w:sz w:val="21"/>
                  <w:szCs w:val="21"/>
                </w:rPr>
                <w:t>FBiH</w:t>
              </w:r>
            </w:hyperlink>
            <w:r w:rsidRPr="00F569AE">
              <w:rPr>
                <w:rFonts w:ascii="Calibri" w:hAnsi="Calibri" w:cs="Calibri"/>
                <w:color w:val="212529"/>
                <w:sz w:val="21"/>
                <w:szCs w:val="21"/>
              </w:rPr>
              <w:t>)</w:t>
            </w:r>
          </w:p>
          <w:p w14:paraId="135BBADD"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Law on Financial Management and Control in Public Sector (</w:t>
            </w:r>
            <w:hyperlink r:id="rId66" w:history="1">
              <w:r w:rsidRPr="00F569AE">
                <w:rPr>
                  <w:rStyle w:val="Hyperlink"/>
                  <w:rFonts w:ascii="Calibri" w:eastAsiaTheme="majorEastAsia" w:hAnsi="Calibri" w:cs="Calibri"/>
                  <w:sz w:val="21"/>
                  <w:szCs w:val="21"/>
                </w:rPr>
                <w:t>FBiH</w:t>
              </w:r>
            </w:hyperlink>
            <w:r w:rsidRPr="00F569AE">
              <w:rPr>
                <w:rFonts w:ascii="Calibri" w:hAnsi="Calibri" w:cs="Calibri"/>
                <w:color w:val="212529"/>
                <w:sz w:val="21"/>
                <w:szCs w:val="21"/>
              </w:rPr>
              <w:t>)</w:t>
            </w:r>
          </w:p>
          <w:p w14:paraId="411C737F"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Law on System of Internal Financial Controls in Public Sector (</w:t>
            </w:r>
            <w:hyperlink r:id="rId67"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w:t>
            </w:r>
          </w:p>
          <w:p w14:paraId="7B87A65A" w14:textId="77777777" w:rsidR="008224F6" w:rsidRPr="00F569AE" w:rsidRDefault="008224F6" w:rsidP="0033780B">
            <w:pPr>
              <w:pStyle w:val="ListParagraph"/>
              <w:numPr>
                <w:ilvl w:val="0"/>
                <w:numId w:val="9"/>
              </w:numPr>
              <w:rPr>
                <w:rFonts w:ascii="Calibri" w:hAnsi="Calibri" w:cs="Calibri"/>
                <w:color w:val="212529"/>
                <w:sz w:val="21"/>
                <w:szCs w:val="21"/>
              </w:rPr>
            </w:pPr>
            <w:r w:rsidRPr="00F569AE">
              <w:rPr>
                <w:rFonts w:ascii="Calibri" w:hAnsi="Calibri" w:cs="Calibri"/>
                <w:color w:val="212529"/>
                <w:sz w:val="21"/>
                <w:szCs w:val="21"/>
              </w:rPr>
              <w:t>Law on Prevention of Corruption (</w:t>
            </w:r>
            <w:hyperlink r:id="rId68" w:history="1">
              <w:r w:rsidRPr="00F569AE">
                <w:rPr>
                  <w:rStyle w:val="Hyperlink"/>
                  <w:rFonts w:ascii="Calibri" w:eastAsiaTheme="majorEastAsia" w:hAnsi="Calibri" w:cs="Calibri"/>
                  <w:sz w:val="21"/>
                  <w:szCs w:val="21"/>
                </w:rPr>
                <w:t>RS</w:t>
              </w:r>
            </w:hyperlink>
            <w:r w:rsidRPr="00F569AE">
              <w:rPr>
                <w:rFonts w:ascii="Calibri" w:hAnsi="Calibri" w:cs="Calibri"/>
                <w:color w:val="212529"/>
                <w:sz w:val="21"/>
                <w:szCs w:val="21"/>
              </w:rPr>
              <w:t xml:space="preserve">, </w:t>
            </w:r>
            <w:hyperlink r:id="rId69" w:history="1">
              <w:r w:rsidRPr="00F569AE">
                <w:rPr>
                  <w:rStyle w:val="Hyperlink"/>
                  <w:rFonts w:ascii="Calibri" w:eastAsiaTheme="majorEastAsia" w:hAnsi="Calibri" w:cs="Calibri"/>
                  <w:sz w:val="21"/>
                  <w:szCs w:val="21"/>
                </w:rPr>
                <w:t>FBiH</w:t>
              </w:r>
            </w:hyperlink>
            <w:r w:rsidRPr="00F569AE">
              <w:rPr>
                <w:rFonts w:ascii="Calibri" w:hAnsi="Calibri" w:cs="Calibri"/>
                <w:color w:val="212529"/>
                <w:sz w:val="21"/>
                <w:szCs w:val="21"/>
              </w:rPr>
              <w:t>)</w:t>
            </w:r>
          </w:p>
        </w:tc>
      </w:tr>
    </w:tbl>
    <w:p w14:paraId="55E37998" w14:textId="77777777" w:rsidR="008224F6" w:rsidRPr="00F569AE" w:rsidRDefault="008224F6" w:rsidP="006E1D2B">
      <w:pPr>
        <w:spacing w:line="276" w:lineRule="auto"/>
        <w:jc w:val="both"/>
        <w:rPr>
          <w:rFonts w:ascii="Calibri" w:hAnsi="Calibri" w:cs="Calibri"/>
          <w:lang w:val="en-US"/>
        </w:rPr>
        <w:sectPr w:rsidR="008224F6" w:rsidRPr="00F569AE" w:rsidSect="008224F6">
          <w:pgSz w:w="16820" w:h="11900" w:orient="landscape"/>
          <w:pgMar w:top="1440" w:right="1440" w:bottom="1440" w:left="1440" w:header="708" w:footer="708" w:gutter="0"/>
          <w:cols w:space="708"/>
          <w:titlePg/>
          <w:docGrid w:linePitch="360"/>
        </w:sectPr>
      </w:pPr>
    </w:p>
    <w:p w14:paraId="5335E6C8" w14:textId="77777777" w:rsidR="008224F6" w:rsidRPr="00F569AE" w:rsidRDefault="008224F6" w:rsidP="006E1D2B">
      <w:pPr>
        <w:spacing w:line="276" w:lineRule="auto"/>
        <w:jc w:val="both"/>
        <w:rPr>
          <w:rFonts w:ascii="Calibri" w:hAnsi="Calibri" w:cs="Calibri"/>
          <w:lang w:val="en-US"/>
        </w:rPr>
      </w:pPr>
    </w:p>
    <w:p w14:paraId="6C8B33DA" w14:textId="29910FF0" w:rsidR="006D44A7" w:rsidRDefault="00CA03F6" w:rsidP="00CA03F6">
      <w:pPr>
        <w:spacing w:line="276" w:lineRule="auto"/>
        <w:jc w:val="both"/>
        <w:rPr>
          <w:rFonts w:ascii="Calibri" w:hAnsi="Calibri" w:cs="Calibri"/>
          <w:i/>
          <w:lang w:val="en-US"/>
        </w:rPr>
      </w:pPr>
      <w:r w:rsidRPr="00F569AE">
        <w:rPr>
          <w:rFonts w:ascii="Calibri" w:hAnsi="Calibri" w:cs="Calibri"/>
          <w:i/>
          <w:lang w:val="en-US"/>
        </w:rPr>
        <w:t>2. To what extent the project design was responsive to the institutional landscape related to water/wastewater management sector?</w:t>
      </w:r>
    </w:p>
    <w:p w14:paraId="2B696E44" w14:textId="77777777" w:rsidR="00832E25" w:rsidRPr="00F569AE" w:rsidRDefault="00832E25" w:rsidP="00CA03F6">
      <w:pPr>
        <w:spacing w:line="276" w:lineRule="auto"/>
        <w:jc w:val="both"/>
        <w:rPr>
          <w:rFonts w:ascii="Calibri" w:hAnsi="Calibri" w:cs="Calibri"/>
          <w:i/>
          <w:lang w:val="en-US"/>
        </w:rPr>
      </w:pPr>
    </w:p>
    <w:p w14:paraId="13D1E7F3" w14:textId="42571AF6" w:rsidR="000961BA" w:rsidRDefault="000961BA" w:rsidP="00CA03F6">
      <w:pPr>
        <w:pStyle w:val="p1"/>
        <w:spacing w:line="276" w:lineRule="auto"/>
        <w:jc w:val="both"/>
        <w:rPr>
          <w:rFonts w:ascii="Calibri" w:hAnsi="Calibri" w:cs="Calibri"/>
          <w:color w:val="auto"/>
          <w:sz w:val="24"/>
          <w:szCs w:val="24"/>
        </w:rPr>
      </w:pPr>
      <w:r>
        <w:rPr>
          <w:rFonts w:ascii="Calibri" w:hAnsi="Calibri" w:cs="Calibri"/>
          <w:color w:val="auto"/>
          <w:sz w:val="24"/>
          <w:szCs w:val="24"/>
        </w:rPr>
        <w:t xml:space="preserve">The relevance to the institutional landscape was addressed through the prism of </w:t>
      </w:r>
      <w:r w:rsidR="0096301C">
        <w:rPr>
          <w:rFonts w:ascii="Calibri" w:hAnsi="Calibri" w:cs="Calibri"/>
          <w:color w:val="auto"/>
          <w:sz w:val="24"/>
          <w:szCs w:val="24"/>
        </w:rPr>
        <w:t xml:space="preserve">the following: </w:t>
      </w:r>
      <w:r>
        <w:rPr>
          <w:rFonts w:ascii="Calibri" w:hAnsi="Calibri" w:cs="Calibri"/>
          <w:color w:val="auto"/>
          <w:sz w:val="24"/>
          <w:szCs w:val="24"/>
        </w:rPr>
        <w:t xml:space="preserve">(i) </w:t>
      </w:r>
      <w:r w:rsidR="00832E25">
        <w:rPr>
          <w:rFonts w:ascii="Calibri" w:hAnsi="Calibri" w:cs="Calibri"/>
          <w:color w:val="auto"/>
          <w:sz w:val="24"/>
          <w:szCs w:val="24"/>
        </w:rPr>
        <w:t xml:space="preserve">quality of the TOC at </w:t>
      </w:r>
      <w:r w:rsidR="002C2C3D">
        <w:rPr>
          <w:rFonts w:ascii="Calibri" w:hAnsi="Calibri" w:cs="Calibri"/>
          <w:color w:val="auto"/>
          <w:sz w:val="24"/>
          <w:szCs w:val="24"/>
        </w:rPr>
        <w:t>the project inception</w:t>
      </w:r>
      <w:r w:rsidR="00832E25">
        <w:rPr>
          <w:rFonts w:ascii="Calibri" w:hAnsi="Calibri" w:cs="Calibri"/>
          <w:color w:val="auto"/>
          <w:sz w:val="24"/>
          <w:szCs w:val="24"/>
        </w:rPr>
        <w:t xml:space="preserve">, (ii) </w:t>
      </w:r>
      <w:r>
        <w:rPr>
          <w:rFonts w:ascii="Calibri" w:hAnsi="Calibri" w:cs="Calibri"/>
          <w:color w:val="auto"/>
          <w:sz w:val="24"/>
          <w:szCs w:val="24"/>
        </w:rPr>
        <w:t xml:space="preserve">if the main systemic bottlenecks of water </w:t>
      </w:r>
      <w:r w:rsidR="00841BC7">
        <w:rPr>
          <w:rFonts w:ascii="Calibri" w:hAnsi="Calibri" w:cs="Calibri"/>
          <w:color w:val="auto"/>
          <w:sz w:val="24"/>
          <w:szCs w:val="24"/>
        </w:rPr>
        <w:t>services system</w:t>
      </w:r>
      <w:r>
        <w:rPr>
          <w:rFonts w:ascii="Calibri" w:hAnsi="Calibri" w:cs="Calibri"/>
          <w:color w:val="auto"/>
          <w:sz w:val="24"/>
          <w:szCs w:val="24"/>
        </w:rPr>
        <w:t xml:space="preserve"> were addressed in the project design</w:t>
      </w:r>
      <w:r w:rsidR="004E4AFA">
        <w:rPr>
          <w:rFonts w:ascii="Calibri" w:hAnsi="Calibri" w:cs="Calibri"/>
          <w:color w:val="auto"/>
          <w:sz w:val="24"/>
          <w:szCs w:val="24"/>
        </w:rPr>
        <w:t xml:space="preserve">; </w:t>
      </w:r>
      <w:r w:rsidR="00832E25">
        <w:rPr>
          <w:rFonts w:ascii="Calibri" w:hAnsi="Calibri" w:cs="Calibri"/>
          <w:color w:val="auto"/>
          <w:sz w:val="24"/>
          <w:szCs w:val="24"/>
        </w:rPr>
        <w:t xml:space="preserve">and </w:t>
      </w:r>
      <w:r>
        <w:rPr>
          <w:rFonts w:ascii="Calibri" w:hAnsi="Calibri" w:cs="Calibri"/>
          <w:color w:val="auto"/>
          <w:sz w:val="24"/>
          <w:szCs w:val="24"/>
        </w:rPr>
        <w:t>(ii</w:t>
      </w:r>
      <w:r w:rsidR="00832E25">
        <w:rPr>
          <w:rFonts w:ascii="Calibri" w:hAnsi="Calibri" w:cs="Calibri"/>
          <w:color w:val="auto"/>
          <w:sz w:val="24"/>
          <w:szCs w:val="24"/>
        </w:rPr>
        <w:t>i</w:t>
      </w:r>
      <w:r>
        <w:rPr>
          <w:rFonts w:ascii="Calibri" w:hAnsi="Calibri" w:cs="Calibri"/>
          <w:color w:val="auto"/>
          <w:sz w:val="24"/>
          <w:szCs w:val="24"/>
        </w:rPr>
        <w:t xml:space="preserve">) if the right stakeholders were </w:t>
      </w:r>
      <w:r w:rsidR="00B972F5">
        <w:rPr>
          <w:rFonts w:ascii="Calibri" w:hAnsi="Calibri" w:cs="Calibri"/>
          <w:color w:val="auto"/>
          <w:sz w:val="24"/>
          <w:szCs w:val="24"/>
        </w:rPr>
        <w:t>prioritized</w:t>
      </w:r>
      <w:r>
        <w:rPr>
          <w:rFonts w:ascii="Calibri" w:hAnsi="Calibri" w:cs="Calibri"/>
          <w:color w:val="auto"/>
          <w:sz w:val="24"/>
          <w:szCs w:val="24"/>
        </w:rPr>
        <w:t xml:space="preserve"> in the project </w:t>
      </w:r>
      <w:r w:rsidR="00B972F5">
        <w:rPr>
          <w:rFonts w:ascii="Calibri" w:hAnsi="Calibri" w:cs="Calibri"/>
          <w:color w:val="auto"/>
          <w:sz w:val="24"/>
          <w:szCs w:val="24"/>
        </w:rPr>
        <w:t>design</w:t>
      </w:r>
      <w:r w:rsidR="004E4AFA">
        <w:rPr>
          <w:rFonts w:ascii="Calibri" w:hAnsi="Calibri" w:cs="Calibri"/>
          <w:color w:val="auto"/>
          <w:sz w:val="24"/>
          <w:szCs w:val="24"/>
        </w:rPr>
        <w:t xml:space="preserve">; and (iii) if </w:t>
      </w:r>
      <w:r w:rsidR="004B3451">
        <w:rPr>
          <w:rFonts w:ascii="Calibri" w:hAnsi="Calibri" w:cs="Calibri"/>
          <w:color w:val="auto"/>
          <w:sz w:val="24"/>
          <w:szCs w:val="24"/>
        </w:rPr>
        <w:t xml:space="preserve">the </w:t>
      </w:r>
      <w:r w:rsidR="004E4AFA">
        <w:rPr>
          <w:rFonts w:ascii="Calibri" w:hAnsi="Calibri" w:cs="Calibri"/>
          <w:color w:val="auto"/>
          <w:sz w:val="24"/>
          <w:szCs w:val="24"/>
        </w:rPr>
        <w:t>project design was inclusive with adequate attention to gender mainstreaming and LNOB principle</w:t>
      </w:r>
      <w:r>
        <w:rPr>
          <w:rFonts w:ascii="Calibri" w:hAnsi="Calibri" w:cs="Calibri"/>
          <w:color w:val="auto"/>
          <w:sz w:val="24"/>
          <w:szCs w:val="24"/>
        </w:rPr>
        <w:t xml:space="preserve">. </w:t>
      </w:r>
    </w:p>
    <w:p w14:paraId="2C60FDC5" w14:textId="77777777" w:rsidR="000961BA" w:rsidRDefault="000961BA" w:rsidP="00CA03F6">
      <w:pPr>
        <w:pStyle w:val="p1"/>
        <w:spacing w:line="276" w:lineRule="auto"/>
        <w:jc w:val="both"/>
        <w:rPr>
          <w:rFonts w:ascii="Calibri" w:hAnsi="Calibri" w:cs="Calibri"/>
          <w:color w:val="auto"/>
          <w:sz w:val="24"/>
          <w:szCs w:val="24"/>
        </w:rPr>
      </w:pPr>
    </w:p>
    <w:p w14:paraId="0CDD606E" w14:textId="16E4E260" w:rsidR="00832E25" w:rsidRPr="00050038" w:rsidRDefault="00832E25" w:rsidP="002C2C3D">
      <w:pPr>
        <w:pStyle w:val="p1"/>
        <w:numPr>
          <w:ilvl w:val="0"/>
          <w:numId w:val="43"/>
        </w:numPr>
        <w:spacing w:line="276" w:lineRule="auto"/>
        <w:jc w:val="both"/>
        <w:rPr>
          <w:rFonts w:ascii="Calibri" w:hAnsi="Calibri" w:cs="Calibri"/>
          <w:b/>
          <w:bCs/>
          <w:i/>
          <w:iCs/>
          <w:color w:val="auto"/>
          <w:sz w:val="24"/>
          <w:szCs w:val="24"/>
        </w:rPr>
      </w:pPr>
      <w:r w:rsidRPr="00050038">
        <w:rPr>
          <w:rFonts w:ascii="Calibri" w:hAnsi="Calibri" w:cs="Calibri"/>
          <w:b/>
          <w:bCs/>
          <w:i/>
          <w:iCs/>
          <w:color w:val="auto"/>
          <w:sz w:val="24"/>
          <w:szCs w:val="24"/>
        </w:rPr>
        <w:t xml:space="preserve">Quality of the TOC at </w:t>
      </w:r>
      <w:r w:rsidR="002C2C3D" w:rsidRPr="00050038">
        <w:rPr>
          <w:rFonts w:ascii="Calibri" w:hAnsi="Calibri" w:cs="Calibri"/>
          <w:b/>
          <w:bCs/>
          <w:i/>
          <w:iCs/>
          <w:color w:val="auto"/>
          <w:sz w:val="24"/>
          <w:szCs w:val="24"/>
        </w:rPr>
        <w:t>the project inception</w:t>
      </w:r>
    </w:p>
    <w:p w14:paraId="642A83DC" w14:textId="77777777" w:rsidR="00120B0B" w:rsidRDefault="00832E25" w:rsidP="00924BFC">
      <w:pPr>
        <w:spacing w:line="276" w:lineRule="auto"/>
        <w:jc w:val="both"/>
        <w:rPr>
          <w:rFonts w:ascii="Calibri" w:hAnsi="Calibri" w:cs="Calibri"/>
          <w:color w:val="000000"/>
        </w:rPr>
      </w:pPr>
      <w:r w:rsidRPr="00924BFC">
        <w:rPr>
          <w:rFonts w:ascii="Calibri" w:hAnsi="Calibri" w:cs="Calibri"/>
          <w:color w:val="000000"/>
        </w:rPr>
        <w:t xml:space="preserve">Overall, the MEG/MEG4EU project results chain was sufficiently clear, outlining both the intended outcomes and the logical link of its sub-results. However, there were some inconsistencies observed in the articulation of certain indicators and outputs. For instance, in the EU action the overall objective stated the expectation of </w:t>
      </w:r>
      <w:r w:rsidRPr="00924BFC">
        <w:rPr>
          <w:rFonts w:ascii="Calibri" w:hAnsi="Calibri" w:cs="Calibri"/>
          <w:i/>
          <w:color w:val="000000"/>
        </w:rPr>
        <w:t>'improved environmental infrastructure</w:t>
      </w:r>
      <w:r w:rsidRPr="00924BFC">
        <w:rPr>
          <w:rFonts w:ascii="Calibri" w:hAnsi="Calibri" w:cs="Calibri"/>
          <w:color w:val="000000"/>
        </w:rPr>
        <w:t xml:space="preserve">', which was not captured by the outcomes, outputs or the set of proposed indicators. Similarly, the MEGII results framework did not capture in its outcomes, outputs and indicators the infrastructure development work implemented within the project. The Theory of Change (ToC) of the project was not updated during its implementation, factoring monitoring results and capturing some strategic change in the project operations (e.g. the shift from GLG Framework to CAF for Local Government framework or the shift from wastewater and drinking water to predominantly drinking water services). </w:t>
      </w:r>
    </w:p>
    <w:p w14:paraId="113CA0DB" w14:textId="77777777" w:rsidR="00120B0B" w:rsidRDefault="00120B0B" w:rsidP="00924BFC">
      <w:pPr>
        <w:spacing w:line="276" w:lineRule="auto"/>
        <w:jc w:val="both"/>
        <w:rPr>
          <w:rFonts w:ascii="Calibri" w:hAnsi="Calibri" w:cs="Calibri"/>
          <w:color w:val="000000"/>
        </w:rPr>
      </w:pPr>
    </w:p>
    <w:p w14:paraId="092793FE" w14:textId="4E118588" w:rsidR="00832E25" w:rsidRPr="00924BFC" w:rsidRDefault="00832E25" w:rsidP="00924BFC">
      <w:pPr>
        <w:spacing w:line="276" w:lineRule="auto"/>
        <w:jc w:val="both"/>
        <w:rPr>
          <w:rFonts w:ascii="Calibri" w:hAnsi="Calibri" w:cs="Calibri"/>
          <w:color w:val="000000"/>
        </w:rPr>
      </w:pPr>
      <w:r w:rsidRPr="00924BFC">
        <w:rPr>
          <w:rFonts w:ascii="Calibri" w:hAnsi="Calibri" w:cs="Calibri"/>
          <w:color w:val="000000"/>
        </w:rPr>
        <w:t xml:space="preserve">The project results framework was gender blind. The reference to 'vulnerable groups' expected to benefit from the project as defined in the project document were not supported by indicators that were gender-sensitive and informed by the principle of Leaving No One Behind (LNOB), referring instead to a gender-neutral indicator - </w:t>
      </w:r>
      <w:r w:rsidRPr="00924BFC">
        <w:rPr>
          <w:rFonts w:ascii="Calibri" w:hAnsi="Calibri" w:cs="Calibri"/>
          <w:i/>
          <w:color w:val="000000"/>
        </w:rPr>
        <w:t>'number of people using safely managed drinking water services</w:t>
      </w:r>
      <w:r w:rsidRPr="00924BFC">
        <w:rPr>
          <w:rFonts w:ascii="Calibri" w:hAnsi="Calibri" w:cs="Calibri"/>
          <w:color w:val="000000"/>
        </w:rPr>
        <w:t xml:space="preserve">'. Therefore, the results chain would benefit from further streamlining the project logic and measurement mechanisms with the stronger focus on gender mainstreaming and LNOB principle. And last but not least, the criticality of adoption of the water services laws in both entities was high for the entire project, its sustainability and impact. Therefore, stronger ambition of the project to achieve adoption of the laws would have been highly useful, which would require additional focus withing the project to influence the political processes of law adoption in the FBiH and RS (e.g. working with political constituencies, factoring lobbying work in the project design, etc.). </w:t>
      </w:r>
      <w:r w:rsidRPr="00924BFC">
        <w:rPr>
          <w:rFonts w:ascii="Calibri" w:hAnsi="Calibri" w:cs="Calibri"/>
        </w:rPr>
        <w:t>Annex 2 provides the project results framework with indication of progress made vis-à-vis the project targets.</w:t>
      </w:r>
    </w:p>
    <w:p w14:paraId="6095225C" w14:textId="77777777" w:rsidR="00832E25" w:rsidRDefault="00832E25" w:rsidP="00832E25">
      <w:pPr>
        <w:pStyle w:val="p1"/>
        <w:spacing w:line="276" w:lineRule="auto"/>
        <w:jc w:val="both"/>
        <w:rPr>
          <w:rFonts w:ascii="Calibri" w:hAnsi="Calibri" w:cs="Calibri"/>
          <w:color w:val="auto"/>
          <w:sz w:val="24"/>
          <w:szCs w:val="24"/>
        </w:rPr>
      </w:pPr>
    </w:p>
    <w:p w14:paraId="0B708308" w14:textId="77777777" w:rsidR="00832E25" w:rsidRDefault="00832E25" w:rsidP="00CA03F6">
      <w:pPr>
        <w:pStyle w:val="p1"/>
        <w:spacing w:line="276" w:lineRule="auto"/>
        <w:jc w:val="both"/>
        <w:rPr>
          <w:rFonts w:ascii="Calibri" w:hAnsi="Calibri" w:cs="Calibri"/>
          <w:color w:val="auto"/>
          <w:sz w:val="24"/>
          <w:szCs w:val="24"/>
        </w:rPr>
      </w:pPr>
    </w:p>
    <w:p w14:paraId="492E5233" w14:textId="77777777" w:rsidR="00EA63B5" w:rsidRDefault="00EA63B5" w:rsidP="00CA03F6">
      <w:pPr>
        <w:pStyle w:val="p1"/>
        <w:spacing w:line="276" w:lineRule="auto"/>
        <w:jc w:val="both"/>
        <w:rPr>
          <w:rFonts w:ascii="Calibri" w:hAnsi="Calibri" w:cs="Calibri"/>
          <w:color w:val="auto"/>
          <w:sz w:val="24"/>
          <w:szCs w:val="24"/>
        </w:rPr>
      </w:pPr>
    </w:p>
    <w:p w14:paraId="517C9794" w14:textId="77777777" w:rsidR="00EA63B5" w:rsidRDefault="00EA63B5" w:rsidP="00CA03F6">
      <w:pPr>
        <w:pStyle w:val="p1"/>
        <w:spacing w:line="276" w:lineRule="auto"/>
        <w:jc w:val="both"/>
        <w:rPr>
          <w:rFonts w:ascii="Calibri" w:hAnsi="Calibri" w:cs="Calibri"/>
          <w:color w:val="auto"/>
          <w:sz w:val="24"/>
          <w:szCs w:val="24"/>
        </w:rPr>
      </w:pPr>
    </w:p>
    <w:p w14:paraId="0FB949CD" w14:textId="041D0B73" w:rsidR="004E4AFA" w:rsidRPr="004E4AFA" w:rsidRDefault="004E4AFA" w:rsidP="006C530E">
      <w:pPr>
        <w:pStyle w:val="p1"/>
        <w:numPr>
          <w:ilvl w:val="0"/>
          <w:numId w:val="42"/>
        </w:numPr>
        <w:spacing w:line="276" w:lineRule="auto"/>
        <w:jc w:val="both"/>
        <w:rPr>
          <w:rFonts w:ascii="Calibri" w:hAnsi="Calibri" w:cs="Calibri"/>
          <w:b/>
          <w:i/>
          <w:color w:val="auto"/>
          <w:sz w:val="24"/>
          <w:szCs w:val="24"/>
        </w:rPr>
      </w:pPr>
      <w:r w:rsidRPr="004E4AFA">
        <w:rPr>
          <w:rFonts w:ascii="Calibri" w:hAnsi="Calibri" w:cs="Calibri"/>
          <w:b/>
          <w:i/>
          <w:color w:val="auto"/>
          <w:sz w:val="24"/>
          <w:szCs w:val="24"/>
        </w:rPr>
        <w:lastRenderedPageBreak/>
        <w:t xml:space="preserve">Relevance of the project design to the main systemic bottlenecks in water </w:t>
      </w:r>
      <w:r w:rsidR="00841BC7">
        <w:rPr>
          <w:rFonts w:ascii="Calibri" w:hAnsi="Calibri" w:cs="Calibri"/>
          <w:b/>
          <w:i/>
          <w:color w:val="auto"/>
          <w:sz w:val="24"/>
          <w:szCs w:val="24"/>
        </w:rPr>
        <w:t xml:space="preserve">services </w:t>
      </w:r>
      <w:r w:rsidRPr="004E4AFA">
        <w:rPr>
          <w:rFonts w:ascii="Calibri" w:hAnsi="Calibri" w:cs="Calibri"/>
          <w:b/>
          <w:i/>
          <w:color w:val="auto"/>
          <w:sz w:val="24"/>
          <w:szCs w:val="24"/>
        </w:rPr>
        <w:t>system</w:t>
      </w:r>
    </w:p>
    <w:p w14:paraId="686C0E1F" w14:textId="26C3FCBD" w:rsidR="004E4AFA" w:rsidRPr="004E4AFA" w:rsidRDefault="004E4AFA" w:rsidP="004E4AFA">
      <w:pPr>
        <w:pStyle w:val="p1"/>
        <w:spacing w:line="276" w:lineRule="auto"/>
        <w:jc w:val="both"/>
        <w:rPr>
          <w:rFonts w:ascii="Calibri" w:hAnsi="Calibri" w:cs="Calibri"/>
          <w:color w:val="auto"/>
          <w:sz w:val="24"/>
          <w:szCs w:val="24"/>
        </w:rPr>
      </w:pPr>
      <w:r w:rsidRPr="004E4AFA">
        <w:rPr>
          <w:rFonts w:ascii="Calibri" w:hAnsi="Calibri" w:cs="Calibri"/>
          <w:color w:val="auto"/>
          <w:sz w:val="24"/>
          <w:szCs w:val="24"/>
        </w:rPr>
        <w:t xml:space="preserve">The specific needs of the water sector modernization varied largely across the partner LGs, however, </w:t>
      </w:r>
      <w:r w:rsidRPr="00B46F5D">
        <w:rPr>
          <w:rFonts w:ascii="Calibri" w:hAnsi="Calibri" w:cs="Calibri"/>
          <w:color w:val="auto"/>
          <w:sz w:val="24"/>
          <w:szCs w:val="24"/>
        </w:rPr>
        <w:t>the main systemic bottlenecks were factored in the project design,</w:t>
      </w:r>
      <w:r w:rsidRPr="004E4AFA">
        <w:rPr>
          <w:rFonts w:ascii="Calibri" w:hAnsi="Calibri" w:cs="Calibri"/>
          <w:color w:val="auto"/>
          <w:sz w:val="24"/>
          <w:szCs w:val="24"/>
        </w:rPr>
        <w:t xml:space="preserve"> including </w:t>
      </w:r>
      <w:r w:rsidRPr="004E4AFA">
        <w:rPr>
          <w:rFonts w:ascii="Calibri" w:hAnsi="Calibri" w:cs="Calibri"/>
          <w:i/>
          <w:color w:val="auto"/>
          <w:sz w:val="24"/>
          <w:szCs w:val="24"/>
        </w:rPr>
        <w:t xml:space="preserve">inter alia </w:t>
      </w:r>
      <w:r w:rsidRPr="004E4AFA">
        <w:rPr>
          <w:rFonts w:ascii="Calibri" w:hAnsi="Calibri" w:cs="Calibri"/>
          <w:color w:val="auto"/>
          <w:sz w:val="24"/>
          <w:szCs w:val="24"/>
        </w:rPr>
        <w:t>low individual and institutional capacities of the LGs and WUCs, weak legal ground for effective water services, lack of water tariff methodology and inadequate water pricing, unclear roles and responsibilities among key stakeholders, inefficient management of the WUC</w:t>
      </w:r>
      <w:r>
        <w:rPr>
          <w:rFonts w:ascii="Calibri" w:hAnsi="Calibri" w:cs="Calibri"/>
          <w:color w:val="auto"/>
          <w:sz w:val="24"/>
          <w:szCs w:val="24"/>
        </w:rPr>
        <w:t>s</w:t>
      </w:r>
      <w:r w:rsidRPr="004E4AFA">
        <w:rPr>
          <w:rFonts w:ascii="Calibri" w:hAnsi="Calibri" w:cs="Calibri"/>
          <w:color w:val="auto"/>
          <w:sz w:val="24"/>
          <w:szCs w:val="24"/>
        </w:rPr>
        <w:t>, outdated and poorly maintained water infrastructure, lack of support to vulnerable groups, and such.</w:t>
      </w:r>
      <w:r w:rsidRPr="004E4AFA">
        <w:rPr>
          <w:rFonts w:ascii="Calibri" w:eastAsiaTheme="minorHAnsi" w:hAnsi="Calibri" w:cs="Calibri"/>
          <w:sz w:val="24"/>
          <w:szCs w:val="24"/>
          <w:lang w:eastAsia="en-US"/>
          <w14:ligatures w14:val="standardContextual"/>
        </w:rPr>
        <w:t xml:space="preserve"> </w:t>
      </w:r>
    </w:p>
    <w:p w14:paraId="7E3C717F" w14:textId="77777777" w:rsidR="004E4AFA" w:rsidRDefault="004E4AFA" w:rsidP="004E4AFA">
      <w:pPr>
        <w:spacing w:line="276" w:lineRule="auto"/>
        <w:jc w:val="both"/>
        <w:rPr>
          <w:rFonts w:ascii="Calibri" w:hAnsi="Calibri" w:cs="Calibri"/>
          <w:lang w:val="en-US"/>
        </w:rPr>
      </w:pPr>
    </w:p>
    <w:p w14:paraId="3AD03937" w14:textId="3A4DA6E3" w:rsidR="004E4AFA" w:rsidRPr="00841BC7" w:rsidRDefault="00B972F5" w:rsidP="00B972F5">
      <w:pPr>
        <w:spacing w:line="276" w:lineRule="auto"/>
        <w:jc w:val="both"/>
        <w:rPr>
          <w:rFonts w:ascii="Calibri" w:hAnsi="Calibri" w:cs="Calibri"/>
          <w:lang w:val="en-US"/>
        </w:rPr>
      </w:pPr>
      <w:r w:rsidRPr="00841BC7">
        <w:rPr>
          <w:rFonts w:ascii="Calibri" w:hAnsi="Calibri" w:cs="Calibri"/>
          <w:lang w:val="en-US"/>
        </w:rPr>
        <w:t xml:space="preserve">The </w:t>
      </w:r>
      <w:r w:rsidRPr="00841BC7">
        <w:rPr>
          <w:rFonts w:ascii="Calibri" w:hAnsi="Calibri" w:cs="Calibri"/>
          <w:i/>
          <w:lang w:val="en-US"/>
        </w:rPr>
        <w:t xml:space="preserve">analysis of the systemic bottlenecks in the </w:t>
      </w:r>
      <w:r w:rsidR="00841BC7" w:rsidRPr="00841BC7">
        <w:rPr>
          <w:rFonts w:ascii="Calibri" w:hAnsi="Calibri" w:cs="Calibri"/>
          <w:i/>
          <w:lang w:val="en-US"/>
        </w:rPr>
        <w:t>water services system</w:t>
      </w:r>
      <w:r w:rsidRPr="00841BC7">
        <w:rPr>
          <w:rFonts w:ascii="Calibri" w:hAnsi="Calibri" w:cs="Calibri"/>
          <w:lang w:val="en-US"/>
        </w:rPr>
        <w:t xml:space="preserve"> </w:t>
      </w:r>
      <w:r w:rsidR="00B46F5D" w:rsidRPr="00841BC7">
        <w:rPr>
          <w:rFonts w:ascii="Calibri" w:hAnsi="Calibri" w:cs="Calibri"/>
          <w:lang w:val="en-US"/>
        </w:rPr>
        <w:t xml:space="preserve">in </w:t>
      </w:r>
      <w:r w:rsidR="004E4AFA" w:rsidRPr="00841BC7">
        <w:rPr>
          <w:rFonts w:ascii="Calibri" w:hAnsi="Calibri" w:cs="Calibri"/>
          <w:lang w:val="en-US"/>
        </w:rPr>
        <w:t xml:space="preserve">Annex 6 </w:t>
      </w:r>
      <w:r w:rsidR="00B46F5D" w:rsidRPr="00841BC7">
        <w:rPr>
          <w:rFonts w:ascii="Calibri" w:hAnsi="Calibri" w:cs="Calibri"/>
          <w:lang w:val="en-US"/>
        </w:rPr>
        <w:t>indicates the</w:t>
      </w:r>
      <w:r w:rsidR="004E4AFA" w:rsidRPr="00841BC7">
        <w:rPr>
          <w:rFonts w:ascii="Calibri" w:hAnsi="Calibri" w:cs="Calibri"/>
          <w:lang w:val="en-US"/>
        </w:rPr>
        <w:t xml:space="preserve"> key </w:t>
      </w:r>
      <w:r w:rsidR="00B46F5D" w:rsidRPr="00841BC7">
        <w:rPr>
          <w:rFonts w:ascii="Calibri" w:hAnsi="Calibri" w:cs="Calibri"/>
          <w:lang w:val="en-US"/>
        </w:rPr>
        <w:t xml:space="preserve">systemic </w:t>
      </w:r>
      <w:r w:rsidR="004E4AFA" w:rsidRPr="00841BC7">
        <w:rPr>
          <w:rFonts w:ascii="Calibri" w:hAnsi="Calibri" w:cs="Calibri"/>
          <w:lang w:val="en-US"/>
        </w:rPr>
        <w:t>elements of the water service</w:t>
      </w:r>
      <w:r w:rsidR="00841BC7" w:rsidRPr="00841BC7">
        <w:rPr>
          <w:rFonts w:ascii="Calibri" w:hAnsi="Calibri" w:cs="Calibri"/>
          <w:lang w:val="en-US"/>
        </w:rPr>
        <w:t>s</w:t>
      </w:r>
      <w:r w:rsidR="004E4AFA" w:rsidRPr="00841BC7">
        <w:rPr>
          <w:rFonts w:ascii="Calibri" w:hAnsi="Calibri" w:cs="Calibri"/>
          <w:lang w:val="en-US"/>
        </w:rPr>
        <w:t xml:space="preserve"> system in BiH </w:t>
      </w:r>
      <w:r w:rsidR="003703ED" w:rsidRPr="00841BC7">
        <w:rPr>
          <w:rFonts w:ascii="Calibri" w:hAnsi="Calibri" w:cs="Calibri"/>
          <w:lang w:val="en-US"/>
        </w:rPr>
        <w:t xml:space="preserve">(i) at the governance level and (ii) at the infrastructure level, revealing a set of persistent challenges and their (inter)dependencies. </w:t>
      </w:r>
      <w:r w:rsidR="004E4AFA" w:rsidRPr="00841BC7">
        <w:rPr>
          <w:rFonts w:ascii="Calibri" w:hAnsi="Calibri" w:cs="Calibri"/>
          <w:lang w:val="en-US"/>
        </w:rPr>
        <w:t xml:space="preserve">Hence, the governance system analysis revealed 15 critical elements that define the entire governance system, though the most influential included the following: </w:t>
      </w:r>
      <w:r w:rsidR="004E4AFA" w:rsidRPr="00841BC7">
        <w:rPr>
          <w:rFonts w:ascii="Calibri" w:hAnsi="Calibri" w:cs="Calibri"/>
          <w:i/>
          <w:lang w:val="en-US"/>
        </w:rPr>
        <w:t>law on water services, citizens engagement, and quality standards for good governance for communal services</w:t>
      </w:r>
      <w:r w:rsidR="004E4AFA" w:rsidRPr="00841BC7">
        <w:rPr>
          <w:rFonts w:ascii="Calibri" w:hAnsi="Calibri" w:cs="Calibri"/>
          <w:lang w:val="en-US"/>
        </w:rPr>
        <w:t xml:space="preserve">. These factors impact most of other systemic factors, defining thereby the quality of </w:t>
      </w:r>
      <w:r w:rsidR="00B82174">
        <w:rPr>
          <w:rFonts w:ascii="Calibri" w:hAnsi="Calibri" w:cs="Calibri"/>
          <w:lang w:val="en-US"/>
        </w:rPr>
        <w:t xml:space="preserve">the governance of the </w:t>
      </w:r>
      <w:r w:rsidR="004E4AFA" w:rsidRPr="00841BC7">
        <w:rPr>
          <w:rFonts w:ascii="Calibri" w:hAnsi="Calibri" w:cs="Calibri"/>
          <w:lang w:val="en-US"/>
        </w:rPr>
        <w:t>water service</w:t>
      </w:r>
      <w:r w:rsidR="00B82174">
        <w:rPr>
          <w:rFonts w:ascii="Calibri" w:hAnsi="Calibri" w:cs="Calibri"/>
          <w:lang w:val="en-US"/>
        </w:rPr>
        <w:t>s</w:t>
      </w:r>
      <w:r w:rsidR="004E4AFA" w:rsidRPr="00841BC7">
        <w:rPr>
          <w:rFonts w:ascii="Calibri" w:hAnsi="Calibri" w:cs="Calibri"/>
          <w:lang w:val="en-US"/>
        </w:rPr>
        <w:t>. Meanwhile, the most challenging factors included ‘</w:t>
      </w:r>
      <w:r w:rsidR="004E4AFA" w:rsidRPr="00841BC7">
        <w:rPr>
          <w:rFonts w:ascii="Calibri" w:hAnsi="Calibri" w:cs="Calibri"/>
          <w:i/>
          <w:lang w:val="en-US"/>
        </w:rPr>
        <w:t>lack of clear division of roles between LGs and WUs</w:t>
      </w:r>
      <w:r w:rsidR="004E4AFA" w:rsidRPr="00841BC7">
        <w:rPr>
          <w:rFonts w:ascii="Calibri" w:hAnsi="Calibri" w:cs="Calibri"/>
          <w:lang w:val="en-US"/>
        </w:rPr>
        <w:t>’ and ‘</w:t>
      </w:r>
      <w:r w:rsidR="004E4AFA" w:rsidRPr="00841BC7">
        <w:rPr>
          <w:rFonts w:ascii="Calibri" w:hAnsi="Calibri" w:cs="Calibri"/>
          <w:i/>
          <w:lang w:val="en-US"/>
        </w:rPr>
        <w:t>inefficiency of WUs</w:t>
      </w:r>
      <w:r w:rsidR="004E4AFA" w:rsidRPr="00841BC7">
        <w:rPr>
          <w:rFonts w:ascii="Calibri" w:hAnsi="Calibri" w:cs="Calibri"/>
          <w:lang w:val="en-US"/>
        </w:rPr>
        <w:t xml:space="preserve">’ because to resolve these issues, several underlying factors must be </w:t>
      </w:r>
      <w:r w:rsidR="00B82174">
        <w:rPr>
          <w:rFonts w:ascii="Calibri" w:hAnsi="Calibri" w:cs="Calibri"/>
          <w:lang w:val="en-US"/>
        </w:rPr>
        <w:t>addressed</w:t>
      </w:r>
      <w:r w:rsidR="004E4AFA" w:rsidRPr="00841BC7">
        <w:rPr>
          <w:rFonts w:ascii="Calibri" w:hAnsi="Calibri" w:cs="Calibri"/>
          <w:lang w:val="en-US"/>
        </w:rPr>
        <w:t xml:space="preserve"> first.</w:t>
      </w:r>
      <w:r w:rsidR="00B46F5D" w:rsidRPr="00841BC7">
        <w:rPr>
          <w:rFonts w:ascii="Calibri" w:hAnsi="Calibri" w:cs="Calibri"/>
          <w:lang w:val="en-US"/>
        </w:rPr>
        <w:t xml:space="preserve"> </w:t>
      </w:r>
    </w:p>
    <w:p w14:paraId="14D9371D" w14:textId="77777777" w:rsidR="003703ED" w:rsidRDefault="003703ED" w:rsidP="003703ED">
      <w:pPr>
        <w:spacing w:line="276" w:lineRule="auto"/>
        <w:jc w:val="both"/>
      </w:pPr>
    </w:p>
    <w:p w14:paraId="6C24183E" w14:textId="77C9D42E" w:rsidR="003703ED" w:rsidRPr="003703ED" w:rsidRDefault="003703ED" w:rsidP="003703ED">
      <w:pPr>
        <w:spacing w:line="276" w:lineRule="auto"/>
        <w:jc w:val="both"/>
        <w:rPr>
          <w:rFonts w:ascii="Calibri" w:hAnsi="Calibri" w:cs="Calibri"/>
        </w:rPr>
      </w:pPr>
      <w:r w:rsidRPr="003703ED">
        <w:rPr>
          <w:rFonts w:ascii="Calibri" w:hAnsi="Calibri" w:cs="Calibri"/>
        </w:rPr>
        <w:t xml:space="preserve">The infrastructure system analysis revealed eight critical elements that define the entire </w:t>
      </w:r>
      <w:r w:rsidR="00B82174">
        <w:rPr>
          <w:rFonts w:ascii="Calibri" w:hAnsi="Calibri" w:cs="Calibri"/>
        </w:rPr>
        <w:t xml:space="preserve">water services </w:t>
      </w:r>
      <w:r w:rsidRPr="003703ED">
        <w:rPr>
          <w:rFonts w:ascii="Calibri" w:hAnsi="Calibri" w:cs="Calibri"/>
        </w:rPr>
        <w:t xml:space="preserve">system, though the most challenging included </w:t>
      </w:r>
      <w:r w:rsidRPr="003703ED">
        <w:rPr>
          <w:rFonts w:ascii="Calibri" w:hAnsi="Calibri" w:cs="Calibri"/>
          <w:i/>
        </w:rPr>
        <w:t>safety and security of drinking water</w:t>
      </w:r>
      <w:r w:rsidRPr="003703ED">
        <w:rPr>
          <w:rFonts w:ascii="Calibri" w:hAnsi="Calibri" w:cs="Calibri"/>
        </w:rPr>
        <w:t>. To effectively address these challenges, it is necessary to tackle a range of underlying problems concurrently. Hence, interdependencies between “</w:t>
      </w:r>
      <w:r w:rsidRPr="003703ED">
        <w:rPr>
          <w:rFonts w:ascii="Calibri" w:hAnsi="Calibri" w:cs="Calibri"/>
          <w:i/>
        </w:rPr>
        <w:t>infrastructure quality standards</w:t>
      </w:r>
      <w:r w:rsidRPr="003703ED">
        <w:rPr>
          <w:rFonts w:ascii="Calibri" w:hAnsi="Calibri" w:cs="Calibri"/>
        </w:rPr>
        <w:t>”, “</w:t>
      </w:r>
      <w:r w:rsidRPr="003703ED">
        <w:rPr>
          <w:rFonts w:ascii="Calibri" w:hAnsi="Calibri" w:cs="Calibri"/>
          <w:i/>
        </w:rPr>
        <w:t>drinking water quality standards</w:t>
      </w:r>
      <w:r w:rsidRPr="003703ED">
        <w:rPr>
          <w:rFonts w:ascii="Calibri" w:hAnsi="Calibri" w:cs="Calibri"/>
        </w:rPr>
        <w:t>”, “</w:t>
      </w:r>
      <w:r w:rsidRPr="003703ED">
        <w:rPr>
          <w:rFonts w:ascii="Calibri" w:hAnsi="Calibri" w:cs="Calibri"/>
          <w:i/>
        </w:rPr>
        <w:t>maintenance costs</w:t>
      </w:r>
      <w:r w:rsidRPr="003703ED">
        <w:rPr>
          <w:rFonts w:ascii="Calibri" w:hAnsi="Calibri" w:cs="Calibri"/>
        </w:rPr>
        <w:t>” and “</w:t>
      </w:r>
      <w:r w:rsidRPr="003703ED">
        <w:rPr>
          <w:rFonts w:ascii="Calibri" w:hAnsi="Calibri" w:cs="Calibri"/>
          <w:i/>
        </w:rPr>
        <w:t>access to external funding</w:t>
      </w:r>
      <w:r w:rsidRPr="003703ED">
        <w:rPr>
          <w:rFonts w:ascii="Calibri" w:hAnsi="Calibri" w:cs="Calibri"/>
        </w:rPr>
        <w:t>” require coordinated solutions to ensure meaningful and sustainable improvement across the entire water service</w:t>
      </w:r>
      <w:r w:rsidR="00B82174">
        <w:rPr>
          <w:rFonts w:ascii="Calibri" w:hAnsi="Calibri" w:cs="Calibri"/>
        </w:rPr>
        <w:t>s</w:t>
      </w:r>
      <w:r w:rsidRPr="003703ED">
        <w:rPr>
          <w:rFonts w:ascii="Calibri" w:hAnsi="Calibri" w:cs="Calibri"/>
        </w:rPr>
        <w:t xml:space="preserve"> system.</w:t>
      </w:r>
    </w:p>
    <w:p w14:paraId="60E383D4" w14:textId="77777777" w:rsidR="003703ED" w:rsidRDefault="003703ED" w:rsidP="00B972F5">
      <w:pPr>
        <w:spacing w:line="276" w:lineRule="auto"/>
        <w:jc w:val="both"/>
      </w:pPr>
    </w:p>
    <w:p w14:paraId="1112C3D9" w14:textId="1CBC3B74" w:rsidR="003703ED" w:rsidRPr="003703ED" w:rsidRDefault="003703ED" w:rsidP="00B972F5">
      <w:pPr>
        <w:spacing w:line="276" w:lineRule="auto"/>
        <w:jc w:val="both"/>
      </w:pPr>
      <w:r w:rsidRPr="004E4AFA">
        <w:rPr>
          <w:rFonts w:ascii="Calibri" w:eastAsiaTheme="minorHAnsi" w:hAnsi="Calibri" w:cs="Calibri"/>
          <w:lang w:val="en-US" w:eastAsia="en-US"/>
          <w14:ligatures w14:val="standardContextual"/>
        </w:rPr>
        <w:t xml:space="preserve">The project outcomes and outputs captured the key systemic bottlenecks </w:t>
      </w:r>
      <w:r>
        <w:rPr>
          <w:rFonts w:ascii="Calibri" w:eastAsiaTheme="minorHAnsi" w:hAnsi="Calibri" w:cs="Calibri"/>
          <w:lang w:val="en-US" w:eastAsia="en-US"/>
          <w14:ligatures w14:val="standardContextual"/>
        </w:rPr>
        <w:t xml:space="preserve">in water services governance, and some of the key bottlenecks related to water infrastructure. The major issues in the water infrastructure system – the quality of existing water infrastructure and the water infrastructure standards – were </w:t>
      </w:r>
      <w:r w:rsidR="00B82174">
        <w:rPr>
          <w:rFonts w:ascii="Calibri" w:eastAsiaTheme="minorHAnsi" w:hAnsi="Calibri" w:cs="Calibri"/>
          <w:lang w:val="en-US" w:eastAsia="en-US"/>
          <w14:ligatures w14:val="standardContextual"/>
        </w:rPr>
        <w:t>partially addressed during</w:t>
      </w:r>
      <w:r>
        <w:rPr>
          <w:rFonts w:ascii="Calibri" w:eastAsiaTheme="minorHAnsi" w:hAnsi="Calibri" w:cs="Calibri"/>
          <w:lang w:val="en-US" w:eastAsia="en-US"/>
          <w14:ligatures w14:val="standardContextual"/>
        </w:rPr>
        <w:t xml:space="preserve"> th</w:t>
      </w:r>
      <w:r w:rsidR="00C3029C">
        <w:rPr>
          <w:rFonts w:ascii="Calibri" w:eastAsiaTheme="minorHAnsi" w:hAnsi="Calibri" w:cs="Calibri"/>
          <w:lang w:val="en-US" w:eastAsia="en-US"/>
          <w14:ligatures w14:val="standardContextual"/>
        </w:rPr>
        <w:t>is phase of the MEG programme</w:t>
      </w:r>
      <w:r w:rsidR="00B82174">
        <w:rPr>
          <w:rFonts w:ascii="Calibri" w:eastAsiaTheme="minorHAnsi" w:hAnsi="Calibri" w:cs="Calibri"/>
          <w:lang w:val="en-US" w:eastAsia="en-US"/>
          <w14:ligatures w14:val="standardContextual"/>
        </w:rPr>
        <w:t xml:space="preserve">. Hence, </w:t>
      </w:r>
      <w:r>
        <w:rPr>
          <w:rFonts w:ascii="Calibri" w:eastAsiaTheme="minorHAnsi" w:hAnsi="Calibri" w:cs="Calibri"/>
          <w:lang w:val="en-US" w:eastAsia="en-US"/>
          <w14:ligatures w14:val="standardContextual"/>
        </w:rPr>
        <w:t>through incorporating the grant scheme</w:t>
      </w:r>
      <w:r w:rsidR="00C3029C">
        <w:rPr>
          <w:rFonts w:ascii="Calibri" w:eastAsiaTheme="minorHAnsi" w:hAnsi="Calibri" w:cs="Calibri"/>
          <w:lang w:val="en-US" w:eastAsia="en-US"/>
          <w14:ligatures w14:val="standardContextual"/>
        </w:rPr>
        <w:t>s</w:t>
      </w:r>
      <w:r>
        <w:rPr>
          <w:rFonts w:ascii="Calibri" w:eastAsiaTheme="minorHAnsi" w:hAnsi="Calibri" w:cs="Calibri"/>
          <w:lang w:val="en-US" w:eastAsia="en-US"/>
          <w14:ligatures w14:val="standardContextual"/>
        </w:rPr>
        <w:t xml:space="preserve"> for the infrastructure development in the target LGs, the project addressed this </w:t>
      </w:r>
      <w:r w:rsidR="00C3029C">
        <w:rPr>
          <w:rFonts w:ascii="Calibri" w:eastAsiaTheme="minorHAnsi" w:hAnsi="Calibri" w:cs="Calibri"/>
          <w:lang w:val="en-US" w:eastAsia="en-US"/>
          <w14:ligatures w14:val="standardContextual"/>
        </w:rPr>
        <w:t>challenge to some extent, generating thereby valuable lessons learned.</w:t>
      </w:r>
    </w:p>
    <w:p w14:paraId="16D96F3B" w14:textId="7531A1B1" w:rsidR="004E4AFA" w:rsidRDefault="004E4AFA" w:rsidP="00CA03F6">
      <w:pPr>
        <w:pStyle w:val="p1"/>
        <w:spacing w:line="276" w:lineRule="auto"/>
        <w:jc w:val="both"/>
        <w:rPr>
          <w:rFonts w:ascii="Calibri" w:hAnsi="Calibri" w:cs="Calibri"/>
          <w:color w:val="auto"/>
          <w:sz w:val="24"/>
          <w:szCs w:val="24"/>
        </w:rPr>
      </w:pPr>
    </w:p>
    <w:p w14:paraId="4BB34945" w14:textId="77777777" w:rsidR="00EA63B5" w:rsidRDefault="00EA63B5" w:rsidP="00CA03F6">
      <w:pPr>
        <w:pStyle w:val="p1"/>
        <w:spacing w:line="276" w:lineRule="auto"/>
        <w:jc w:val="both"/>
        <w:rPr>
          <w:rFonts w:ascii="Calibri" w:hAnsi="Calibri" w:cs="Calibri"/>
          <w:color w:val="auto"/>
          <w:sz w:val="24"/>
          <w:szCs w:val="24"/>
        </w:rPr>
      </w:pPr>
    </w:p>
    <w:p w14:paraId="28344DA5" w14:textId="77777777" w:rsidR="00EA63B5" w:rsidRDefault="00EA63B5" w:rsidP="00CA03F6">
      <w:pPr>
        <w:pStyle w:val="p1"/>
        <w:spacing w:line="276" w:lineRule="auto"/>
        <w:jc w:val="both"/>
        <w:rPr>
          <w:rFonts w:ascii="Calibri" w:hAnsi="Calibri" w:cs="Calibri"/>
          <w:color w:val="auto"/>
          <w:sz w:val="24"/>
          <w:szCs w:val="24"/>
        </w:rPr>
      </w:pPr>
    </w:p>
    <w:p w14:paraId="284297BB" w14:textId="77777777" w:rsidR="00EA63B5" w:rsidRDefault="00EA63B5" w:rsidP="00CA03F6">
      <w:pPr>
        <w:pStyle w:val="p1"/>
        <w:spacing w:line="276" w:lineRule="auto"/>
        <w:jc w:val="both"/>
        <w:rPr>
          <w:rFonts w:ascii="Calibri" w:hAnsi="Calibri" w:cs="Calibri"/>
          <w:color w:val="auto"/>
          <w:sz w:val="24"/>
          <w:szCs w:val="24"/>
        </w:rPr>
      </w:pPr>
    </w:p>
    <w:p w14:paraId="1D895D84" w14:textId="179E8494" w:rsidR="004E4AFA" w:rsidRPr="00B972F5" w:rsidRDefault="004E4AFA" w:rsidP="006C530E">
      <w:pPr>
        <w:pStyle w:val="p1"/>
        <w:numPr>
          <w:ilvl w:val="0"/>
          <w:numId w:val="42"/>
        </w:numPr>
        <w:spacing w:line="276" w:lineRule="auto"/>
        <w:jc w:val="both"/>
        <w:rPr>
          <w:rFonts w:ascii="Calibri" w:hAnsi="Calibri" w:cs="Calibri"/>
          <w:color w:val="auto"/>
          <w:sz w:val="24"/>
          <w:szCs w:val="24"/>
        </w:rPr>
      </w:pPr>
      <w:r w:rsidRPr="004E4AFA">
        <w:rPr>
          <w:rFonts w:ascii="Calibri" w:hAnsi="Calibri" w:cs="Calibri"/>
          <w:b/>
          <w:i/>
          <w:color w:val="auto"/>
          <w:sz w:val="24"/>
          <w:szCs w:val="24"/>
        </w:rPr>
        <w:lastRenderedPageBreak/>
        <w:t>Relevance of the project design to the</w:t>
      </w:r>
      <w:r w:rsidR="00B972F5">
        <w:rPr>
          <w:rFonts w:ascii="Calibri" w:hAnsi="Calibri" w:cs="Calibri"/>
          <w:b/>
          <w:i/>
          <w:color w:val="auto"/>
          <w:sz w:val="24"/>
          <w:szCs w:val="24"/>
        </w:rPr>
        <w:t xml:space="preserve"> stakeholders’ landscape in water and local governance sectors</w:t>
      </w:r>
    </w:p>
    <w:p w14:paraId="0271ED9A" w14:textId="458AAF55" w:rsidR="00B972F5" w:rsidRPr="00F569AE" w:rsidRDefault="00B972F5" w:rsidP="00B972F5">
      <w:pPr>
        <w:pStyle w:val="p1"/>
        <w:spacing w:line="276" w:lineRule="auto"/>
        <w:jc w:val="both"/>
        <w:rPr>
          <w:rFonts w:ascii="Calibri" w:hAnsi="Calibri" w:cs="Calibri"/>
          <w:color w:val="auto"/>
          <w:sz w:val="24"/>
          <w:szCs w:val="24"/>
        </w:rPr>
      </w:pPr>
      <w:r w:rsidRPr="00555FFF">
        <w:rPr>
          <w:rFonts w:ascii="Calibri" w:hAnsi="Calibri" w:cs="Calibri"/>
          <w:color w:val="auto"/>
          <w:sz w:val="24"/>
          <w:szCs w:val="24"/>
        </w:rPr>
        <w:t>The project design was focused on the key stakeholders in water and local governance sectors</w:t>
      </w:r>
      <w:r w:rsidR="0074666D">
        <w:rPr>
          <w:rFonts w:ascii="Calibri" w:hAnsi="Calibri" w:cs="Calibri"/>
          <w:color w:val="auto"/>
          <w:sz w:val="24"/>
          <w:szCs w:val="24"/>
        </w:rPr>
        <w:t>:</w:t>
      </w:r>
      <w:r w:rsidR="00AE5982">
        <w:rPr>
          <w:rFonts w:ascii="Calibri" w:hAnsi="Calibri" w:cs="Calibri"/>
          <w:color w:val="auto"/>
          <w:sz w:val="24"/>
          <w:szCs w:val="24"/>
        </w:rPr>
        <w:t xml:space="preserve"> </w:t>
      </w:r>
      <w:r w:rsidR="0074666D">
        <w:rPr>
          <w:rFonts w:ascii="Calibri" w:hAnsi="Calibri" w:cs="Calibri"/>
          <w:color w:val="auto"/>
          <w:sz w:val="24"/>
          <w:szCs w:val="24"/>
        </w:rPr>
        <w:t xml:space="preserve">shaping the performance management system, anti-corruption and citizens engagement strategies, introducing subsidies to the most vulnerable population, etc. </w:t>
      </w:r>
      <w:r w:rsidRPr="00F569AE">
        <w:rPr>
          <w:rFonts w:ascii="Calibri" w:hAnsi="Calibri" w:cs="Calibri"/>
          <w:color w:val="auto"/>
          <w:sz w:val="24"/>
          <w:szCs w:val="24"/>
        </w:rPr>
        <w:t>A wide range of stakeholders from the entity level and from the state level were actively engaged in shaping the strategic normative and operational context of the project. However, the primary focus of the project was at the local level, tailoring its operations to the mandates of the key institutional actors, namely:</w:t>
      </w:r>
    </w:p>
    <w:p w14:paraId="67B4CDB0" w14:textId="77777777" w:rsidR="00B972F5" w:rsidRPr="00F569AE" w:rsidRDefault="00B972F5" w:rsidP="00B972F5">
      <w:pPr>
        <w:pStyle w:val="p1"/>
        <w:numPr>
          <w:ilvl w:val="0"/>
          <w:numId w:val="28"/>
        </w:numPr>
        <w:spacing w:line="276" w:lineRule="auto"/>
        <w:jc w:val="both"/>
        <w:rPr>
          <w:rFonts w:ascii="Calibri" w:hAnsi="Calibri" w:cs="Calibri"/>
          <w:color w:val="auto"/>
          <w:sz w:val="24"/>
          <w:szCs w:val="24"/>
        </w:rPr>
      </w:pPr>
      <w:r w:rsidRPr="00F569AE">
        <w:rPr>
          <w:rFonts w:ascii="Calibri" w:hAnsi="Calibri" w:cs="Calibri"/>
          <w:color w:val="auto"/>
          <w:sz w:val="24"/>
          <w:szCs w:val="24"/>
        </w:rPr>
        <w:t>the LGs, as the legal founders of the WUC, and the LG Assemblies</w:t>
      </w:r>
      <w:r w:rsidRPr="00F569AE">
        <w:rPr>
          <w:rStyle w:val="FootnoteReference"/>
          <w:rFonts w:ascii="Calibri" w:hAnsi="Calibri" w:cs="Calibri"/>
          <w:color w:val="auto"/>
          <w:sz w:val="24"/>
          <w:szCs w:val="24"/>
        </w:rPr>
        <w:footnoteReference w:id="39"/>
      </w:r>
      <w:r w:rsidRPr="00F569AE">
        <w:rPr>
          <w:rFonts w:ascii="Calibri" w:hAnsi="Calibri" w:cs="Calibri"/>
          <w:color w:val="auto"/>
          <w:sz w:val="24"/>
          <w:szCs w:val="24"/>
        </w:rPr>
        <w:t xml:space="preserve">, </w:t>
      </w:r>
    </w:p>
    <w:p w14:paraId="1E43C13E" w14:textId="77777777" w:rsidR="00B972F5" w:rsidRDefault="00B972F5" w:rsidP="00B972F5">
      <w:pPr>
        <w:pStyle w:val="p1"/>
        <w:numPr>
          <w:ilvl w:val="0"/>
          <w:numId w:val="28"/>
        </w:numPr>
        <w:spacing w:line="276" w:lineRule="auto"/>
        <w:jc w:val="both"/>
        <w:rPr>
          <w:rFonts w:ascii="Calibri" w:hAnsi="Calibri" w:cs="Calibri"/>
          <w:color w:val="auto"/>
          <w:sz w:val="24"/>
          <w:szCs w:val="24"/>
        </w:rPr>
      </w:pPr>
      <w:r w:rsidRPr="00F569AE">
        <w:rPr>
          <w:rFonts w:ascii="Calibri" w:hAnsi="Calibri" w:cs="Calibri"/>
          <w:color w:val="auto"/>
          <w:sz w:val="24"/>
          <w:szCs w:val="24"/>
        </w:rPr>
        <w:t>the WUCs, including their Management Boards, in their executive capacity for the provision of water services to the local population</w:t>
      </w:r>
      <w:r>
        <w:rPr>
          <w:rFonts w:ascii="Calibri" w:hAnsi="Calibri" w:cs="Calibri"/>
          <w:color w:val="auto"/>
          <w:sz w:val="24"/>
          <w:szCs w:val="24"/>
        </w:rPr>
        <w:t>;</w:t>
      </w:r>
    </w:p>
    <w:p w14:paraId="28592C02" w14:textId="31926ECF" w:rsidR="00B972F5" w:rsidRPr="00F569AE" w:rsidRDefault="00B972F5" w:rsidP="00B972F5">
      <w:pPr>
        <w:pStyle w:val="p1"/>
        <w:numPr>
          <w:ilvl w:val="0"/>
          <w:numId w:val="28"/>
        </w:numPr>
        <w:spacing w:line="276" w:lineRule="auto"/>
        <w:jc w:val="both"/>
        <w:rPr>
          <w:rFonts w:ascii="Calibri" w:hAnsi="Calibri" w:cs="Calibri"/>
          <w:color w:val="auto"/>
          <w:sz w:val="24"/>
          <w:szCs w:val="24"/>
        </w:rPr>
      </w:pPr>
      <w:r>
        <w:rPr>
          <w:rFonts w:ascii="Calibri" w:hAnsi="Calibri" w:cs="Calibri"/>
          <w:color w:val="auto"/>
          <w:sz w:val="24"/>
          <w:szCs w:val="24"/>
        </w:rPr>
        <w:t xml:space="preserve">the population of the partner LGs and specifically, those most vulnerable </w:t>
      </w:r>
      <w:r w:rsidRPr="00B972F5">
        <w:rPr>
          <w:rFonts w:ascii="Calibri" w:hAnsi="Calibri" w:cs="Calibri"/>
          <w:color w:val="auto"/>
          <w:sz w:val="24"/>
          <w:szCs w:val="24"/>
        </w:rPr>
        <w:t>women</w:t>
      </w:r>
      <w:r w:rsidR="00B82174">
        <w:rPr>
          <w:rFonts w:ascii="Calibri" w:hAnsi="Calibri" w:cs="Calibri"/>
          <w:color w:val="auto"/>
          <w:sz w:val="24"/>
          <w:szCs w:val="24"/>
        </w:rPr>
        <w:t xml:space="preserve">, </w:t>
      </w:r>
      <w:r w:rsidRPr="00B972F5">
        <w:rPr>
          <w:rFonts w:ascii="Calibri" w:hAnsi="Calibri" w:cs="Calibri"/>
          <w:color w:val="auto"/>
          <w:sz w:val="24"/>
          <w:szCs w:val="24"/>
        </w:rPr>
        <w:t>youth, people with disabilities, or those with restrict access to water services</w:t>
      </w:r>
      <w:r w:rsidR="00142C3F">
        <w:rPr>
          <w:rFonts w:ascii="Calibri" w:hAnsi="Calibri" w:cs="Calibri"/>
          <w:color w:val="auto"/>
          <w:sz w:val="24"/>
          <w:szCs w:val="24"/>
        </w:rPr>
        <w:t xml:space="preserve"> who stood to benefit from the project</w:t>
      </w:r>
      <w:r w:rsidR="00B82174">
        <w:rPr>
          <w:rFonts w:ascii="Calibri" w:hAnsi="Calibri" w:cs="Calibri"/>
          <w:color w:val="auto"/>
          <w:sz w:val="24"/>
          <w:szCs w:val="24"/>
        </w:rPr>
        <w:t xml:space="preserve">. </w:t>
      </w:r>
      <w:r w:rsidR="00142C3F">
        <w:rPr>
          <w:rFonts w:ascii="Calibri" w:hAnsi="Calibri" w:cs="Calibri"/>
          <w:color w:val="auto"/>
          <w:sz w:val="24"/>
          <w:szCs w:val="24"/>
        </w:rPr>
        <w:t xml:space="preserve"> </w:t>
      </w:r>
    </w:p>
    <w:p w14:paraId="6AA238F5" w14:textId="77777777" w:rsidR="000961BA" w:rsidRDefault="000961BA" w:rsidP="003F762E">
      <w:pPr>
        <w:pStyle w:val="p1"/>
        <w:spacing w:line="276" w:lineRule="auto"/>
        <w:jc w:val="both"/>
        <w:rPr>
          <w:rFonts w:ascii="Calibri" w:hAnsi="Calibri" w:cs="Calibri"/>
          <w:color w:val="auto"/>
          <w:sz w:val="24"/>
          <w:szCs w:val="24"/>
        </w:rPr>
      </w:pPr>
    </w:p>
    <w:p w14:paraId="7346F0B3" w14:textId="756E6FDE" w:rsidR="00B97167" w:rsidRPr="00B97167" w:rsidRDefault="00B46F5D" w:rsidP="00B97167">
      <w:pPr>
        <w:spacing w:line="276" w:lineRule="auto"/>
        <w:jc w:val="both"/>
        <w:rPr>
          <w:rFonts w:ascii="Calibri" w:hAnsi="Calibri" w:cs="Calibri"/>
          <w:lang w:val="en-US"/>
        </w:rPr>
      </w:pPr>
      <w:r w:rsidRPr="00C3029C">
        <w:rPr>
          <w:rFonts w:ascii="Calibri" w:hAnsi="Calibri" w:cs="Calibri"/>
          <w:lang w:val="en-US"/>
        </w:rPr>
        <w:t>The project was designed to facilitate capacity building and improved cooperation between the partner LGs and</w:t>
      </w:r>
      <w:r>
        <w:rPr>
          <w:rFonts w:ascii="Calibri" w:hAnsi="Calibri" w:cs="Calibri"/>
          <w:i/>
          <w:lang w:val="en-US"/>
        </w:rPr>
        <w:t xml:space="preserve"> </w:t>
      </w:r>
      <w:r w:rsidRPr="00F569AE">
        <w:rPr>
          <w:rFonts w:ascii="Calibri" w:hAnsi="Calibri" w:cs="Calibri"/>
          <w:lang w:val="en-US"/>
        </w:rPr>
        <w:t>Water Utility Companies</w:t>
      </w:r>
      <w:r>
        <w:rPr>
          <w:rFonts w:ascii="Calibri" w:hAnsi="Calibri" w:cs="Calibri"/>
          <w:lang w:val="en-US"/>
        </w:rPr>
        <w:t xml:space="preserve"> (WUCs) with due attention to the needs and vulnerabilities of the population of the target municipalities, specifically, </w:t>
      </w:r>
      <w:r>
        <w:rPr>
          <w:rFonts w:ascii="Calibri" w:hAnsi="Calibri" w:cs="Calibri"/>
        </w:rPr>
        <w:t xml:space="preserve">vulnerable </w:t>
      </w:r>
      <w:r w:rsidRPr="00B972F5">
        <w:rPr>
          <w:rFonts w:ascii="Calibri" w:hAnsi="Calibri" w:cs="Calibri"/>
          <w:lang w:val="en-US"/>
        </w:rPr>
        <w:t>women, youth, people with disabilities, or those with restrict access to water services</w:t>
      </w:r>
      <w:r>
        <w:rPr>
          <w:rFonts w:ascii="Calibri" w:hAnsi="Calibri" w:cs="Calibri"/>
          <w:lang w:val="en-US"/>
        </w:rPr>
        <w:t>.</w:t>
      </w:r>
      <w:r w:rsidR="00142C3F">
        <w:rPr>
          <w:rFonts w:ascii="Calibri" w:hAnsi="Calibri" w:cs="Calibri"/>
          <w:lang w:val="en-US"/>
        </w:rPr>
        <w:t xml:space="preserve"> </w:t>
      </w:r>
      <w:r w:rsidR="00B97167" w:rsidRPr="00F569AE">
        <w:rPr>
          <w:rFonts w:ascii="Calibri" w:hAnsi="Calibri" w:cs="Calibri"/>
          <w:lang w:val="en-US"/>
        </w:rPr>
        <w:t xml:space="preserve">The LGs entered the project from highly heterogeneous positions regarding their individual and institutional capacities. The implementation of the project was managed in such a way to maintain relevance and responsiveness to the main issues within water service sector, allowing the partner LGs to undergo what could be considered as </w:t>
      </w:r>
      <w:r w:rsidR="00B97167" w:rsidRPr="00F569AE">
        <w:rPr>
          <w:rFonts w:ascii="Calibri" w:hAnsi="Calibri" w:cs="Calibri"/>
          <w:b/>
          <w:i/>
          <w:lang w:val="en-US"/>
        </w:rPr>
        <w:t>'MEG standardization'</w:t>
      </w:r>
      <w:r w:rsidR="00B97167" w:rsidRPr="00F569AE">
        <w:rPr>
          <w:rFonts w:ascii="Calibri" w:hAnsi="Calibri" w:cs="Calibri"/>
          <w:lang w:val="en-US"/>
        </w:rPr>
        <w:t xml:space="preserve"> process – aligning their awareness, processes, tools, standards, capabilities and expectations to the best international practices, and creating thereby more harmonized quality performance within those LGs. </w:t>
      </w:r>
      <w:r w:rsidR="004065DE">
        <w:rPr>
          <w:rFonts w:ascii="Calibri" w:hAnsi="Calibri" w:cs="Calibri"/>
          <w:lang w:val="en-US"/>
        </w:rPr>
        <w:t>‘</w:t>
      </w:r>
      <w:r w:rsidR="009A3BD3">
        <w:rPr>
          <w:rFonts w:ascii="Calibri" w:hAnsi="Calibri" w:cs="Calibri"/>
          <w:lang w:val="en-US"/>
        </w:rPr>
        <w:t>MEG standardization’ has become a quality mark for all LGs in BiH.</w:t>
      </w:r>
    </w:p>
    <w:p w14:paraId="14DD799A" w14:textId="77777777" w:rsidR="00B97167" w:rsidRDefault="00B97167" w:rsidP="00142C3F">
      <w:pPr>
        <w:spacing w:line="276" w:lineRule="auto"/>
        <w:jc w:val="both"/>
        <w:rPr>
          <w:rFonts w:ascii="Calibri" w:hAnsi="Calibri" w:cs="Calibri"/>
          <w:lang w:val="en-US"/>
        </w:rPr>
      </w:pPr>
    </w:p>
    <w:p w14:paraId="0C1B6DC5" w14:textId="6183B5AC" w:rsidR="00B9430D" w:rsidRPr="00142C3F" w:rsidRDefault="00B235A1" w:rsidP="00142C3F">
      <w:pPr>
        <w:spacing w:line="276" w:lineRule="auto"/>
        <w:jc w:val="both"/>
        <w:rPr>
          <w:rFonts w:ascii="Calibri" w:hAnsi="Calibri" w:cs="Calibri"/>
          <w:i/>
          <w:lang w:val="en-US"/>
        </w:rPr>
      </w:pPr>
      <w:r w:rsidRPr="00F569AE">
        <w:rPr>
          <w:rFonts w:ascii="Calibri" w:hAnsi="Calibri" w:cs="Calibri"/>
          <w:lang w:val="en-US"/>
        </w:rPr>
        <w:t>Figure</w:t>
      </w:r>
      <w:r w:rsidR="00244AD9" w:rsidRPr="00F569AE">
        <w:rPr>
          <w:rFonts w:ascii="Calibri" w:hAnsi="Calibri" w:cs="Calibri"/>
          <w:lang w:val="en-US"/>
        </w:rPr>
        <w:t xml:space="preserve"> </w:t>
      </w:r>
      <w:r w:rsidR="009E7888" w:rsidRPr="00F569AE">
        <w:rPr>
          <w:rFonts w:ascii="Calibri" w:hAnsi="Calibri" w:cs="Calibri"/>
          <w:lang w:val="en-US"/>
        </w:rPr>
        <w:t>1</w:t>
      </w:r>
      <w:r w:rsidR="00244AD9" w:rsidRPr="00F569AE">
        <w:rPr>
          <w:rFonts w:ascii="Calibri" w:hAnsi="Calibri" w:cs="Calibri"/>
          <w:lang w:val="en-US"/>
        </w:rPr>
        <w:t xml:space="preserve"> below provides reflections on </w:t>
      </w:r>
      <w:r w:rsidR="007E7FAE">
        <w:rPr>
          <w:rFonts w:ascii="Calibri" w:hAnsi="Calibri" w:cs="Calibri"/>
          <w:lang w:val="en-US"/>
        </w:rPr>
        <w:t>how</w:t>
      </w:r>
      <w:r w:rsidR="00244AD9" w:rsidRPr="00F569AE">
        <w:rPr>
          <w:rFonts w:ascii="Calibri" w:hAnsi="Calibri" w:cs="Calibri"/>
          <w:lang w:val="en-US"/>
        </w:rPr>
        <w:t xml:space="preserve"> the WUCs and LGs</w:t>
      </w:r>
      <w:r w:rsidR="007E7FAE">
        <w:rPr>
          <w:rFonts w:ascii="Calibri" w:hAnsi="Calibri" w:cs="Calibri"/>
          <w:lang w:val="en-US"/>
        </w:rPr>
        <w:t xml:space="preserve"> considered the relevance of the project through its importance. </w:t>
      </w:r>
      <w:r w:rsidR="00D91A45" w:rsidRPr="00F569AE">
        <w:rPr>
          <w:rFonts w:ascii="Calibri" w:hAnsi="Calibri" w:cs="Calibri"/>
          <w:lang w:val="en-US"/>
        </w:rPr>
        <w:t xml:space="preserve"> </w:t>
      </w:r>
      <w:r w:rsidR="007E7FAE">
        <w:rPr>
          <w:rFonts w:ascii="Calibri" w:hAnsi="Calibri" w:cs="Calibri"/>
          <w:lang w:val="en-US"/>
        </w:rPr>
        <w:t xml:space="preserve">Hence, the </w:t>
      </w:r>
      <w:r w:rsidR="00D91A45" w:rsidRPr="00F569AE">
        <w:rPr>
          <w:rFonts w:ascii="Calibri" w:hAnsi="Calibri" w:cs="Calibri"/>
          <w:lang w:val="en-US"/>
        </w:rPr>
        <w:t xml:space="preserve">100% of the WUCs </w:t>
      </w:r>
      <w:r w:rsidR="00895E4B" w:rsidRPr="00F569AE">
        <w:rPr>
          <w:rFonts w:ascii="Calibri" w:hAnsi="Calibri" w:cs="Calibri"/>
          <w:lang w:val="en-US"/>
        </w:rPr>
        <w:t xml:space="preserve">considered the project of very high importance </w:t>
      </w:r>
      <w:r w:rsidR="00D91A45" w:rsidRPr="00F569AE">
        <w:rPr>
          <w:rFonts w:ascii="Calibri" w:hAnsi="Calibri" w:cs="Calibri"/>
          <w:lang w:val="en-US"/>
        </w:rPr>
        <w:t>and 75% of LGs considered the project of high or very high importance for their organization. These responses underscore</w:t>
      </w:r>
      <w:r w:rsidR="00745959" w:rsidRPr="00F569AE">
        <w:rPr>
          <w:rFonts w:ascii="Calibri" w:hAnsi="Calibri" w:cs="Calibri"/>
          <w:lang w:val="en-US"/>
        </w:rPr>
        <w:t>d</w:t>
      </w:r>
      <w:r w:rsidR="00D91A45" w:rsidRPr="00F569AE">
        <w:rPr>
          <w:rFonts w:ascii="Calibri" w:hAnsi="Calibri" w:cs="Calibri"/>
          <w:lang w:val="en-US"/>
        </w:rPr>
        <w:t xml:space="preserve"> the project's relevance to stakeholder needs in fostering professional growth throughout the sector.</w:t>
      </w:r>
      <w:r w:rsidR="00A3684C" w:rsidRPr="00F569AE">
        <w:rPr>
          <w:rFonts w:ascii="Calibri" w:hAnsi="Calibri" w:cs="Calibri"/>
          <w:lang w:val="en-US"/>
        </w:rPr>
        <w:t xml:space="preserve"> The survey responses from the LGs and WUCs indicated the following examples how they benefited from the project: (i) for LGs: introducing participatory decision-making,  providing financial support for infrastructure rehabilitation or construction, building municipal council’s capacities, supporting increasing transparency and integrity of the LGs operations, support learning and adopting best international practices, and eventually, etc., which ultimately leads to improved service </w:t>
      </w:r>
      <w:r w:rsidR="00A3684C" w:rsidRPr="00F569AE">
        <w:rPr>
          <w:rFonts w:ascii="Calibri" w:hAnsi="Calibri" w:cs="Calibri"/>
          <w:lang w:val="en-US"/>
        </w:rPr>
        <w:lastRenderedPageBreak/>
        <w:t>provision to citizens. (ii) for WUCs: support in water measurement, water tariff calculation, rationalization of jobs, establishment of custom relation management, improved knowledge and skills of the staff, digitalization of certain processes, etc., which ultimately leads to improved operations of the WUCs</w:t>
      </w:r>
      <w:r w:rsidR="00D67210">
        <w:rPr>
          <w:rFonts w:ascii="Calibri" w:hAnsi="Calibri" w:cs="Calibri"/>
        </w:rPr>
        <w:t>.</w:t>
      </w:r>
    </w:p>
    <w:p w14:paraId="5618474A" w14:textId="77777777" w:rsidR="00D67210" w:rsidRPr="00F569AE" w:rsidRDefault="00D67210" w:rsidP="00CA03F6">
      <w:pPr>
        <w:pStyle w:val="p1"/>
        <w:spacing w:line="276" w:lineRule="auto"/>
        <w:jc w:val="both"/>
        <w:rPr>
          <w:rFonts w:ascii="Calibri" w:hAnsi="Calibri" w:cs="Calibri"/>
          <w:color w:val="auto"/>
          <w:sz w:val="24"/>
          <w:szCs w:val="24"/>
        </w:rPr>
      </w:pPr>
    </w:p>
    <w:p w14:paraId="2D887902" w14:textId="2011432E" w:rsidR="00244AD9" w:rsidRPr="00F569AE" w:rsidRDefault="00B235A1" w:rsidP="00244AD9">
      <w:pPr>
        <w:pStyle w:val="p1"/>
        <w:spacing w:line="276" w:lineRule="auto"/>
        <w:jc w:val="both"/>
        <w:rPr>
          <w:rFonts w:ascii="Calibri" w:hAnsi="Calibri" w:cs="Calibri"/>
          <w:b/>
          <w:color w:val="auto"/>
          <w:sz w:val="24"/>
          <w:szCs w:val="24"/>
        </w:rPr>
      </w:pPr>
      <w:r w:rsidRPr="00F569AE">
        <w:rPr>
          <w:rFonts w:ascii="Calibri" w:hAnsi="Calibri" w:cs="Calibri"/>
          <w:b/>
          <w:color w:val="auto"/>
          <w:sz w:val="24"/>
          <w:szCs w:val="24"/>
        </w:rPr>
        <w:t>Figure</w:t>
      </w:r>
      <w:r w:rsidR="00244AD9" w:rsidRPr="00F569AE">
        <w:rPr>
          <w:rFonts w:ascii="Calibri" w:hAnsi="Calibri" w:cs="Calibri"/>
          <w:b/>
          <w:color w:val="auto"/>
          <w:sz w:val="24"/>
          <w:szCs w:val="24"/>
        </w:rPr>
        <w:t xml:space="preserve"> </w:t>
      </w:r>
      <w:r w:rsidR="009E7888" w:rsidRPr="00F569AE">
        <w:rPr>
          <w:rFonts w:ascii="Calibri" w:hAnsi="Calibri" w:cs="Calibri"/>
          <w:b/>
          <w:color w:val="auto"/>
          <w:sz w:val="24"/>
          <w:szCs w:val="24"/>
        </w:rPr>
        <w:t>1</w:t>
      </w:r>
      <w:r w:rsidR="00244AD9" w:rsidRPr="00F569AE">
        <w:rPr>
          <w:rFonts w:ascii="Calibri" w:hAnsi="Calibri" w:cs="Calibri"/>
          <w:b/>
          <w:color w:val="auto"/>
          <w:sz w:val="24"/>
          <w:szCs w:val="24"/>
        </w:rPr>
        <w:t>:</w:t>
      </w:r>
      <w:r w:rsidR="00D620F4" w:rsidRPr="00F569AE">
        <w:rPr>
          <w:rFonts w:ascii="Calibri" w:hAnsi="Calibri" w:cs="Calibri"/>
          <w:b/>
          <w:color w:val="auto"/>
          <w:sz w:val="24"/>
          <w:szCs w:val="24"/>
        </w:rPr>
        <w:t xml:space="preserve"> Reflection on project relevance from WUCs and LGs</w:t>
      </w:r>
    </w:p>
    <w:tbl>
      <w:tblPr>
        <w:tblStyle w:val="TableGrid"/>
        <w:tblW w:w="0" w:type="auto"/>
        <w:tblLook w:val="04A0" w:firstRow="1" w:lastRow="0" w:firstColumn="1" w:lastColumn="0" w:noHBand="0" w:noVBand="1"/>
      </w:tblPr>
      <w:tblGrid>
        <w:gridCol w:w="4322"/>
        <w:gridCol w:w="4688"/>
      </w:tblGrid>
      <w:tr w:rsidR="00277123" w:rsidRPr="00F569AE" w14:paraId="478E06BD" w14:textId="77777777" w:rsidTr="00A5744A">
        <w:tc>
          <w:tcPr>
            <w:tcW w:w="4505" w:type="dxa"/>
            <w:shd w:val="clear" w:color="auto" w:fill="F2F2F2" w:themeFill="background1" w:themeFillShade="F2"/>
          </w:tcPr>
          <w:p w14:paraId="65BA2EBF" w14:textId="77777777" w:rsidR="009332A1" w:rsidRPr="00F569AE" w:rsidRDefault="009332A1" w:rsidP="00A5744A">
            <w:pPr>
              <w:pStyle w:val="p1"/>
              <w:spacing w:line="276" w:lineRule="auto"/>
              <w:jc w:val="center"/>
              <w:rPr>
                <w:rFonts w:ascii="Calibri" w:hAnsi="Calibri" w:cs="Calibri"/>
                <w:b/>
                <w:i/>
                <w:color w:val="auto"/>
                <w:sz w:val="24"/>
                <w:szCs w:val="24"/>
              </w:rPr>
            </w:pPr>
            <w:r w:rsidRPr="00F569AE">
              <w:rPr>
                <w:rFonts w:ascii="Calibri" w:hAnsi="Calibri" w:cs="Calibri"/>
                <w:b/>
                <w:i/>
                <w:color w:val="auto"/>
                <w:sz w:val="24"/>
                <w:szCs w:val="24"/>
              </w:rPr>
              <w:t>Importance of MEG Project for WUCs</w:t>
            </w:r>
          </w:p>
        </w:tc>
        <w:tc>
          <w:tcPr>
            <w:tcW w:w="4505" w:type="dxa"/>
            <w:shd w:val="clear" w:color="auto" w:fill="F2F2F2" w:themeFill="background1" w:themeFillShade="F2"/>
          </w:tcPr>
          <w:p w14:paraId="32A037EB" w14:textId="77777777" w:rsidR="009332A1" w:rsidRPr="00F569AE" w:rsidRDefault="009332A1" w:rsidP="00A5744A">
            <w:pPr>
              <w:pStyle w:val="p1"/>
              <w:spacing w:line="276" w:lineRule="auto"/>
              <w:jc w:val="center"/>
              <w:rPr>
                <w:rFonts w:ascii="Calibri" w:hAnsi="Calibri" w:cs="Calibri"/>
                <w:b/>
                <w:i/>
                <w:color w:val="auto"/>
                <w:sz w:val="24"/>
                <w:szCs w:val="24"/>
              </w:rPr>
            </w:pPr>
            <w:r w:rsidRPr="00F569AE">
              <w:rPr>
                <w:rFonts w:ascii="Calibri" w:hAnsi="Calibri" w:cs="Calibri"/>
                <w:b/>
                <w:i/>
                <w:color w:val="auto"/>
                <w:sz w:val="24"/>
                <w:szCs w:val="24"/>
              </w:rPr>
              <w:t>Importance of MEG project for LGs</w:t>
            </w:r>
          </w:p>
        </w:tc>
      </w:tr>
      <w:tr w:rsidR="00277123" w:rsidRPr="00F569AE" w14:paraId="5D3CC9DA" w14:textId="77777777" w:rsidTr="00A5744A">
        <w:tc>
          <w:tcPr>
            <w:tcW w:w="4505" w:type="dxa"/>
          </w:tcPr>
          <w:p w14:paraId="2EA56EBB" w14:textId="42C0C9F0" w:rsidR="009332A1" w:rsidRPr="00F569AE" w:rsidRDefault="00277123" w:rsidP="00A5744A">
            <w:pPr>
              <w:pStyle w:val="p1"/>
              <w:spacing w:line="276" w:lineRule="auto"/>
              <w:jc w:val="center"/>
              <w:rPr>
                <w:rFonts w:ascii="Calibri" w:hAnsi="Calibri" w:cs="Calibri"/>
                <w:color w:val="auto"/>
                <w:sz w:val="24"/>
                <w:szCs w:val="24"/>
              </w:rPr>
            </w:pPr>
            <w:r w:rsidRPr="00F569AE">
              <w:rPr>
                <w:rFonts w:ascii="Calibri" w:hAnsi="Calibri" w:cs="Calibri"/>
                <w:noProof/>
                <w:color w:val="auto"/>
                <w:sz w:val="24"/>
                <w:szCs w:val="24"/>
              </w:rPr>
              <w:drawing>
                <wp:inline distT="0" distB="0" distL="0" distR="0" wp14:anchorId="790FCAEF" wp14:editId="2AE3D4D9">
                  <wp:extent cx="2694214" cy="1347107"/>
                  <wp:effectExtent l="0" t="0" r="0" b="0"/>
                  <wp:docPr id="2008999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999748" name=""/>
                          <pic:cNvPicPr/>
                        </pic:nvPicPr>
                        <pic:blipFill>
                          <a:blip r:embed="rId70"/>
                          <a:stretch>
                            <a:fillRect/>
                          </a:stretch>
                        </pic:blipFill>
                        <pic:spPr>
                          <a:xfrm>
                            <a:off x="0" y="0"/>
                            <a:ext cx="2725228" cy="1362614"/>
                          </a:xfrm>
                          <a:prstGeom prst="rect">
                            <a:avLst/>
                          </a:prstGeom>
                        </pic:spPr>
                      </pic:pic>
                    </a:graphicData>
                  </a:graphic>
                </wp:inline>
              </w:drawing>
            </w:r>
          </w:p>
        </w:tc>
        <w:tc>
          <w:tcPr>
            <w:tcW w:w="4505" w:type="dxa"/>
          </w:tcPr>
          <w:p w14:paraId="1B95CF42" w14:textId="0F45D8BD" w:rsidR="009332A1" w:rsidRPr="00F569AE" w:rsidRDefault="00277123" w:rsidP="00A5744A">
            <w:pPr>
              <w:pStyle w:val="p1"/>
              <w:spacing w:line="276" w:lineRule="auto"/>
              <w:jc w:val="center"/>
              <w:rPr>
                <w:rFonts w:ascii="Calibri" w:hAnsi="Calibri" w:cs="Calibri"/>
                <w:color w:val="auto"/>
                <w:sz w:val="24"/>
                <w:szCs w:val="24"/>
              </w:rPr>
            </w:pPr>
            <w:r w:rsidRPr="00F569AE">
              <w:rPr>
                <w:rFonts w:ascii="Calibri" w:hAnsi="Calibri" w:cs="Calibri"/>
                <w:noProof/>
                <w:color w:val="auto"/>
                <w:sz w:val="24"/>
                <w:szCs w:val="24"/>
              </w:rPr>
              <w:drawing>
                <wp:inline distT="0" distB="0" distL="0" distR="0" wp14:anchorId="059877EC" wp14:editId="417DBD23">
                  <wp:extent cx="2933153" cy="1420586"/>
                  <wp:effectExtent l="0" t="0" r="635" b="1905"/>
                  <wp:docPr id="1044291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91919" name=""/>
                          <pic:cNvPicPr/>
                        </pic:nvPicPr>
                        <pic:blipFill>
                          <a:blip r:embed="rId71"/>
                          <a:stretch>
                            <a:fillRect/>
                          </a:stretch>
                        </pic:blipFill>
                        <pic:spPr>
                          <a:xfrm>
                            <a:off x="0" y="0"/>
                            <a:ext cx="2969466" cy="1438173"/>
                          </a:xfrm>
                          <a:prstGeom prst="rect">
                            <a:avLst/>
                          </a:prstGeom>
                        </pic:spPr>
                      </pic:pic>
                    </a:graphicData>
                  </a:graphic>
                </wp:inline>
              </w:drawing>
            </w:r>
          </w:p>
        </w:tc>
      </w:tr>
    </w:tbl>
    <w:p w14:paraId="2AAC5E3E" w14:textId="489F34B0" w:rsidR="00244AD9" w:rsidRPr="00F569AE" w:rsidRDefault="001D409A" w:rsidP="00CA03F6">
      <w:pPr>
        <w:pStyle w:val="p1"/>
        <w:spacing w:line="276" w:lineRule="auto"/>
        <w:jc w:val="both"/>
        <w:rPr>
          <w:rFonts w:ascii="Calibri" w:hAnsi="Calibri" w:cs="Calibri"/>
          <w:i/>
          <w:color w:val="auto"/>
          <w:sz w:val="20"/>
          <w:szCs w:val="20"/>
        </w:rPr>
      </w:pPr>
      <w:r w:rsidRPr="00F569AE">
        <w:rPr>
          <w:rFonts w:ascii="Calibri" w:hAnsi="Calibri" w:cs="Calibri"/>
          <w:i/>
          <w:color w:val="auto"/>
          <w:sz w:val="20"/>
          <w:szCs w:val="20"/>
        </w:rPr>
        <w:t xml:space="preserve">Data from survey administered among partner LGs and their WUCs. </w:t>
      </w:r>
      <w:r w:rsidR="007C2A7D" w:rsidRPr="00F569AE">
        <w:rPr>
          <w:rFonts w:ascii="Calibri" w:hAnsi="Calibri" w:cs="Calibri"/>
          <w:i/>
          <w:color w:val="auto"/>
          <w:sz w:val="20"/>
          <w:szCs w:val="20"/>
        </w:rPr>
        <w:t>Complete list of findings</w:t>
      </w:r>
      <w:r w:rsidRPr="00F569AE">
        <w:rPr>
          <w:rFonts w:ascii="Calibri" w:hAnsi="Calibri" w:cs="Calibri"/>
          <w:i/>
          <w:color w:val="auto"/>
          <w:sz w:val="20"/>
          <w:szCs w:val="20"/>
        </w:rPr>
        <w:t xml:space="preserve"> of </w:t>
      </w:r>
      <w:r w:rsidR="007C2A7D" w:rsidRPr="00F569AE">
        <w:rPr>
          <w:rFonts w:ascii="Calibri" w:hAnsi="Calibri" w:cs="Calibri"/>
          <w:i/>
          <w:color w:val="auto"/>
          <w:sz w:val="20"/>
          <w:szCs w:val="20"/>
        </w:rPr>
        <w:t>both</w:t>
      </w:r>
      <w:r w:rsidRPr="00F569AE">
        <w:rPr>
          <w:rFonts w:ascii="Calibri" w:hAnsi="Calibri" w:cs="Calibri"/>
          <w:i/>
          <w:color w:val="auto"/>
          <w:sz w:val="20"/>
          <w:szCs w:val="20"/>
        </w:rPr>
        <w:t xml:space="preserve"> surve</w:t>
      </w:r>
      <w:r w:rsidR="007C2A7D" w:rsidRPr="00F569AE">
        <w:rPr>
          <w:rFonts w:ascii="Calibri" w:hAnsi="Calibri" w:cs="Calibri"/>
          <w:i/>
          <w:color w:val="auto"/>
          <w:sz w:val="20"/>
          <w:szCs w:val="20"/>
        </w:rPr>
        <w:t>ys</w:t>
      </w:r>
      <w:r w:rsidRPr="00F569AE">
        <w:rPr>
          <w:rFonts w:ascii="Calibri" w:hAnsi="Calibri" w:cs="Calibri"/>
          <w:i/>
          <w:color w:val="auto"/>
          <w:sz w:val="20"/>
          <w:szCs w:val="20"/>
        </w:rPr>
        <w:t xml:space="preserve"> is provided in Annex </w:t>
      </w:r>
      <w:r w:rsidR="009E7888" w:rsidRPr="00F569AE">
        <w:rPr>
          <w:rFonts w:ascii="Calibri" w:hAnsi="Calibri" w:cs="Calibri"/>
          <w:i/>
          <w:color w:val="auto"/>
          <w:sz w:val="20"/>
          <w:szCs w:val="20"/>
        </w:rPr>
        <w:t>8</w:t>
      </w:r>
      <w:r w:rsidRPr="00F569AE">
        <w:rPr>
          <w:rFonts w:ascii="Calibri" w:hAnsi="Calibri" w:cs="Calibri"/>
          <w:i/>
          <w:color w:val="auto"/>
          <w:sz w:val="20"/>
          <w:szCs w:val="20"/>
        </w:rPr>
        <w:t>.</w:t>
      </w:r>
    </w:p>
    <w:p w14:paraId="6AF10A80" w14:textId="77777777" w:rsidR="001D409A" w:rsidRPr="00F569AE" w:rsidRDefault="001D409A" w:rsidP="00CA03F6">
      <w:pPr>
        <w:pStyle w:val="p1"/>
        <w:spacing w:line="276" w:lineRule="auto"/>
        <w:jc w:val="both"/>
        <w:rPr>
          <w:rFonts w:ascii="Calibri" w:hAnsi="Calibri" w:cs="Calibri"/>
          <w:b/>
          <w:color w:val="auto"/>
          <w:sz w:val="20"/>
          <w:szCs w:val="20"/>
        </w:rPr>
      </w:pPr>
    </w:p>
    <w:p w14:paraId="7C1EF4F9" w14:textId="68C24AE3" w:rsidR="008C37DB" w:rsidRDefault="00D67210" w:rsidP="006C530E">
      <w:pPr>
        <w:pStyle w:val="p1"/>
        <w:numPr>
          <w:ilvl w:val="0"/>
          <w:numId w:val="42"/>
        </w:numPr>
        <w:spacing w:line="276" w:lineRule="auto"/>
        <w:jc w:val="both"/>
        <w:rPr>
          <w:rFonts w:ascii="Calibri" w:hAnsi="Calibri" w:cs="Calibri"/>
          <w:color w:val="auto"/>
          <w:sz w:val="24"/>
          <w:szCs w:val="24"/>
        </w:rPr>
      </w:pPr>
      <w:r w:rsidRPr="004E4AFA">
        <w:rPr>
          <w:rFonts w:ascii="Calibri" w:hAnsi="Calibri" w:cs="Calibri"/>
          <w:b/>
          <w:i/>
          <w:color w:val="auto"/>
          <w:sz w:val="24"/>
          <w:szCs w:val="24"/>
        </w:rPr>
        <w:t xml:space="preserve">Relevance of the project design </w:t>
      </w:r>
      <w:r>
        <w:rPr>
          <w:rFonts w:ascii="Calibri" w:hAnsi="Calibri" w:cs="Calibri"/>
          <w:b/>
          <w:i/>
          <w:color w:val="auto"/>
          <w:sz w:val="24"/>
          <w:szCs w:val="24"/>
        </w:rPr>
        <w:t>from inclusivity perspective</w:t>
      </w:r>
    </w:p>
    <w:p w14:paraId="0FA71692" w14:textId="4C8B0B37" w:rsidR="004F6592" w:rsidRDefault="36C126C0" w:rsidP="00C8374F">
      <w:pPr>
        <w:pStyle w:val="p1"/>
        <w:spacing w:line="276" w:lineRule="auto"/>
        <w:jc w:val="both"/>
        <w:rPr>
          <w:rFonts w:ascii="Calibri" w:hAnsi="Calibri" w:cs="Calibri"/>
          <w:color w:val="auto"/>
          <w:sz w:val="24"/>
          <w:szCs w:val="24"/>
        </w:rPr>
      </w:pPr>
      <w:r w:rsidRPr="00F569AE">
        <w:rPr>
          <w:rFonts w:ascii="Calibri" w:hAnsi="Calibri" w:cs="Calibri"/>
          <w:color w:val="auto"/>
          <w:sz w:val="24"/>
          <w:szCs w:val="24"/>
        </w:rPr>
        <w:t xml:space="preserve">The project </w:t>
      </w:r>
      <w:r w:rsidR="00D67210">
        <w:rPr>
          <w:rFonts w:ascii="Calibri" w:hAnsi="Calibri" w:cs="Calibri"/>
          <w:color w:val="auto"/>
          <w:sz w:val="24"/>
          <w:szCs w:val="24"/>
        </w:rPr>
        <w:t>design maintained explicit focus on gender maintaining and LNOB principle</w:t>
      </w:r>
      <w:r w:rsidR="00142C3F">
        <w:rPr>
          <w:rFonts w:ascii="Calibri" w:hAnsi="Calibri" w:cs="Calibri"/>
          <w:color w:val="auto"/>
          <w:sz w:val="24"/>
          <w:szCs w:val="24"/>
        </w:rPr>
        <w:t xml:space="preserve"> in the design of its interventions</w:t>
      </w:r>
      <w:r w:rsidR="00D67210">
        <w:rPr>
          <w:rFonts w:ascii="Calibri" w:hAnsi="Calibri" w:cs="Calibri"/>
          <w:color w:val="auto"/>
          <w:sz w:val="24"/>
          <w:szCs w:val="24"/>
        </w:rPr>
        <w:t xml:space="preserve">. </w:t>
      </w:r>
      <w:r w:rsidR="004F6592">
        <w:rPr>
          <w:rFonts w:ascii="Calibri" w:hAnsi="Calibri" w:cs="Calibri"/>
          <w:color w:val="auto"/>
          <w:sz w:val="24"/>
          <w:szCs w:val="24"/>
        </w:rPr>
        <w:t>While no dedicated gender analysis was carried out to inform the design of this project, it was based</w:t>
      </w:r>
      <w:r w:rsidR="00521AA2">
        <w:rPr>
          <w:rFonts w:ascii="Calibri" w:hAnsi="Calibri" w:cs="Calibri"/>
          <w:color w:val="auto"/>
          <w:sz w:val="24"/>
          <w:szCs w:val="24"/>
        </w:rPr>
        <w:t>,</w:t>
      </w:r>
      <w:r w:rsidR="004F6592">
        <w:rPr>
          <w:rFonts w:ascii="Calibri" w:hAnsi="Calibri" w:cs="Calibri"/>
          <w:color w:val="auto"/>
          <w:sz w:val="24"/>
          <w:szCs w:val="24"/>
        </w:rPr>
        <w:t xml:space="preserve"> </w:t>
      </w:r>
      <w:r w:rsidR="00521AA2">
        <w:rPr>
          <w:rFonts w:ascii="Calibri" w:hAnsi="Calibri" w:cs="Calibri"/>
          <w:color w:val="auto"/>
          <w:sz w:val="24"/>
          <w:szCs w:val="24"/>
        </w:rPr>
        <w:t xml:space="preserve">instead, </w:t>
      </w:r>
      <w:r w:rsidR="004F6592">
        <w:rPr>
          <w:rFonts w:ascii="Calibri" w:hAnsi="Calibri" w:cs="Calibri"/>
          <w:color w:val="auto"/>
          <w:sz w:val="24"/>
          <w:szCs w:val="24"/>
        </w:rPr>
        <w:t xml:space="preserve">on the </w:t>
      </w:r>
      <w:r w:rsidR="004F6592" w:rsidRPr="00C971AE">
        <w:rPr>
          <w:rFonts w:ascii="Calibri" w:hAnsi="Calibri" w:cs="Calibri"/>
          <w:color w:val="auto"/>
          <w:sz w:val="24"/>
          <w:szCs w:val="24"/>
        </w:rPr>
        <w:t>analysis of the gender equality landscape in the municipalities in BiH</w:t>
      </w:r>
      <w:r w:rsidR="004F6592" w:rsidRPr="00F569AE">
        <w:rPr>
          <w:rFonts w:ascii="Calibri" w:hAnsi="Calibri" w:cs="Calibri"/>
          <w:color w:val="auto"/>
          <w:sz w:val="24"/>
          <w:szCs w:val="24"/>
        </w:rPr>
        <w:t xml:space="preserve"> carried out by UNDP in 2017</w:t>
      </w:r>
      <w:r w:rsidR="004F6592" w:rsidRPr="00F569AE">
        <w:rPr>
          <w:rStyle w:val="FootnoteReference"/>
          <w:rFonts w:ascii="Calibri" w:hAnsi="Calibri" w:cs="Calibri"/>
          <w:color w:val="auto"/>
          <w:sz w:val="24"/>
          <w:szCs w:val="24"/>
        </w:rPr>
        <w:footnoteReference w:id="40"/>
      </w:r>
      <w:r w:rsidR="004F6592" w:rsidRPr="00F569AE">
        <w:rPr>
          <w:rFonts w:ascii="Calibri" w:hAnsi="Calibri" w:cs="Calibri"/>
          <w:color w:val="auto"/>
          <w:sz w:val="24"/>
          <w:szCs w:val="24"/>
        </w:rPr>
        <w:t xml:space="preserve"> and Development Report 2020: Social Inclusion in Bosnia and Herzegovina in 2021</w:t>
      </w:r>
      <w:r w:rsidR="00521AA2">
        <w:rPr>
          <w:rFonts w:ascii="Calibri" w:hAnsi="Calibri" w:cs="Calibri"/>
          <w:color w:val="auto"/>
          <w:sz w:val="24"/>
          <w:szCs w:val="24"/>
        </w:rPr>
        <w:t>.</w:t>
      </w:r>
      <w:r w:rsidR="004F6592" w:rsidRPr="00F569AE">
        <w:rPr>
          <w:rStyle w:val="FootnoteReference"/>
          <w:rFonts w:ascii="Calibri" w:hAnsi="Calibri" w:cs="Calibri"/>
          <w:color w:val="auto"/>
          <w:sz w:val="24"/>
          <w:szCs w:val="24"/>
        </w:rPr>
        <w:footnoteReference w:id="41"/>
      </w:r>
      <w:r w:rsidR="004F6592">
        <w:rPr>
          <w:rFonts w:ascii="Calibri" w:hAnsi="Calibri" w:cs="Calibri"/>
          <w:color w:val="auto"/>
          <w:sz w:val="24"/>
          <w:szCs w:val="24"/>
        </w:rPr>
        <w:t xml:space="preserve"> </w:t>
      </w:r>
      <w:r w:rsidR="00521AA2">
        <w:rPr>
          <w:rFonts w:ascii="Calibri" w:hAnsi="Calibri" w:cs="Calibri"/>
          <w:color w:val="auto"/>
          <w:sz w:val="24"/>
          <w:szCs w:val="24"/>
        </w:rPr>
        <w:t>These studies</w:t>
      </w:r>
      <w:r w:rsidR="004F6592">
        <w:rPr>
          <w:rFonts w:ascii="Calibri" w:hAnsi="Calibri" w:cs="Calibri"/>
          <w:color w:val="auto"/>
          <w:sz w:val="24"/>
          <w:szCs w:val="24"/>
        </w:rPr>
        <w:t xml:space="preserve"> served as the gender and inclusivity analysis for all projects </w:t>
      </w:r>
      <w:r w:rsidR="004F6592" w:rsidRPr="00F569AE">
        <w:rPr>
          <w:rFonts w:ascii="Calibri" w:hAnsi="Calibri" w:cs="Calibri"/>
          <w:color w:val="auto"/>
          <w:sz w:val="24"/>
          <w:szCs w:val="24"/>
        </w:rPr>
        <w:t>under Governance portfolio within the UNDP BiH.</w:t>
      </w:r>
    </w:p>
    <w:p w14:paraId="2AC2C4D9" w14:textId="77777777" w:rsidR="004F6592" w:rsidRDefault="004F6592" w:rsidP="00C8374F">
      <w:pPr>
        <w:pStyle w:val="p1"/>
        <w:spacing w:line="276" w:lineRule="auto"/>
        <w:jc w:val="both"/>
        <w:rPr>
          <w:rFonts w:ascii="Calibri" w:hAnsi="Calibri" w:cs="Calibri"/>
          <w:color w:val="auto"/>
          <w:sz w:val="24"/>
          <w:szCs w:val="24"/>
        </w:rPr>
      </w:pPr>
    </w:p>
    <w:p w14:paraId="1972A077" w14:textId="52AF63C4" w:rsidR="00142C3F" w:rsidRDefault="00EE6502" w:rsidP="00C8374F">
      <w:pPr>
        <w:pStyle w:val="p1"/>
        <w:spacing w:line="276" w:lineRule="auto"/>
        <w:jc w:val="both"/>
        <w:rPr>
          <w:rFonts w:ascii="Calibri" w:hAnsi="Calibri" w:cs="Calibri"/>
          <w:color w:val="auto"/>
          <w:sz w:val="24"/>
          <w:szCs w:val="24"/>
        </w:rPr>
      </w:pPr>
      <w:r>
        <w:rPr>
          <w:rFonts w:ascii="Calibri" w:hAnsi="Calibri" w:cs="Calibri"/>
          <w:color w:val="auto"/>
          <w:sz w:val="24"/>
          <w:szCs w:val="24"/>
        </w:rPr>
        <w:t xml:space="preserve">The project </w:t>
      </w:r>
      <w:r w:rsidR="00B82174">
        <w:rPr>
          <w:rFonts w:ascii="Calibri" w:hAnsi="Calibri" w:cs="Calibri"/>
          <w:color w:val="auto"/>
          <w:sz w:val="24"/>
          <w:szCs w:val="24"/>
        </w:rPr>
        <w:t xml:space="preserve">interventions </w:t>
      </w:r>
      <w:r>
        <w:rPr>
          <w:rFonts w:ascii="Calibri" w:hAnsi="Calibri" w:cs="Calibri"/>
          <w:color w:val="auto"/>
          <w:sz w:val="24"/>
          <w:szCs w:val="24"/>
        </w:rPr>
        <w:t>prioritized the needs of the vulnerable population</w:t>
      </w:r>
      <w:r w:rsidR="00B82174">
        <w:rPr>
          <w:rFonts w:ascii="Calibri" w:hAnsi="Calibri" w:cs="Calibri"/>
          <w:color w:val="auto"/>
          <w:sz w:val="24"/>
          <w:szCs w:val="24"/>
        </w:rPr>
        <w:t xml:space="preserve"> i.e., women, </w:t>
      </w:r>
      <w:r w:rsidR="00521AA2" w:rsidRPr="00B972F5">
        <w:rPr>
          <w:rFonts w:ascii="Calibri" w:hAnsi="Calibri" w:cs="Calibri"/>
          <w:color w:val="auto"/>
          <w:sz w:val="24"/>
          <w:szCs w:val="24"/>
        </w:rPr>
        <w:t>youth, people with disabilities, or those with restrict access to water services</w:t>
      </w:r>
      <w:r w:rsidR="00521AA2">
        <w:rPr>
          <w:rFonts w:ascii="Calibri" w:hAnsi="Calibri" w:cs="Calibri"/>
          <w:color w:val="auto"/>
          <w:sz w:val="24"/>
          <w:szCs w:val="24"/>
        </w:rPr>
        <w:t xml:space="preserve"> </w:t>
      </w:r>
      <w:r>
        <w:rPr>
          <w:rFonts w:ascii="Calibri" w:hAnsi="Calibri" w:cs="Calibri"/>
          <w:color w:val="auto"/>
          <w:sz w:val="24"/>
          <w:szCs w:val="24"/>
        </w:rPr>
        <w:t>in the partner LGs</w:t>
      </w:r>
      <w:r w:rsidR="004F6592">
        <w:rPr>
          <w:rFonts w:ascii="Calibri" w:hAnsi="Calibri" w:cs="Calibri"/>
          <w:color w:val="auto"/>
          <w:sz w:val="24"/>
          <w:szCs w:val="24"/>
        </w:rPr>
        <w:t>. It</w:t>
      </w:r>
      <w:r>
        <w:rPr>
          <w:rFonts w:ascii="Calibri" w:hAnsi="Calibri" w:cs="Calibri"/>
          <w:color w:val="auto"/>
          <w:sz w:val="24"/>
          <w:szCs w:val="24"/>
        </w:rPr>
        <w:t xml:space="preserve"> factored strongly the capacity building focus for the local institutions to better </w:t>
      </w:r>
      <w:r w:rsidRPr="00F569AE">
        <w:rPr>
          <w:rFonts w:ascii="Calibri" w:hAnsi="Calibri" w:cs="Calibri"/>
          <w:color w:val="auto"/>
          <w:sz w:val="24"/>
          <w:szCs w:val="24"/>
        </w:rPr>
        <w:t xml:space="preserve">identify, assess, and respond to social inequities in water access, </w:t>
      </w:r>
      <w:r w:rsidR="004F6592">
        <w:rPr>
          <w:rFonts w:ascii="Calibri" w:hAnsi="Calibri" w:cs="Calibri"/>
          <w:color w:val="auto"/>
          <w:sz w:val="24"/>
          <w:szCs w:val="24"/>
        </w:rPr>
        <w:t>and introduc</w:t>
      </w:r>
      <w:r w:rsidR="00521AA2">
        <w:rPr>
          <w:rFonts w:ascii="Calibri" w:hAnsi="Calibri" w:cs="Calibri"/>
          <w:color w:val="auto"/>
          <w:sz w:val="24"/>
          <w:szCs w:val="24"/>
        </w:rPr>
        <w:t>tion of</w:t>
      </w:r>
      <w:r w:rsidR="004F6592">
        <w:rPr>
          <w:rFonts w:ascii="Calibri" w:hAnsi="Calibri" w:cs="Calibri"/>
          <w:color w:val="auto"/>
          <w:sz w:val="24"/>
          <w:szCs w:val="24"/>
        </w:rPr>
        <w:t xml:space="preserve"> the water subsidy schemes.</w:t>
      </w:r>
      <w:r w:rsidR="00B82174">
        <w:rPr>
          <w:rFonts w:ascii="Calibri" w:hAnsi="Calibri" w:cs="Calibri"/>
          <w:color w:val="auto"/>
          <w:sz w:val="24"/>
          <w:szCs w:val="24"/>
        </w:rPr>
        <w:t xml:space="preserve"> For instance, t</w:t>
      </w:r>
      <w:r w:rsidR="00142C3F" w:rsidRPr="00142C3F">
        <w:rPr>
          <w:rFonts w:ascii="Calibri" w:hAnsi="Calibri" w:cs="Calibri"/>
          <w:color w:val="auto"/>
          <w:sz w:val="24"/>
          <w:szCs w:val="24"/>
        </w:rPr>
        <w:t xml:space="preserve">he limited involvement of young professionals in public utility companies was identified as a critical gap to constrain the sector's capacity to introduce and implement innovative practices. </w:t>
      </w:r>
      <w:r w:rsidR="00B82174" w:rsidRPr="00142C3F">
        <w:rPr>
          <w:rFonts w:ascii="Calibri" w:hAnsi="Calibri" w:cs="Calibri"/>
          <w:color w:val="auto"/>
          <w:sz w:val="24"/>
          <w:szCs w:val="24"/>
        </w:rPr>
        <w:t xml:space="preserve">The project </w:t>
      </w:r>
      <w:r w:rsidR="00B82174">
        <w:rPr>
          <w:rFonts w:ascii="Calibri" w:hAnsi="Calibri" w:cs="Calibri"/>
          <w:color w:val="auto"/>
          <w:sz w:val="24"/>
          <w:szCs w:val="24"/>
        </w:rPr>
        <w:t>therefore designed</w:t>
      </w:r>
      <w:r w:rsidR="00B82174" w:rsidRPr="00142C3F">
        <w:rPr>
          <w:rFonts w:ascii="Calibri" w:hAnsi="Calibri" w:cs="Calibri"/>
          <w:color w:val="auto"/>
          <w:sz w:val="24"/>
          <w:szCs w:val="24"/>
        </w:rPr>
        <w:t xml:space="preserve"> dedicated interventions aimed at involvement and skill-building of youth water professionals under Outcome 3.</w:t>
      </w:r>
    </w:p>
    <w:p w14:paraId="584152DC" w14:textId="77777777" w:rsidR="00C8374F" w:rsidRPr="00F569AE" w:rsidRDefault="00C8374F" w:rsidP="00F91BD3">
      <w:pPr>
        <w:pStyle w:val="p1"/>
        <w:spacing w:line="276" w:lineRule="auto"/>
        <w:jc w:val="both"/>
        <w:rPr>
          <w:rFonts w:ascii="Calibri" w:hAnsi="Calibri" w:cs="Calibri"/>
          <w:color w:val="auto"/>
          <w:sz w:val="24"/>
          <w:szCs w:val="24"/>
        </w:rPr>
      </w:pPr>
    </w:p>
    <w:p w14:paraId="07E4A30A" w14:textId="5FE54ADB" w:rsidR="00142C3F" w:rsidRDefault="00761B7E" w:rsidP="00980BAE">
      <w:pPr>
        <w:pStyle w:val="p1"/>
        <w:spacing w:line="276" w:lineRule="auto"/>
        <w:jc w:val="both"/>
        <w:rPr>
          <w:rFonts w:ascii="Calibri" w:hAnsi="Calibri" w:cs="Calibri"/>
          <w:color w:val="auto"/>
          <w:sz w:val="24"/>
          <w:szCs w:val="24"/>
        </w:rPr>
      </w:pPr>
      <w:r w:rsidRPr="00F569AE">
        <w:rPr>
          <w:rFonts w:ascii="Calibri" w:hAnsi="Calibri" w:cs="Calibri"/>
          <w:color w:val="auto"/>
          <w:sz w:val="24"/>
          <w:szCs w:val="24"/>
        </w:rPr>
        <w:t xml:space="preserve">Additionally, the project placed a strong emphasis on enhancing </w:t>
      </w:r>
      <w:r w:rsidRPr="00142C3F">
        <w:rPr>
          <w:rFonts w:ascii="Calibri" w:hAnsi="Calibri" w:cs="Calibri"/>
          <w:color w:val="auto"/>
          <w:sz w:val="24"/>
          <w:szCs w:val="24"/>
        </w:rPr>
        <w:t xml:space="preserve">citizens’ involvement in </w:t>
      </w:r>
      <w:r w:rsidR="00473E50" w:rsidRPr="00142C3F">
        <w:rPr>
          <w:rFonts w:ascii="Calibri" w:hAnsi="Calibri" w:cs="Calibri"/>
          <w:color w:val="auto"/>
          <w:sz w:val="24"/>
          <w:szCs w:val="24"/>
        </w:rPr>
        <w:t xml:space="preserve">municipal </w:t>
      </w:r>
      <w:r w:rsidRPr="00142C3F">
        <w:rPr>
          <w:rFonts w:ascii="Calibri" w:hAnsi="Calibri" w:cs="Calibri"/>
          <w:color w:val="auto"/>
          <w:sz w:val="24"/>
          <w:szCs w:val="24"/>
        </w:rPr>
        <w:t xml:space="preserve">decision-making </w:t>
      </w:r>
      <w:r w:rsidRPr="00F569AE">
        <w:rPr>
          <w:rFonts w:ascii="Calibri" w:hAnsi="Calibri" w:cs="Calibri"/>
          <w:color w:val="auto"/>
          <w:sz w:val="24"/>
          <w:szCs w:val="24"/>
        </w:rPr>
        <w:t xml:space="preserve">by making it a key indicator within the </w:t>
      </w:r>
      <w:r w:rsidR="00F91BD3" w:rsidRPr="00F569AE">
        <w:rPr>
          <w:rFonts w:ascii="Calibri" w:hAnsi="Calibri" w:cs="Calibri"/>
          <w:i/>
          <w:color w:val="auto"/>
          <w:sz w:val="24"/>
          <w:szCs w:val="24"/>
        </w:rPr>
        <w:t xml:space="preserve">Field-C: </w:t>
      </w:r>
      <w:r w:rsidR="0007186F" w:rsidRPr="00F569AE">
        <w:rPr>
          <w:rFonts w:ascii="Calibri" w:hAnsi="Calibri" w:cs="Calibri"/>
          <w:i/>
          <w:color w:val="auto"/>
          <w:sz w:val="24"/>
          <w:szCs w:val="24"/>
        </w:rPr>
        <w:t xml:space="preserve">Citizens' </w:t>
      </w:r>
      <w:r w:rsidR="00F91BD3" w:rsidRPr="00F569AE">
        <w:rPr>
          <w:rFonts w:ascii="Calibri" w:hAnsi="Calibri" w:cs="Calibri"/>
          <w:i/>
          <w:color w:val="auto"/>
          <w:sz w:val="24"/>
          <w:szCs w:val="24"/>
        </w:rPr>
        <w:t>participation in decision-making</w:t>
      </w:r>
      <w:r w:rsidR="00F91BD3" w:rsidRPr="00F569AE">
        <w:rPr>
          <w:rFonts w:ascii="Calibri" w:hAnsi="Calibri" w:cs="Calibri"/>
          <w:color w:val="auto"/>
          <w:sz w:val="24"/>
          <w:szCs w:val="24"/>
        </w:rPr>
        <w:t xml:space="preserve"> in the </w:t>
      </w:r>
      <w:r w:rsidRPr="00F569AE">
        <w:rPr>
          <w:rFonts w:ascii="Calibri" w:hAnsi="Calibri" w:cs="Calibri"/>
          <w:color w:val="auto"/>
          <w:sz w:val="24"/>
          <w:szCs w:val="24"/>
        </w:rPr>
        <w:t>municipalities’ medium-term action plans</w:t>
      </w:r>
      <w:r w:rsidR="00680288" w:rsidRPr="00F569AE">
        <w:rPr>
          <w:rFonts w:ascii="Calibri" w:hAnsi="Calibri" w:cs="Calibri"/>
          <w:color w:val="auto"/>
          <w:sz w:val="24"/>
          <w:szCs w:val="24"/>
        </w:rPr>
        <w:t xml:space="preserve"> (MAPs)</w:t>
      </w:r>
      <w:r w:rsidRPr="00F569AE">
        <w:rPr>
          <w:rFonts w:ascii="Calibri" w:hAnsi="Calibri" w:cs="Calibri"/>
          <w:color w:val="auto"/>
          <w:sz w:val="24"/>
          <w:szCs w:val="24"/>
        </w:rPr>
        <w:t xml:space="preserve">. </w:t>
      </w:r>
      <w:r w:rsidR="00521AA2" w:rsidRPr="00F569AE">
        <w:rPr>
          <w:rFonts w:ascii="Calibri" w:hAnsi="Calibri" w:cs="Calibri"/>
          <w:color w:val="auto"/>
          <w:sz w:val="24"/>
          <w:szCs w:val="24"/>
        </w:rPr>
        <w:t>Although</w:t>
      </w:r>
      <w:r w:rsidR="00B82174">
        <w:rPr>
          <w:rFonts w:ascii="Calibri" w:hAnsi="Calibri" w:cs="Calibri"/>
          <w:color w:val="auto"/>
          <w:sz w:val="24"/>
          <w:szCs w:val="24"/>
        </w:rPr>
        <w:t xml:space="preserve">, through </w:t>
      </w:r>
      <w:r w:rsidR="00B82174" w:rsidRPr="00F569AE">
        <w:rPr>
          <w:rFonts w:ascii="Calibri" w:hAnsi="Calibri" w:cs="Calibri"/>
          <w:color w:val="auto"/>
          <w:sz w:val="24"/>
          <w:szCs w:val="24"/>
        </w:rPr>
        <w:t>factor</w:t>
      </w:r>
      <w:r w:rsidR="00B82174">
        <w:rPr>
          <w:rFonts w:ascii="Calibri" w:hAnsi="Calibri" w:cs="Calibri"/>
          <w:color w:val="auto"/>
          <w:sz w:val="24"/>
          <w:szCs w:val="24"/>
        </w:rPr>
        <w:t>ing</w:t>
      </w:r>
      <w:r w:rsidR="00B82174" w:rsidRPr="00F569AE">
        <w:rPr>
          <w:rFonts w:ascii="Calibri" w:hAnsi="Calibri" w:cs="Calibri"/>
          <w:color w:val="auto"/>
          <w:sz w:val="24"/>
          <w:szCs w:val="24"/>
        </w:rPr>
        <w:t xml:space="preserve"> relevant indicator in the PMS</w:t>
      </w:r>
      <w:r w:rsidR="00B82174">
        <w:rPr>
          <w:rFonts w:ascii="Calibri" w:hAnsi="Calibri" w:cs="Calibri"/>
          <w:color w:val="auto"/>
          <w:sz w:val="24"/>
          <w:szCs w:val="24"/>
        </w:rPr>
        <w:t>,</w:t>
      </w:r>
      <w:r w:rsidR="00521AA2" w:rsidRPr="00F569AE">
        <w:rPr>
          <w:rFonts w:ascii="Calibri" w:hAnsi="Calibri" w:cs="Calibri"/>
          <w:color w:val="auto"/>
          <w:sz w:val="24"/>
          <w:szCs w:val="24"/>
        </w:rPr>
        <w:t xml:space="preserve"> the project </w:t>
      </w:r>
      <w:r w:rsidR="00B82174">
        <w:rPr>
          <w:rFonts w:ascii="Calibri" w:hAnsi="Calibri" w:cs="Calibri"/>
          <w:color w:val="auto"/>
          <w:sz w:val="24"/>
          <w:szCs w:val="24"/>
        </w:rPr>
        <w:t xml:space="preserve">design </w:t>
      </w:r>
      <w:r w:rsidR="00521AA2" w:rsidRPr="00F569AE">
        <w:rPr>
          <w:rFonts w:ascii="Calibri" w:hAnsi="Calibri" w:cs="Calibri"/>
          <w:color w:val="auto"/>
          <w:sz w:val="24"/>
          <w:szCs w:val="24"/>
        </w:rPr>
        <w:t xml:space="preserve">encouraged partner LGs to collaborate with civil society organizations (CSOs), it </w:t>
      </w:r>
      <w:r w:rsidR="00521AA2" w:rsidRPr="00521AA2">
        <w:rPr>
          <w:rFonts w:ascii="Calibri" w:hAnsi="Calibri" w:cs="Calibri"/>
          <w:color w:val="auto"/>
          <w:sz w:val="24"/>
          <w:szCs w:val="24"/>
        </w:rPr>
        <w:t>did not directly engag</w:t>
      </w:r>
      <w:r w:rsidR="001B59CF">
        <w:rPr>
          <w:rFonts w:ascii="Calibri" w:hAnsi="Calibri" w:cs="Calibri"/>
          <w:color w:val="auto"/>
          <w:sz w:val="24"/>
          <w:szCs w:val="24"/>
        </w:rPr>
        <w:t>e</w:t>
      </w:r>
      <w:r w:rsidR="00521AA2" w:rsidRPr="00521AA2">
        <w:rPr>
          <w:rFonts w:ascii="Calibri" w:hAnsi="Calibri" w:cs="Calibri"/>
          <w:color w:val="auto"/>
          <w:sz w:val="24"/>
          <w:szCs w:val="24"/>
        </w:rPr>
        <w:t xml:space="preserve"> </w:t>
      </w:r>
      <w:r w:rsidR="00521AA2" w:rsidRPr="00521AA2">
        <w:rPr>
          <w:rFonts w:ascii="Calibri" w:hAnsi="Calibri" w:cs="Calibri"/>
          <w:color w:val="auto"/>
          <w:sz w:val="24"/>
          <w:szCs w:val="24"/>
        </w:rPr>
        <w:lastRenderedPageBreak/>
        <w:t>the CSOs</w:t>
      </w:r>
      <w:r w:rsidR="00521AA2" w:rsidRPr="00F569AE">
        <w:rPr>
          <w:rFonts w:ascii="Calibri" w:hAnsi="Calibri" w:cs="Calibri"/>
          <w:color w:val="auto"/>
          <w:sz w:val="24"/>
          <w:szCs w:val="24"/>
        </w:rPr>
        <w:t xml:space="preserve"> </w:t>
      </w:r>
      <w:r w:rsidR="00521AA2">
        <w:rPr>
          <w:rFonts w:ascii="Calibri" w:hAnsi="Calibri" w:cs="Calibri"/>
          <w:color w:val="auto"/>
          <w:sz w:val="24"/>
          <w:szCs w:val="24"/>
        </w:rPr>
        <w:t>to build their capacities and capabilities to</w:t>
      </w:r>
      <w:r w:rsidR="00521AA2" w:rsidRPr="00F569AE">
        <w:rPr>
          <w:rFonts w:ascii="Calibri" w:hAnsi="Calibri" w:cs="Calibri"/>
          <w:color w:val="auto"/>
          <w:sz w:val="24"/>
          <w:szCs w:val="24"/>
        </w:rPr>
        <w:t xml:space="preserve"> strengthen their public oversight </w:t>
      </w:r>
      <w:r w:rsidR="00521AA2">
        <w:rPr>
          <w:rFonts w:ascii="Calibri" w:hAnsi="Calibri" w:cs="Calibri"/>
          <w:color w:val="auto"/>
          <w:sz w:val="24"/>
          <w:szCs w:val="24"/>
        </w:rPr>
        <w:t xml:space="preserve">function </w:t>
      </w:r>
      <w:r w:rsidR="00521AA2" w:rsidRPr="00F569AE">
        <w:rPr>
          <w:rFonts w:ascii="Calibri" w:hAnsi="Calibri" w:cs="Calibri"/>
          <w:color w:val="auto"/>
          <w:sz w:val="24"/>
          <w:szCs w:val="24"/>
        </w:rPr>
        <w:t>and civic scrutiny role</w:t>
      </w:r>
      <w:r w:rsidR="00B82174">
        <w:rPr>
          <w:rFonts w:ascii="Calibri" w:hAnsi="Calibri" w:cs="Calibri"/>
          <w:color w:val="auto"/>
          <w:sz w:val="24"/>
          <w:szCs w:val="24"/>
        </w:rPr>
        <w:t>. This</w:t>
      </w:r>
      <w:r w:rsidR="00521AA2" w:rsidRPr="00F569AE">
        <w:rPr>
          <w:rFonts w:ascii="Calibri" w:hAnsi="Calibri" w:cs="Calibri"/>
          <w:color w:val="auto"/>
          <w:sz w:val="24"/>
          <w:szCs w:val="24"/>
        </w:rPr>
        <w:t xml:space="preserve"> </w:t>
      </w:r>
      <w:r w:rsidR="00521AA2">
        <w:rPr>
          <w:rFonts w:ascii="Calibri" w:hAnsi="Calibri" w:cs="Calibri"/>
          <w:color w:val="auto"/>
          <w:sz w:val="24"/>
          <w:szCs w:val="24"/>
        </w:rPr>
        <w:t>was</w:t>
      </w:r>
      <w:r w:rsidR="00521AA2" w:rsidRPr="00F569AE">
        <w:rPr>
          <w:rFonts w:ascii="Calibri" w:hAnsi="Calibri" w:cs="Calibri"/>
          <w:color w:val="auto"/>
          <w:sz w:val="24"/>
          <w:szCs w:val="24"/>
        </w:rPr>
        <w:t xml:space="preserve"> a missed opportunity for </w:t>
      </w:r>
      <w:r w:rsidR="00521AA2">
        <w:rPr>
          <w:rFonts w:ascii="Calibri" w:hAnsi="Calibri" w:cs="Calibri"/>
          <w:color w:val="auto"/>
          <w:sz w:val="24"/>
          <w:szCs w:val="24"/>
        </w:rPr>
        <w:t xml:space="preserve">shaping </w:t>
      </w:r>
      <w:r w:rsidR="00521AA2" w:rsidRPr="00F569AE">
        <w:rPr>
          <w:rFonts w:ascii="Calibri" w:hAnsi="Calibri" w:cs="Calibri"/>
          <w:color w:val="auto"/>
          <w:sz w:val="24"/>
          <w:szCs w:val="24"/>
        </w:rPr>
        <w:t>greater civic oversight</w:t>
      </w:r>
      <w:r w:rsidR="00B82174">
        <w:rPr>
          <w:rFonts w:ascii="Calibri" w:hAnsi="Calibri" w:cs="Calibri"/>
          <w:color w:val="auto"/>
          <w:sz w:val="24"/>
          <w:szCs w:val="24"/>
        </w:rPr>
        <w:t xml:space="preserve"> </w:t>
      </w:r>
      <w:r w:rsidR="00603815">
        <w:rPr>
          <w:rFonts w:ascii="Calibri" w:hAnsi="Calibri" w:cs="Calibri"/>
          <w:color w:val="auto"/>
          <w:sz w:val="24"/>
          <w:szCs w:val="24"/>
        </w:rPr>
        <w:t xml:space="preserve">by </w:t>
      </w:r>
      <w:r w:rsidR="00B82174">
        <w:rPr>
          <w:rFonts w:ascii="Calibri" w:hAnsi="Calibri" w:cs="Calibri"/>
          <w:color w:val="auto"/>
          <w:sz w:val="24"/>
          <w:szCs w:val="24"/>
        </w:rPr>
        <w:t>the civil society who perform a watchdog role</w:t>
      </w:r>
      <w:r w:rsidR="00B82174" w:rsidRPr="00F569AE">
        <w:rPr>
          <w:rFonts w:ascii="Calibri" w:hAnsi="Calibri" w:cs="Calibri"/>
          <w:color w:val="auto"/>
          <w:sz w:val="24"/>
          <w:szCs w:val="24"/>
        </w:rPr>
        <w:t xml:space="preserve"> </w:t>
      </w:r>
      <w:r w:rsidR="00B82174">
        <w:rPr>
          <w:rFonts w:ascii="Calibri" w:hAnsi="Calibri" w:cs="Calibri"/>
          <w:color w:val="auto"/>
          <w:sz w:val="24"/>
          <w:szCs w:val="24"/>
        </w:rPr>
        <w:t>to promote accountability of the LGs and improved service delivery of the WUCs.</w:t>
      </w:r>
    </w:p>
    <w:p w14:paraId="020B7FCF" w14:textId="77777777" w:rsidR="00D45CF0" w:rsidRPr="00F569AE" w:rsidRDefault="00D45CF0" w:rsidP="00D45CF0">
      <w:pPr>
        <w:pStyle w:val="p1"/>
        <w:spacing w:line="276" w:lineRule="auto"/>
        <w:jc w:val="both"/>
        <w:rPr>
          <w:rFonts w:ascii="Calibri" w:hAnsi="Calibri" w:cs="Calibri"/>
          <w:color w:val="auto"/>
          <w:sz w:val="24"/>
          <w:szCs w:val="24"/>
        </w:rPr>
      </w:pPr>
    </w:p>
    <w:p w14:paraId="0C829511" w14:textId="73BF58AA" w:rsidR="00F812FA" w:rsidRPr="00F569AE" w:rsidRDefault="00CA03F6" w:rsidP="00E92E7C">
      <w:pPr>
        <w:spacing w:line="276" w:lineRule="auto"/>
        <w:jc w:val="both"/>
        <w:rPr>
          <w:rFonts w:ascii="Calibri" w:hAnsi="Calibri" w:cs="Calibri"/>
          <w:i/>
          <w:lang w:val="en-US"/>
        </w:rPr>
      </w:pPr>
      <w:r w:rsidRPr="00F569AE">
        <w:rPr>
          <w:rFonts w:ascii="Calibri" w:hAnsi="Calibri" w:cs="Calibri"/>
          <w:i/>
          <w:lang w:val="en-US"/>
        </w:rPr>
        <w:t xml:space="preserve">3. How agile was the project </w:t>
      </w:r>
      <w:r w:rsidR="005847C6" w:rsidRPr="00F569AE">
        <w:rPr>
          <w:rFonts w:ascii="Calibri" w:hAnsi="Calibri" w:cs="Calibri"/>
          <w:i/>
          <w:lang w:val="en-US"/>
        </w:rPr>
        <w:t>strategic focus</w:t>
      </w:r>
      <w:r w:rsidRPr="00F569AE">
        <w:rPr>
          <w:rFonts w:ascii="Calibri" w:hAnsi="Calibri" w:cs="Calibri"/>
          <w:i/>
          <w:lang w:val="en-US"/>
        </w:rPr>
        <w:t xml:space="preserve"> to changing context?</w:t>
      </w:r>
    </w:p>
    <w:p w14:paraId="1F8B23D3" w14:textId="2DE45BF7" w:rsidR="003703ED" w:rsidRDefault="00F36950" w:rsidP="003703ED">
      <w:pPr>
        <w:spacing w:line="276" w:lineRule="auto"/>
        <w:jc w:val="both"/>
        <w:rPr>
          <w:rFonts w:ascii="Calibri" w:hAnsi="Calibri" w:cs="Calibri"/>
          <w:lang w:val="en-US"/>
        </w:rPr>
      </w:pPr>
      <w:r w:rsidRPr="00F569AE">
        <w:rPr>
          <w:rFonts w:ascii="Calibri" w:hAnsi="Calibri" w:cs="Calibri"/>
          <w:lang w:val="en-US"/>
        </w:rPr>
        <w:t xml:space="preserve">The project was designed to reflect the critical system gaps in water sector in </w:t>
      </w:r>
      <w:r w:rsidR="00385B1D" w:rsidRPr="00F569AE">
        <w:rPr>
          <w:rFonts w:ascii="Calibri" w:hAnsi="Calibri" w:cs="Calibri"/>
          <w:lang w:val="en-US"/>
        </w:rPr>
        <w:t>BiH</w:t>
      </w:r>
      <w:r w:rsidRPr="00F569AE">
        <w:rPr>
          <w:rFonts w:ascii="Calibri" w:hAnsi="Calibri" w:cs="Calibri"/>
          <w:lang w:val="en-US"/>
        </w:rPr>
        <w:t xml:space="preserve">. </w:t>
      </w:r>
      <w:r w:rsidR="003703ED">
        <w:rPr>
          <w:rFonts w:ascii="Calibri" w:hAnsi="Calibri" w:cs="Calibri"/>
          <w:lang w:val="en-US"/>
        </w:rPr>
        <w:t xml:space="preserve">Annex 6 </w:t>
      </w:r>
      <w:r w:rsidR="003703ED" w:rsidRPr="00B86DD5">
        <w:rPr>
          <w:rFonts w:ascii="Calibri" w:hAnsi="Calibri" w:cs="Calibri"/>
          <w:lang w:val="en-US"/>
        </w:rPr>
        <w:t>indicate</w:t>
      </w:r>
      <w:r w:rsidR="003703ED">
        <w:rPr>
          <w:rFonts w:ascii="Calibri" w:hAnsi="Calibri" w:cs="Calibri"/>
          <w:lang w:val="en-US"/>
        </w:rPr>
        <w:t>s</w:t>
      </w:r>
      <w:r w:rsidR="003703ED" w:rsidRPr="00B86DD5">
        <w:rPr>
          <w:rFonts w:ascii="Calibri" w:hAnsi="Calibri" w:cs="Calibri"/>
          <w:lang w:val="en-US"/>
        </w:rPr>
        <w:t xml:space="preserve"> that the main systemic challenges remained largely unchanged throughout the project implementation, confirming relevance of the project focus at the strategic level</w:t>
      </w:r>
      <w:r w:rsidR="003703ED">
        <w:rPr>
          <w:rFonts w:ascii="Calibri" w:hAnsi="Calibri" w:cs="Calibri"/>
          <w:lang w:val="en-US"/>
        </w:rPr>
        <w:t xml:space="preserve"> and indicating the persistence and enduring nature of those challenges</w:t>
      </w:r>
      <w:r w:rsidR="003703ED" w:rsidRPr="00B86DD5">
        <w:rPr>
          <w:rFonts w:ascii="Calibri" w:hAnsi="Calibri" w:cs="Calibri"/>
          <w:lang w:val="en-US"/>
        </w:rPr>
        <w:t xml:space="preserve">. </w:t>
      </w:r>
    </w:p>
    <w:p w14:paraId="0C6F69C5" w14:textId="37EA2082" w:rsidR="003703ED" w:rsidRDefault="003703ED" w:rsidP="00CA4A4E">
      <w:pPr>
        <w:spacing w:line="276" w:lineRule="auto"/>
        <w:jc w:val="both"/>
        <w:rPr>
          <w:rFonts w:ascii="Calibri" w:hAnsi="Calibri" w:cs="Calibri"/>
          <w:lang w:val="en-US"/>
        </w:rPr>
      </w:pPr>
    </w:p>
    <w:p w14:paraId="33C093A3" w14:textId="77777777" w:rsidR="009474EC" w:rsidRPr="00F569AE" w:rsidRDefault="009474EC" w:rsidP="00A0025F">
      <w:pPr>
        <w:pStyle w:val="p1"/>
        <w:rPr>
          <w:rFonts w:ascii="Calibri" w:hAnsi="Calibri" w:cs="Calibri"/>
          <w:b/>
          <w:color w:val="auto"/>
          <w:sz w:val="24"/>
          <w:szCs w:val="24"/>
        </w:rPr>
      </w:pPr>
    </w:p>
    <w:p w14:paraId="2C4AEF2E" w14:textId="73666204" w:rsidR="007A739E" w:rsidRPr="00F569AE" w:rsidRDefault="0022490F" w:rsidP="00CB0E2A">
      <w:pPr>
        <w:pStyle w:val="p1"/>
        <w:spacing w:line="276" w:lineRule="auto"/>
        <w:rPr>
          <w:rFonts w:ascii="Calibri" w:hAnsi="Calibri" w:cs="Calibri"/>
          <w:b/>
          <w:color w:val="auto"/>
          <w:sz w:val="26"/>
          <w:szCs w:val="26"/>
        </w:rPr>
      </w:pPr>
      <w:r w:rsidRPr="00F569AE">
        <w:rPr>
          <w:rFonts w:ascii="Calibri" w:hAnsi="Calibri" w:cs="Calibri"/>
          <w:b/>
          <w:color w:val="auto"/>
          <w:sz w:val="26"/>
          <w:szCs w:val="26"/>
        </w:rPr>
        <w:t xml:space="preserve">Coherence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3F0CE2" w:rsidRPr="00F569AE" w14:paraId="18486453" w14:textId="77777777" w:rsidTr="003F0CE2">
        <w:tc>
          <w:tcPr>
            <w:tcW w:w="9010" w:type="dxa"/>
            <w:shd w:val="clear" w:color="auto" w:fill="F2F2F2" w:themeFill="background1" w:themeFillShade="F2"/>
          </w:tcPr>
          <w:p w14:paraId="36D838CD" w14:textId="34AB3ECF" w:rsidR="00E34532" w:rsidRPr="00F569AE" w:rsidRDefault="00D075CF" w:rsidP="00E34532">
            <w:pPr>
              <w:spacing w:line="276" w:lineRule="auto"/>
              <w:jc w:val="both"/>
              <w:rPr>
                <w:rFonts w:ascii="Calibri" w:hAnsi="Calibri" w:cs="Calibri"/>
                <w:lang w:val="en-US"/>
              </w:rPr>
            </w:pPr>
            <w:r>
              <w:rPr>
                <w:rFonts w:ascii="Calibri" w:hAnsi="Calibri" w:cs="Calibri"/>
                <w:lang w:val="en-US"/>
              </w:rPr>
              <w:t xml:space="preserve">The MEG project demonstrated solid external and internal coherence. </w:t>
            </w:r>
            <w:r w:rsidR="00E34532" w:rsidRPr="00F569AE">
              <w:rPr>
                <w:rFonts w:ascii="Calibri" w:hAnsi="Calibri" w:cs="Calibri"/>
                <w:lang w:val="en-US"/>
              </w:rPr>
              <w:t xml:space="preserve">Since its inception in 2016, the MEG programme has become a flagship initiative driving the modernization of water service sector in BiH. The MEG process and </w:t>
            </w:r>
            <w:r w:rsidR="00E34532">
              <w:rPr>
                <w:rFonts w:ascii="Calibri" w:hAnsi="Calibri" w:cs="Calibri"/>
                <w:lang w:val="en-US"/>
              </w:rPr>
              <w:t xml:space="preserve">the </w:t>
            </w:r>
            <w:r w:rsidR="00E34532" w:rsidRPr="00F569AE">
              <w:rPr>
                <w:rFonts w:ascii="Calibri" w:hAnsi="Calibri" w:cs="Calibri"/>
                <w:lang w:val="en-US"/>
              </w:rPr>
              <w:t>MEG solutions received traction from all key large donors enga</w:t>
            </w:r>
            <w:r w:rsidR="00E34532">
              <w:rPr>
                <w:rFonts w:ascii="Calibri" w:hAnsi="Calibri" w:cs="Calibri"/>
                <w:lang w:val="en-US"/>
              </w:rPr>
              <w:t>g</w:t>
            </w:r>
            <w:r w:rsidR="00E34532" w:rsidRPr="00F569AE">
              <w:rPr>
                <w:rFonts w:ascii="Calibri" w:hAnsi="Calibri" w:cs="Calibri"/>
                <w:lang w:val="en-US"/>
              </w:rPr>
              <w:t>ed in water sector modernization in BiH and</w:t>
            </w:r>
            <w:r w:rsidR="00E34532">
              <w:rPr>
                <w:rFonts w:ascii="Calibri" w:hAnsi="Calibri" w:cs="Calibri"/>
                <w:lang w:val="en-US"/>
              </w:rPr>
              <w:t xml:space="preserve"> </w:t>
            </w:r>
            <w:r w:rsidR="00E34532" w:rsidRPr="00F569AE">
              <w:rPr>
                <w:rFonts w:ascii="Calibri" w:hAnsi="Calibri" w:cs="Calibri"/>
                <w:lang w:val="en-US"/>
              </w:rPr>
              <w:t xml:space="preserve">showcased </w:t>
            </w:r>
            <w:r w:rsidR="00E34532">
              <w:rPr>
                <w:rFonts w:ascii="Calibri" w:hAnsi="Calibri" w:cs="Calibri"/>
                <w:lang w:val="en-US"/>
              </w:rPr>
              <w:t>the</w:t>
            </w:r>
            <w:r w:rsidR="00E34532" w:rsidRPr="00F569AE">
              <w:rPr>
                <w:rFonts w:ascii="Calibri" w:hAnsi="Calibri" w:cs="Calibri"/>
                <w:lang w:val="en-US"/>
              </w:rPr>
              <w:t xml:space="preserve"> </w:t>
            </w:r>
            <w:r w:rsidR="00E34532">
              <w:rPr>
                <w:rFonts w:ascii="Calibri" w:hAnsi="Calibri" w:cs="Calibri"/>
                <w:lang w:val="en-US"/>
              </w:rPr>
              <w:t>value</w:t>
            </w:r>
            <w:r w:rsidR="00E34532" w:rsidRPr="00F569AE">
              <w:rPr>
                <w:rFonts w:ascii="Calibri" w:hAnsi="Calibri" w:cs="Calibri"/>
                <w:lang w:val="en-US"/>
              </w:rPr>
              <w:t xml:space="preserve"> of conditioning large water infrastructure investments with evidence that the municipal partner underwent MEG process as a quality sign. This requires a steadfast commitment from W</w:t>
            </w:r>
            <w:r w:rsidR="00E34532">
              <w:rPr>
                <w:rFonts w:ascii="Calibri" w:hAnsi="Calibri" w:cs="Calibri"/>
                <w:lang w:val="en-US"/>
              </w:rPr>
              <w:t xml:space="preserve">ater </w:t>
            </w:r>
            <w:r w:rsidR="00E34532" w:rsidRPr="00F569AE">
              <w:rPr>
                <w:rFonts w:ascii="Calibri" w:hAnsi="Calibri" w:cs="Calibri"/>
                <w:lang w:val="en-US"/>
              </w:rPr>
              <w:t>A</w:t>
            </w:r>
            <w:r w:rsidR="00E34532">
              <w:rPr>
                <w:rFonts w:ascii="Calibri" w:hAnsi="Calibri" w:cs="Calibri"/>
                <w:lang w:val="en-US"/>
              </w:rPr>
              <w:t>lliance</w:t>
            </w:r>
            <w:r w:rsidR="00E34532" w:rsidRPr="00F569AE">
              <w:rPr>
                <w:rFonts w:ascii="Calibri" w:hAnsi="Calibri" w:cs="Calibri"/>
                <w:lang w:val="en-US"/>
              </w:rPr>
              <w:t xml:space="preserve"> </w:t>
            </w:r>
            <w:r w:rsidR="00E34532">
              <w:rPr>
                <w:rFonts w:ascii="Calibri" w:hAnsi="Calibri" w:cs="Calibri"/>
                <w:lang w:val="en-US"/>
              </w:rPr>
              <w:t xml:space="preserve">(WA) </w:t>
            </w:r>
            <w:r w:rsidR="00E34532" w:rsidRPr="00F569AE">
              <w:rPr>
                <w:rFonts w:ascii="Calibri" w:hAnsi="Calibri" w:cs="Calibri"/>
                <w:lang w:val="en-US"/>
              </w:rPr>
              <w:t>partners to tie infrastructure grants to MEG standardization - as exemplified by the Czech Embassy in BiH</w:t>
            </w:r>
            <w:r w:rsidR="00E34532">
              <w:rPr>
                <w:rFonts w:ascii="Calibri" w:hAnsi="Calibri" w:cs="Calibri"/>
                <w:lang w:val="en-US"/>
              </w:rPr>
              <w:t xml:space="preserve"> </w:t>
            </w:r>
            <w:r w:rsidR="00E34532" w:rsidRPr="00F569AE">
              <w:rPr>
                <w:rFonts w:ascii="Calibri" w:hAnsi="Calibri" w:cs="Calibri"/>
                <w:lang w:val="en-US"/>
              </w:rPr>
              <w:t>- to generate significant momentum and far-reaching positive effects throughout the water sector and local governance system in BiH.</w:t>
            </w:r>
          </w:p>
          <w:p w14:paraId="2007E5F8" w14:textId="77777777" w:rsidR="00E34532" w:rsidRPr="00A10791" w:rsidRDefault="00E34532" w:rsidP="00E34532">
            <w:pPr>
              <w:spacing w:line="276" w:lineRule="auto"/>
              <w:jc w:val="both"/>
              <w:rPr>
                <w:rFonts w:ascii="Calibri" w:hAnsi="Calibri" w:cs="Calibri"/>
                <w:lang w:val="en-US"/>
              </w:rPr>
            </w:pPr>
          </w:p>
          <w:p w14:paraId="62A969B0" w14:textId="3A018327" w:rsidR="003F0CE2" w:rsidRPr="00E34532" w:rsidRDefault="00E34532" w:rsidP="00E34532">
            <w:pPr>
              <w:spacing w:line="276" w:lineRule="auto"/>
            </w:pPr>
            <w:r>
              <w:rPr>
                <w:rFonts w:ascii="Calibri" w:hAnsi="Calibri" w:cs="Calibri"/>
                <w:lang w:val="en-US"/>
              </w:rPr>
              <w:t xml:space="preserve">It remains important to operationalize the </w:t>
            </w:r>
            <w:r w:rsidRPr="00F569AE">
              <w:rPr>
                <w:rFonts w:ascii="Calibri" w:hAnsi="Calibri" w:cs="Calibri"/>
                <w:lang w:val="en-US"/>
              </w:rPr>
              <w:t>UNDP BiH</w:t>
            </w:r>
            <w:r>
              <w:rPr>
                <w:rFonts w:ascii="Calibri" w:hAnsi="Calibri" w:cs="Calibri"/>
                <w:lang w:val="en-US"/>
              </w:rPr>
              <w:t>’s adherence to portfolio approach within Governance portfolio, to ensure that the next programming envelops would be hinged on the results delivered within the MEG/EU4MEG project and MEG programme, in general</w:t>
            </w:r>
            <w:r>
              <w:rPr>
                <w:lang w:val="en-US"/>
              </w:rPr>
              <w:t>.</w:t>
            </w:r>
            <w:r w:rsidR="009B3A5D">
              <w:rPr>
                <w:rFonts w:ascii="Calibri" w:hAnsi="Calibri" w:cs="Calibri"/>
                <w:lang w:val="en-US"/>
              </w:rPr>
              <w:t xml:space="preserve"> </w:t>
            </w:r>
          </w:p>
        </w:tc>
      </w:tr>
    </w:tbl>
    <w:p w14:paraId="2082EB49" w14:textId="77777777" w:rsidR="0002596B" w:rsidRPr="00F569AE" w:rsidRDefault="0002596B" w:rsidP="00CB0E2A">
      <w:pPr>
        <w:pStyle w:val="p1"/>
        <w:spacing w:line="276" w:lineRule="auto"/>
        <w:jc w:val="both"/>
        <w:rPr>
          <w:rFonts w:ascii="Calibri" w:hAnsi="Calibri" w:cs="Calibri"/>
          <w:i/>
          <w:color w:val="auto"/>
          <w:sz w:val="24"/>
          <w:szCs w:val="24"/>
        </w:rPr>
      </w:pPr>
    </w:p>
    <w:p w14:paraId="2A025AFA" w14:textId="3B6DF54D" w:rsidR="001215DD" w:rsidRPr="00F569AE" w:rsidRDefault="00DA1726" w:rsidP="00CB0E2A">
      <w:pPr>
        <w:pStyle w:val="p1"/>
        <w:spacing w:line="276" w:lineRule="auto"/>
        <w:jc w:val="both"/>
        <w:rPr>
          <w:rFonts w:ascii="Calibri" w:hAnsi="Calibri" w:cs="Calibri"/>
          <w:i/>
          <w:color w:val="auto"/>
          <w:sz w:val="24"/>
          <w:szCs w:val="24"/>
        </w:rPr>
      </w:pPr>
      <w:r w:rsidRPr="00F569AE">
        <w:rPr>
          <w:rFonts w:ascii="Calibri" w:hAnsi="Calibri" w:cs="Calibri"/>
          <w:i/>
          <w:color w:val="auto"/>
          <w:sz w:val="24"/>
          <w:szCs w:val="24"/>
        </w:rPr>
        <w:t>4. To what extent d</w:t>
      </w:r>
      <w:r w:rsidR="00AF3A6C">
        <w:rPr>
          <w:rFonts w:ascii="Calibri" w:hAnsi="Calibri" w:cs="Calibri"/>
          <w:i/>
          <w:color w:val="auto"/>
          <w:sz w:val="24"/>
          <w:szCs w:val="24"/>
        </w:rPr>
        <w:t>id</w:t>
      </w:r>
      <w:r w:rsidRPr="00F569AE">
        <w:rPr>
          <w:rFonts w:ascii="Calibri" w:hAnsi="Calibri" w:cs="Calibri"/>
          <w:i/>
          <w:color w:val="auto"/>
          <w:sz w:val="24"/>
          <w:szCs w:val="24"/>
        </w:rPr>
        <w:t xml:space="preserve"> the </w:t>
      </w:r>
      <w:r w:rsidR="00AF3A6C">
        <w:rPr>
          <w:rFonts w:ascii="Calibri" w:hAnsi="Calibri" w:cs="Calibri"/>
          <w:i/>
          <w:color w:val="auto"/>
          <w:sz w:val="24"/>
          <w:szCs w:val="24"/>
        </w:rPr>
        <w:t>p</w:t>
      </w:r>
      <w:r w:rsidRPr="00F569AE">
        <w:rPr>
          <w:rFonts w:ascii="Calibri" w:hAnsi="Calibri" w:cs="Calibri"/>
          <w:i/>
          <w:color w:val="auto"/>
          <w:sz w:val="24"/>
          <w:szCs w:val="24"/>
        </w:rPr>
        <w:t>roject ensure complementarity, harmonization and coordination with other relevant interventions of the governments in Bosnia and Herzegovina and other donors, avoiding duplication of efforts and adding value?</w:t>
      </w:r>
    </w:p>
    <w:p w14:paraId="3D417FAF" w14:textId="77777777" w:rsidR="00C21E3A" w:rsidRDefault="00C21E3A" w:rsidP="00CB0E2A">
      <w:pPr>
        <w:pStyle w:val="p1"/>
        <w:spacing w:line="276" w:lineRule="auto"/>
        <w:jc w:val="both"/>
        <w:rPr>
          <w:rFonts w:ascii="Calibri" w:hAnsi="Calibri" w:cs="Calibri"/>
          <w:sz w:val="24"/>
          <w:szCs w:val="24"/>
        </w:rPr>
      </w:pPr>
    </w:p>
    <w:p w14:paraId="67A18CE1" w14:textId="6954EDCD" w:rsidR="00A21C19" w:rsidRDefault="00A21C19" w:rsidP="00A21C19">
      <w:pPr>
        <w:pStyle w:val="p1"/>
        <w:spacing w:line="276" w:lineRule="auto"/>
        <w:jc w:val="both"/>
        <w:rPr>
          <w:rFonts w:ascii="Calibri" w:hAnsi="Calibri" w:cs="Calibri"/>
          <w:sz w:val="24"/>
          <w:szCs w:val="24"/>
        </w:rPr>
      </w:pPr>
      <w:r>
        <w:rPr>
          <w:rFonts w:ascii="Calibri" w:hAnsi="Calibri" w:cs="Calibri"/>
          <w:sz w:val="24"/>
          <w:szCs w:val="24"/>
        </w:rPr>
        <w:t xml:space="preserve">The design of the MEG/EU4MEG project and the MEG program, in general, integrated systems perspective. More specifically, it addressed systemic bottlenecks across water and local governance systems through (i) exploring interconnected interventions, e.g. ensuring continuity with the first phase of the MEG programme as well as with other interventions within UNDP Governance portfolio and specifically </w:t>
      </w:r>
      <w:r w:rsidRPr="00A21C19">
        <w:rPr>
          <w:rFonts w:ascii="Calibri" w:hAnsi="Calibri" w:cs="Calibri"/>
          <w:sz w:val="24"/>
          <w:szCs w:val="24"/>
        </w:rPr>
        <w:t>building on the results of the UNDP-implemented and SDC-supported Integrated Local Development Project (ILDP) that helped established a coherent planning system at the local level</w:t>
      </w:r>
      <w:r>
        <w:rPr>
          <w:rFonts w:ascii="Calibri" w:hAnsi="Calibri" w:cs="Calibri"/>
          <w:sz w:val="24"/>
          <w:szCs w:val="24"/>
        </w:rPr>
        <w:t>;</w:t>
      </w:r>
      <w:r w:rsidRPr="00A21C19">
        <w:rPr>
          <w:rFonts w:ascii="Calibri" w:hAnsi="Calibri" w:cs="Calibri"/>
          <w:sz w:val="24"/>
          <w:szCs w:val="24"/>
        </w:rPr>
        <w:t xml:space="preserve"> and </w:t>
      </w:r>
      <w:r>
        <w:rPr>
          <w:rFonts w:ascii="Calibri" w:hAnsi="Calibri" w:cs="Calibri"/>
          <w:sz w:val="24"/>
          <w:szCs w:val="24"/>
        </w:rPr>
        <w:t>(ii) exploring synergies across relevant on-going interventions implemented by other partners, e.g. WB, Czech partners.</w:t>
      </w:r>
    </w:p>
    <w:p w14:paraId="3383F02C" w14:textId="77777777" w:rsidR="00A21C19" w:rsidRPr="00F569AE" w:rsidRDefault="00A21C19" w:rsidP="00CB0E2A">
      <w:pPr>
        <w:pStyle w:val="p1"/>
        <w:spacing w:line="276" w:lineRule="auto"/>
        <w:jc w:val="both"/>
        <w:rPr>
          <w:rFonts w:ascii="Calibri" w:hAnsi="Calibri" w:cs="Calibri"/>
          <w:sz w:val="24"/>
          <w:szCs w:val="24"/>
        </w:rPr>
      </w:pPr>
    </w:p>
    <w:p w14:paraId="5335F076" w14:textId="346DA09D" w:rsidR="001E0877" w:rsidRPr="00924BFC" w:rsidRDefault="001E0877" w:rsidP="00CB0E2A">
      <w:pPr>
        <w:pStyle w:val="p1"/>
        <w:spacing w:line="276" w:lineRule="auto"/>
        <w:jc w:val="both"/>
        <w:rPr>
          <w:rFonts w:ascii="Calibri" w:hAnsi="Calibri" w:cs="Calibri"/>
          <w:b/>
          <w:bCs/>
          <w:i/>
          <w:iCs/>
          <w:sz w:val="24"/>
          <w:szCs w:val="24"/>
        </w:rPr>
      </w:pPr>
      <w:r w:rsidRPr="00924BFC">
        <w:rPr>
          <w:rFonts w:ascii="Calibri" w:hAnsi="Calibri" w:cs="Calibri"/>
          <w:b/>
          <w:bCs/>
          <w:i/>
          <w:iCs/>
          <w:sz w:val="24"/>
          <w:szCs w:val="24"/>
        </w:rPr>
        <w:lastRenderedPageBreak/>
        <w:t>External coherence:</w:t>
      </w:r>
    </w:p>
    <w:p w14:paraId="5508EE21" w14:textId="566A9DD6" w:rsidR="00CB0E2A" w:rsidRPr="00F569AE" w:rsidRDefault="009A7B87" w:rsidP="00CB0E2A">
      <w:pPr>
        <w:pStyle w:val="p1"/>
        <w:spacing w:line="276" w:lineRule="auto"/>
        <w:jc w:val="both"/>
        <w:rPr>
          <w:rFonts w:ascii="Calibri" w:hAnsi="Calibri" w:cs="Calibri"/>
          <w:sz w:val="24"/>
          <w:szCs w:val="24"/>
        </w:rPr>
      </w:pPr>
      <w:r w:rsidRPr="00F569AE">
        <w:rPr>
          <w:rFonts w:ascii="Calibri" w:hAnsi="Calibri" w:cs="Calibri"/>
          <w:sz w:val="24"/>
          <w:szCs w:val="24"/>
        </w:rPr>
        <w:t>Since its inception in 2016, t</w:t>
      </w:r>
      <w:r w:rsidR="0082553B" w:rsidRPr="00F569AE">
        <w:rPr>
          <w:rFonts w:ascii="Calibri" w:hAnsi="Calibri" w:cs="Calibri"/>
          <w:sz w:val="24"/>
          <w:szCs w:val="24"/>
        </w:rPr>
        <w:t xml:space="preserve">he MEG programme </w:t>
      </w:r>
      <w:r w:rsidR="00CB0E2A" w:rsidRPr="00F569AE">
        <w:rPr>
          <w:rFonts w:ascii="Calibri" w:hAnsi="Calibri" w:cs="Calibri"/>
          <w:sz w:val="24"/>
          <w:szCs w:val="24"/>
        </w:rPr>
        <w:t xml:space="preserve">has </w:t>
      </w:r>
      <w:r w:rsidRPr="00F569AE">
        <w:rPr>
          <w:rFonts w:ascii="Calibri" w:hAnsi="Calibri" w:cs="Calibri"/>
          <w:sz w:val="24"/>
          <w:szCs w:val="24"/>
        </w:rPr>
        <w:t xml:space="preserve">become a </w:t>
      </w:r>
      <w:r w:rsidRPr="00F569AE">
        <w:rPr>
          <w:rFonts w:ascii="Calibri" w:hAnsi="Calibri" w:cs="Calibri"/>
          <w:b/>
          <w:i/>
          <w:sz w:val="24"/>
          <w:szCs w:val="24"/>
        </w:rPr>
        <w:t xml:space="preserve">flagship </w:t>
      </w:r>
      <w:r w:rsidR="00FD48BB" w:rsidRPr="00F569AE">
        <w:rPr>
          <w:rFonts w:ascii="Calibri" w:hAnsi="Calibri" w:cs="Calibri"/>
          <w:b/>
          <w:i/>
          <w:sz w:val="24"/>
          <w:szCs w:val="24"/>
        </w:rPr>
        <w:t>initiative</w:t>
      </w:r>
      <w:r w:rsidRPr="00F569AE">
        <w:rPr>
          <w:rFonts w:ascii="Calibri" w:hAnsi="Calibri" w:cs="Calibri"/>
          <w:b/>
          <w:i/>
          <w:sz w:val="24"/>
          <w:szCs w:val="24"/>
        </w:rPr>
        <w:t xml:space="preserve"> </w:t>
      </w:r>
      <w:r w:rsidR="0082553B" w:rsidRPr="00F569AE">
        <w:rPr>
          <w:rFonts w:ascii="Calibri" w:hAnsi="Calibri" w:cs="Calibri"/>
          <w:b/>
          <w:i/>
          <w:sz w:val="24"/>
          <w:szCs w:val="24"/>
        </w:rPr>
        <w:t>driv</w:t>
      </w:r>
      <w:r w:rsidR="00CB0E2A" w:rsidRPr="00F569AE">
        <w:rPr>
          <w:rFonts w:ascii="Calibri" w:hAnsi="Calibri" w:cs="Calibri"/>
          <w:b/>
          <w:i/>
          <w:sz w:val="24"/>
          <w:szCs w:val="24"/>
        </w:rPr>
        <w:t>ing</w:t>
      </w:r>
      <w:r w:rsidR="0082553B" w:rsidRPr="00F569AE">
        <w:rPr>
          <w:rFonts w:ascii="Calibri" w:hAnsi="Calibri" w:cs="Calibri"/>
          <w:b/>
          <w:i/>
          <w:sz w:val="24"/>
          <w:szCs w:val="24"/>
        </w:rPr>
        <w:t xml:space="preserve"> the modernization </w:t>
      </w:r>
      <w:r w:rsidR="00CB0E2A" w:rsidRPr="00F569AE">
        <w:rPr>
          <w:rFonts w:ascii="Calibri" w:hAnsi="Calibri" w:cs="Calibri"/>
          <w:b/>
          <w:i/>
          <w:sz w:val="24"/>
          <w:szCs w:val="24"/>
        </w:rPr>
        <w:t>of</w:t>
      </w:r>
      <w:r w:rsidR="0082553B" w:rsidRPr="00F569AE">
        <w:rPr>
          <w:rFonts w:ascii="Calibri" w:hAnsi="Calibri" w:cs="Calibri"/>
          <w:b/>
          <w:i/>
          <w:sz w:val="24"/>
          <w:szCs w:val="24"/>
        </w:rPr>
        <w:t xml:space="preserve"> water service sector in BiH</w:t>
      </w:r>
      <w:r w:rsidRPr="00F569AE">
        <w:rPr>
          <w:rFonts w:ascii="Calibri" w:hAnsi="Calibri" w:cs="Calibri"/>
          <w:b/>
          <w:i/>
          <w:sz w:val="24"/>
          <w:szCs w:val="24"/>
        </w:rPr>
        <w:t>.</w:t>
      </w:r>
      <w:r w:rsidR="0082553B" w:rsidRPr="00F569AE">
        <w:rPr>
          <w:rFonts w:ascii="Calibri" w:hAnsi="Calibri" w:cs="Calibri"/>
          <w:sz w:val="24"/>
          <w:szCs w:val="24"/>
        </w:rPr>
        <w:t xml:space="preserve"> </w:t>
      </w:r>
      <w:r w:rsidR="00B235A1" w:rsidRPr="00F569AE">
        <w:rPr>
          <w:rFonts w:ascii="Calibri" w:hAnsi="Calibri" w:cs="Calibri"/>
          <w:sz w:val="24"/>
          <w:szCs w:val="24"/>
        </w:rPr>
        <w:t>Ever since</w:t>
      </w:r>
      <w:r w:rsidRPr="00F569AE">
        <w:rPr>
          <w:rFonts w:ascii="Calibri" w:hAnsi="Calibri" w:cs="Calibri"/>
          <w:sz w:val="24"/>
          <w:szCs w:val="24"/>
        </w:rPr>
        <w:t xml:space="preserve">, there were interventions related to water sector development in the country implemented by other partners that opened opportunities for increasing traction towards the MEG solutions, accelerating and promoting thereby water sector reform. </w:t>
      </w:r>
      <w:r w:rsidR="00114BA9" w:rsidRPr="00F569AE">
        <w:rPr>
          <w:rFonts w:ascii="Calibri" w:hAnsi="Calibri" w:cs="Calibri"/>
          <w:sz w:val="24"/>
          <w:szCs w:val="24"/>
        </w:rPr>
        <w:t>For instance</w:t>
      </w:r>
      <w:r w:rsidR="00CB0E2A" w:rsidRPr="00F569AE">
        <w:rPr>
          <w:rFonts w:ascii="Calibri" w:hAnsi="Calibri" w:cs="Calibri"/>
          <w:sz w:val="24"/>
          <w:szCs w:val="24"/>
        </w:rPr>
        <w:t xml:space="preserve">, the development programming </w:t>
      </w:r>
      <w:r w:rsidR="00114BA9" w:rsidRPr="00F569AE">
        <w:rPr>
          <w:rFonts w:ascii="Calibri" w:hAnsi="Calibri" w:cs="Calibri"/>
          <w:sz w:val="24"/>
          <w:szCs w:val="24"/>
        </w:rPr>
        <w:t>envelops</w:t>
      </w:r>
      <w:r w:rsidR="00CB0E2A" w:rsidRPr="00F569AE">
        <w:rPr>
          <w:rFonts w:ascii="Calibri" w:hAnsi="Calibri" w:cs="Calibri"/>
          <w:sz w:val="24"/>
          <w:szCs w:val="24"/>
        </w:rPr>
        <w:t xml:space="preserve"> of the C</w:t>
      </w:r>
      <w:r w:rsidR="00FD48BB" w:rsidRPr="00F569AE">
        <w:rPr>
          <w:rFonts w:ascii="Calibri" w:hAnsi="Calibri" w:cs="Calibri"/>
          <w:sz w:val="24"/>
          <w:szCs w:val="24"/>
        </w:rPr>
        <w:t>z</w:t>
      </w:r>
      <w:r w:rsidR="00CB0E2A" w:rsidRPr="00F569AE">
        <w:rPr>
          <w:rFonts w:ascii="Calibri" w:hAnsi="Calibri" w:cs="Calibri"/>
          <w:sz w:val="24"/>
          <w:szCs w:val="24"/>
        </w:rPr>
        <w:t>ec</w:t>
      </w:r>
      <w:r w:rsidR="00B235A1" w:rsidRPr="00F569AE">
        <w:rPr>
          <w:rFonts w:ascii="Calibri" w:hAnsi="Calibri" w:cs="Calibri"/>
          <w:sz w:val="24"/>
          <w:szCs w:val="24"/>
        </w:rPr>
        <w:t>h</w:t>
      </w:r>
      <w:r w:rsidR="00CB0E2A" w:rsidRPr="00F569AE">
        <w:rPr>
          <w:rFonts w:ascii="Calibri" w:hAnsi="Calibri" w:cs="Calibri"/>
          <w:sz w:val="24"/>
          <w:szCs w:val="24"/>
        </w:rPr>
        <w:t xml:space="preserve"> Embassy in BiH for 2017-2023 and 2024-2030 </w:t>
      </w:r>
      <w:r w:rsidR="00114BA9" w:rsidRPr="00F569AE">
        <w:rPr>
          <w:rFonts w:ascii="Calibri" w:hAnsi="Calibri" w:cs="Calibri"/>
          <w:sz w:val="24"/>
          <w:szCs w:val="24"/>
        </w:rPr>
        <w:t xml:space="preserve">period </w:t>
      </w:r>
      <w:r w:rsidR="00CB0E2A" w:rsidRPr="00F569AE">
        <w:rPr>
          <w:rFonts w:ascii="Calibri" w:hAnsi="Calibri" w:cs="Calibri"/>
          <w:sz w:val="24"/>
          <w:szCs w:val="24"/>
        </w:rPr>
        <w:t xml:space="preserve">(covering both bilateral development projects as well as </w:t>
      </w:r>
      <w:r w:rsidR="00114BA9" w:rsidRPr="00F569AE">
        <w:rPr>
          <w:rFonts w:ascii="Calibri" w:hAnsi="Calibri" w:cs="Calibri"/>
          <w:sz w:val="24"/>
          <w:szCs w:val="24"/>
        </w:rPr>
        <w:t xml:space="preserve">the </w:t>
      </w:r>
      <w:r w:rsidR="00CB0E2A" w:rsidRPr="00F569AE">
        <w:rPr>
          <w:rFonts w:ascii="Calibri" w:hAnsi="Calibri" w:cs="Calibri"/>
          <w:sz w:val="24"/>
          <w:szCs w:val="24"/>
        </w:rPr>
        <w:t>projects of the C</w:t>
      </w:r>
      <w:r w:rsidR="00FD48BB" w:rsidRPr="00F569AE">
        <w:rPr>
          <w:rFonts w:ascii="Calibri" w:hAnsi="Calibri" w:cs="Calibri"/>
          <w:sz w:val="24"/>
          <w:szCs w:val="24"/>
        </w:rPr>
        <w:t>z</w:t>
      </w:r>
      <w:r w:rsidR="00CB0E2A" w:rsidRPr="00F569AE">
        <w:rPr>
          <w:rFonts w:ascii="Calibri" w:hAnsi="Calibri" w:cs="Calibri"/>
          <w:sz w:val="24"/>
          <w:szCs w:val="24"/>
        </w:rPr>
        <w:t>ec</w:t>
      </w:r>
      <w:r w:rsidR="00B235A1" w:rsidRPr="00F569AE">
        <w:rPr>
          <w:rFonts w:ascii="Calibri" w:hAnsi="Calibri" w:cs="Calibri"/>
          <w:sz w:val="24"/>
          <w:szCs w:val="24"/>
        </w:rPr>
        <w:t>h</w:t>
      </w:r>
      <w:r w:rsidR="00CB0E2A" w:rsidRPr="00F569AE">
        <w:rPr>
          <w:rFonts w:ascii="Calibri" w:hAnsi="Calibri" w:cs="Calibri"/>
          <w:sz w:val="24"/>
          <w:szCs w:val="24"/>
        </w:rPr>
        <w:t xml:space="preserve"> Development Agency in BiH) prioritized </w:t>
      </w:r>
      <w:r w:rsidR="00114BA9" w:rsidRPr="00F569AE">
        <w:rPr>
          <w:rFonts w:ascii="Calibri" w:hAnsi="Calibri" w:cs="Calibri"/>
          <w:sz w:val="24"/>
          <w:szCs w:val="24"/>
        </w:rPr>
        <w:t xml:space="preserve">good governance and </w:t>
      </w:r>
      <w:r w:rsidR="00CB0E2A" w:rsidRPr="00F569AE">
        <w:rPr>
          <w:rFonts w:ascii="Calibri" w:hAnsi="Calibri" w:cs="Calibri"/>
          <w:sz w:val="24"/>
          <w:szCs w:val="24"/>
        </w:rPr>
        <w:t xml:space="preserve">water and sanitation. </w:t>
      </w:r>
      <w:r w:rsidR="00B235A1" w:rsidRPr="00F569AE">
        <w:rPr>
          <w:rFonts w:ascii="Calibri" w:hAnsi="Calibri" w:cs="Calibri"/>
          <w:sz w:val="24"/>
          <w:szCs w:val="24"/>
        </w:rPr>
        <w:t>Although not being part of MEG</w:t>
      </w:r>
      <w:r w:rsidR="002E6A2B" w:rsidRPr="00F569AE">
        <w:rPr>
          <w:rFonts w:ascii="Calibri" w:hAnsi="Calibri" w:cs="Calibri"/>
          <w:sz w:val="24"/>
          <w:szCs w:val="24"/>
        </w:rPr>
        <w:t xml:space="preserve"> </w:t>
      </w:r>
      <w:r w:rsidR="00B235A1" w:rsidRPr="00F569AE">
        <w:rPr>
          <w:rFonts w:ascii="Calibri" w:hAnsi="Calibri" w:cs="Calibri"/>
          <w:sz w:val="24"/>
          <w:szCs w:val="24"/>
        </w:rPr>
        <w:t xml:space="preserve">I project, the Czech partner decided to join the second cycle of the MEG project, as one of its donors thus acknowledging the relevance of the project’s focus through the prism of their development priorities in BiH. </w:t>
      </w:r>
      <w:r w:rsidR="00114BA9" w:rsidRPr="00F569AE">
        <w:rPr>
          <w:rFonts w:ascii="Calibri" w:hAnsi="Calibri" w:cs="Calibri"/>
          <w:sz w:val="24"/>
          <w:szCs w:val="24"/>
        </w:rPr>
        <w:t>Moreover</w:t>
      </w:r>
      <w:r w:rsidR="00CB0E2A" w:rsidRPr="00F569AE">
        <w:rPr>
          <w:rFonts w:ascii="Calibri" w:hAnsi="Calibri" w:cs="Calibri"/>
          <w:sz w:val="24"/>
          <w:szCs w:val="24"/>
        </w:rPr>
        <w:t>, having a solid funding allocated for water infrastructure development initiatives in BiH, the C</w:t>
      </w:r>
      <w:r w:rsidR="00FD48BB" w:rsidRPr="00F569AE">
        <w:rPr>
          <w:rFonts w:ascii="Calibri" w:hAnsi="Calibri" w:cs="Calibri"/>
          <w:sz w:val="24"/>
          <w:szCs w:val="24"/>
        </w:rPr>
        <w:t>z</w:t>
      </w:r>
      <w:r w:rsidR="00CB0E2A" w:rsidRPr="00F569AE">
        <w:rPr>
          <w:rFonts w:ascii="Calibri" w:hAnsi="Calibri" w:cs="Calibri"/>
          <w:sz w:val="24"/>
          <w:szCs w:val="24"/>
        </w:rPr>
        <w:t>ec</w:t>
      </w:r>
      <w:r w:rsidR="00B235A1" w:rsidRPr="00F569AE">
        <w:rPr>
          <w:rFonts w:ascii="Calibri" w:hAnsi="Calibri" w:cs="Calibri"/>
          <w:sz w:val="24"/>
          <w:szCs w:val="24"/>
        </w:rPr>
        <w:t>h</w:t>
      </w:r>
      <w:r w:rsidR="00CB0E2A" w:rsidRPr="00F569AE">
        <w:rPr>
          <w:rFonts w:ascii="Calibri" w:hAnsi="Calibri" w:cs="Calibri"/>
          <w:sz w:val="24"/>
          <w:szCs w:val="24"/>
        </w:rPr>
        <w:t xml:space="preserve"> partner </w:t>
      </w:r>
      <w:r w:rsidR="00114BA9" w:rsidRPr="00F569AE">
        <w:rPr>
          <w:rFonts w:ascii="Calibri" w:hAnsi="Calibri" w:cs="Calibri"/>
          <w:sz w:val="24"/>
          <w:szCs w:val="24"/>
        </w:rPr>
        <w:t>fund water infrastructure initiatives only in</w:t>
      </w:r>
      <w:r w:rsidR="00CB0E2A" w:rsidRPr="00F569AE">
        <w:rPr>
          <w:rFonts w:ascii="Calibri" w:hAnsi="Calibri" w:cs="Calibri"/>
          <w:sz w:val="24"/>
          <w:szCs w:val="24"/>
        </w:rPr>
        <w:t xml:space="preserve"> those LGs that have already undergone ‘MEG </w:t>
      </w:r>
      <w:r w:rsidR="00D7410F">
        <w:rPr>
          <w:rFonts w:ascii="Calibri" w:hAnsi="Calibri" w:cs="Calibri"/>
          <w:sz w:val="24"/>
          <w:szCs w:val="24"/>
        </w:rPr>
        <w:t>standardization</w:t>
      </w:r>
      <w:r w:rsidR="000916EA">
        <w:rPr>
          <w:rFonts w:ascii="Calibri" w:hAnsi="Calibri" w:cs="Calibri"/>
          <w:sz w:val="24"/>
          <w:szCs w:val="24"/>
        </w:rPr>
        <w:t>’</w:t>
      </w:r>
      <w:r w:rsidR="00AF3A6C">
        <w:rPr>
          <w:rFonts w:ascii="Calibri" w:hAnsi="Calibri" w:cs="Calibri"/>
          <w:sz w:val="24"/>
          <w:szCs w:val="24"/>
        </w:rPr>
        <w:t>, meaning institutional and individual capacity building and improved performance both in local govern</w:t>
      </w:r>
      <w:r w:rsidR="00D7410F">
        <w:rPr>
          <w:rFonts w:ascii="Calibri" w:hAnsi="Calibri" w:cs="Calibri"/>
          <w:sz w:val="24"/>
          <w:szCs w:val="24"/>
        </w:rPr>
        <w:t>ance</w:t>
      </w:r>
      <w:r w:rsidR="00AF3A6C">
        <w:rPr>
          <w:rFonts w:ascii="Calibri" w:hAnsi="Calibri" w:cs="Calibri"/>
          <w:sz w:val="24"/>
          <w:szCs w:val="24"/>
        </w:rPr>
        <w:t xml:space="preserve"> and water services </w:t>
      </w:r>
      <w:r w:rsidR="00650D46">
        <w:rPr>
          <w:rFonts w:ascii="Calibri" w:hAnsi="Calibri" w:cs="Calibri"/>
          <w:sz w:val="24"/>
          <w:szCs w:val="24"/>
        </w:rPr>
        <w:t>sectors</w:t>
      </w:r>
      <w:r w:rsidR="00114BA9" w:rsidRPr="00F569AE">
        <w:rPr>
          <w:rFonts w:ascii="Calibri" w:hAnsi="Calibri" w:cs="Calibri"/>
          <w:sz w:val="24"/>
          <w:szCs w:val="24"/>
        </w:rPr>
        <w:t>. Such a</w:t>
      </w:r>
      <w:r w:rsidR="00730A99" w:rsidRPr="00F569AE">
        <w:rPr>
          <w:rFonts w:ascii="Calibri" w:hAnsi="Calibri" w:cs="Calibri"/>
          <w:sz w:val="24"/>
          <w:szCs w:val="24"/>
        </w:rPr>
        <w:t xml:space="preserve">n operational model that </w:t>
      </w:r>
      <w:r w:rsidR="00114BA9" w:rsidRPr="00F569AE">
        <w:rPr>
          <w:rFonts w:ascii="Calibri" w:hAnsi="Calibri" w:cs="Calibri"/>
          <w:sz w:val="24"/>
          <w:szCs w:val="24"/>
        </w:rPr>
        <w:t>link</w:t>
      </w:r>
      <w:r w:rsidR="00730A99" w:rsidRPr="00F569AE">
        <w:rPr>
          <w:rFonts w:ascii="Calibri" w:hAnsi="Calibri" w:cs="Calibri"/>
          <w:sz w:val="24"/>
          <w:szCs w:val="24"/>
        </w:rPr>
        <w:t>s</w:t>
      </w:r>
      <w:r w:rsidR="00114BA9" w:rsidRPr="00F569AE">
        <w:rPr>
          <w:rFonts w:ascii="Calibri" w:hAnsi="Calibri" w:cs="Calibri"/>
          <w:sz w:val="24"/>
          <w:szCs w:val="24"/>
        </w:rPr>
        <w:t xml:space="preserve"> </w:t>
      </w:r>
      <w:r w:rsidR="00B235A1" w:rsidRPr="00F569AE">
        <w:rPr>
          <w:rFonts w:ascii="Calibri" w:hAnsi="Calibri" w:cs="Calibri"/>
          <w:sz w:val="24"/>
          <w:szCs w:val="24"/>
        </w:rPr>
        <w:t xml:space="preserve">the </w:t>
      </w:r>
      <w:r w:rsidR="00114BA9" w:rsidRPr="00F569AE">
        <w:rPr>
          <w:rFonts w:ascii="Calibri" w:hAnsi="Calibri" w:cs="Calibri"/>
          <w:sz w:val="24"/>
          <w:szCs w:val="24"/>
        </w:rPr>
        <w:t xml:space="preserve">‘MEG process’ with access to infrastructure funding </w:t>
      </w:r>
      <w:r w:rsidR="00730A99" w:rsidRPr="00F569AE">
        <w:rPr>
          <w:rFonts w:ascii="Calibri" w:hAnsi="Calibri" w:cs="Calibri"/>
          <w:sz w:val="24"/>
          <w:szCs w:val="24"/>
        </w:rPr>
        <w:t>showcase</w:t>
      </w:r>
      <w:r w:rsidR="00AF3A6C">
        <w:rPr>
          <w:rFonts w:ascii="Calibri" w:hAnsi="Calibri" w:cs="Calibri"/>
          <w:sz w:val="24"/>
          <w:szCs w:val="24"/>
        </w:rPr>
        <w:t>d</w:t>
      </w:r>
      <w:r w:rsidR="00730A99" w:rsidRPr="00F569AE">
        <w:rPr>
          <w:rFonts w:ascii="Calibri" w:hAnsi="Calibri" w:cs="Calibri"/>
          <w:sz w:val="24"/>
          <w:szCs w:val="24"/>
        </w:rPr>
        <w:t xml:space="preserve"> a mechanism that has a potential to</w:t>
      </w:r>
      <w:r w:rsidR="00114BA9" w:rsidRPr="00F569AE">
        <w:rPr>
          <w:rFonts w:ascii="Calibri" w:hAnsi="Calibri" w:cs="Calibri"/>
          <w:sz w:val="24"/>
          <w:szCs w:val="24"/>
        </w:rPr>
        <w:t xml:space="preserve"> become a </w:t>
      </w:r>
      <w:r w:rsidR="002E6A2B" w:rsidRPr="00F569AE">
        <w:rPr>
          <w:rFonts w:ascii="Calibri" w:hAnsi="Calibri" w:cs="Calibri"/>
          <w:sz w:val="24"/>
          <w:szCs w:val="24"/>
        </w:rPr>
        <w:t>critical</w:t>
      </w:r>
      <w:r w:rsidR="00114BA9" w:rsidRPr="00F569AE">
        <w:rPr>
          <w:rFonts w:ascii="Calibri" w:hAnsi="Calibri" w:cs="Calibri"/>
          <w:sz w:val="24"/>
          <w:szCs w:val="24"/>
        </w:rPr>
        <w:t xml:space="preserve"> driver of </w:t>
      </w:r>
      <w:r w:rsidR="002E6A2B" w:rsidRPr="00F569AE">
        <w:rPr>
          <w:rFonts w:ascii="Calibri" w:hAnsi="Calibri" w:cs="Calibri"/>
          <w:sz w:val="24"/>
          <w:szCs w:val="24"/>
        </w:rPr>
        <w:t xml:space="preserve">the </w:t>
      </w:r>
      <w:r w:rsidR="00114BA9" w:rsidRPr="00F569AE">
        <w:rPr>
          <w:rFonts w:ascii="Calibri" w:hAnsi="Calibri" w:cs="Calibri"/>
          <w:sz w:val="24"/>
          <w:szCs w:val="24"/>
        </w:rPr>
        <w:t xml:space="preserve">water sector modernization in BiH. </w:t>
      </w:r>
    </w:p>
    <w:p w14:paraId="625D3A87" w14:textId="77777777" w:rsidR="009A7B87" w:rsidRPr="00F569AE" w:rsidRDefault="009A7B87" w:rsidP="00CB0E2A">
      <w:pPr>
        <w:pStyle w:val="p1"/>
        <w:spacing w:line="276" w:lineRule="auto"/>
        <w:jc w:val="both"/>
        <w:rPr>
          <w:rFonts w:ascii="Calibri" w:hAnsi="Calibri" w:cs="Calibri"/>
          <w:sz w:val="24"/>
          <w:szCs w:val="24"/>
        </w:rPr>
      </w:pPr>
    </w:p>
    <w:p w14:paraId="2AD0161D" w14:textId="562FBE34" w:rsidR="007F42E4" w:rsidRPr="00F569AE" w:rsidRDefault="007F42E4" w:rsidP="007F42E4">
      <w:pPr>
        <w:pStyle w:val="p1"/>
        <w:spacing w:line="276" w:lineRule="auto"/>
        <w:jc w:val="both"/>
        <w:rPr>
          <w:rFonts w:ascii="Calibri" w:hAnsi="Calibri" w:cs="Calibri"/>
          <w:sz w:val="24"/>
          <w:szCs w:val="24"/>
        </w:rPr>
      </w:pPr>
      <w:r w:rsidRPr="00F569AE">
        <w:rPr>
          <w:rFonts w:ascii="Calibri" w:hAnsi="Calibri" w:cs="Calibri"/>
          <w:sz w:val="24"/>
          <w:szCs w:val="24"/>
        </w:rPr>
        <w:t>Another large project initiated in BiH by the World Bank under the global initiative “Utility of the Future”</w:t>
      </w:r>
      <w:r w:rsidRPr="00F569AE">
        <w:rPr>
          <w:rStyle w:val="FootnoteReference"/>
          <w:rFonts w:ascii="Calibri" w:hAnsi="Calibri" w:cs="Calibri"/>
          <w:sz w:val="24"/>
          <w:szCs w:val="24"/>
        </w:rPr>
        <w:footnoteReference w:id="42"/>
      </w:r>
      <w:r w:rsidRPr="00F569AE">
        <w:rPr>
          <w:rFonts w:ascii="Calibri" w:hAnsi="Calibri" w:cs="Calibri"/>
          <w:sz w:val="24"/>
          <w:szCs w:val="24"/>
        </w:rPr>
        <w:t xml:space="preserve"> </w:t>
      </w:r>
      <w:r w:rsidR="00AF3A6C">
        <w:rPr>
          <w:rFonts w:ascii="Calibri" w:hAnsi="Calibri" w:cs="Calibri"/>
          <w:sz w:val="24"/>
          <w:szCs w:val="24"/>
        </w:rPr>
        <w:t xml:space="preserve">was </w:t>
      </w:r>
      <w:r w:rsidRPr="00F569AE">
        <w:rPr>
          <w:rFonts w:ascii="Calibri" w:hAnsi="Calibri" w:cs="Calibri"/>
          <w:sz w:val="24"/>
          <w:szCs w:val="24"/>
        </w:rPr>
        <w:t>focused on improving the operational and financial efficiency of public water and utility companies (PUCs) and enhancing the quality of water services in BiH. As part of this initiative, MEG/EU4MEG project team under its Outcome 1 coordinated efforts with the WB project team, drafting the laws on water service</w:t>
      </w:r>
      <w:r w:rsidR="00AF3A6C">
        <w:rPr>
          <w:rFonts w:ascii="Calibri" w:hAnsi="Calibri" w:cs="Calibri"/>
          <w:sz w:val="24"/>
          <w:szCs w:val="24"/>
        </w:rPr>
        <w:t>s</w:t>
      </w:r>
      <w:r w:rsidRPr="00F569AE">
        <w:rPr>
          <w:rFonts w:ascii="Calibri" w:hAnsi="Calibri" w:cs="Calibri"/>
          <w:sz w:val="24"/>
          <w:szCs w:val="24"/>
        </w:rPr>
        <w:t xml:space="preserve"> provision and in the early stage of designing the benchmarking system </w:t>
      </w:r>
      <w:r w:rsidR="000C4BB4" w:rsidRPr="00F569AE">
        <w:rPr>
          <w:rFonts w:ascii="Calibri" w:hAnsi="Calibri" w:cs="Calibri"/>
          <w:sz w:val="24"/>
          <w:szCs w:val="24"/>
        </w:rPr>
        <w:t>- a system required</w:t>
      </w:r>
      <w:r w:rsidRPr="00F569AE">
        <w:rPr>
          <w:rFonts w:ascii="Calibri" w:hAnsi="Calibri" w:cs="Calibri"/>
          <w:sz w:val="24"/>
          <w:szCs w:val="24"/>
        </w:rPr>
        <w:t xml:space="preserve"> for </w:t>
      </w:r>
      <w:r w:rsidR="000C4BB4" w:rsidRPr="00F569AE">
        <w:rPr>
          <w:rFonts w:ascii="Calibri" w:hAnsi="Calibri" w:cs="Calibri"/>
          <w:sz w:val="24"/>
          <w:szCs w:val="24"/>
        </w:rPr>
        <w:t>the state level</w:t>
      </w:r>
      <w:r w:rsidRPr="00F569AE">
        <w:rPr>
          <w:rFonts w:ascii="Calibri" w:hAnsi="Calibri" w:cs="Calibri"/>
          <w:sz w:val="24"/>
          <w:szCs w:val="24"/>
        </w:rPr>
        <w:t xml:space="preserve"> reporting to EU on the implementation of the EU Water Directive. One of the priorities within the WB project was to extend the MEG approach to additional 50 municipalities in BiH. </w:t>
      </w:r>
    </w:p>
    <w:p w14:paraId="65451F93" w14:textId="77777777" w:rsidR="00114BA9" w:rsidRPr="00F569AE" w:rsidRDefault="00114BA9" w:rsidP="00CB0E2A">
      <w:pPr>
        <w:pStyle w:val="p1"/>
        <w:spacing w:line="276" w:lineRule="auto"/>
        <w:jc w:val="both"/>
        <w:rPr>
          <w:rFonts w:ascii="Calibri" w:hAnsi="Calibri" w:cs="Calibri"/>
          <w:sz w:val="24"/>
          <w:szCs w:val="24"/>
        </w:rPr>
      </w:pPr>
    </w:p>
    <w:p w14:paraId="08A90859" w14:textId="5A660A41" w:rsidR="00FB04DA" w:rsidRPr="00F569AE" w:rsidRDefault="00FB04DA" w:rsidP="00FB04DA">
      <w:pPr>
        <w:pStyle w:val="p1"/>
        <w:spacing w:line="276" w:lineRule="auto"/>
        <w:jc w:val="both"/>
        <w:rPr>
          <w:rFonts w:ascii="Calibri" w:hAnsi="Calibri" w:cs="Calibri"/>
          <w:sz w:val="24"/>
          <w:szCs w:val="24"/>
        </w:rPr>
      </w:pPr>
      <w:r w:rsidRPr="00F569AE">
        <w:rPr>
          <w:rFonts w:ascii="Calibri" w:hAnsi="Calibri" w:cs="Calibri"/>
          <w:sz w:val="24"/>
          <w:szCs w:val="24"/>
        </w:rPr>
        <w:t xml:space="preserve">The </w:t>
      </w:r>
      <w:r w:rsidRPr="00F569AE">
        <w:rPr>
          <w:rFonts w:ascii="Calibri" w:hAnsi="Calibri" w:cs="Calibri"/>
          <w:b/>
          <w:i/>
          <w:sz w:val="24"/>
          <w:szCs w:val="24"/>
        </w:rPr>
        <w:t>Water Alliance (WA) platform</w:t>
      </w:r>
      <w:r w:rsidRPr="00F569AE">
        <w:rPr>
          <w:rStyle w:val="FootnoteReference"/>
          <w:rFonts w:ascii="Calibri" w:hAnsi="Calibri" w:cs="Calibri"/>
          <w:sz w:val="24"/>
          <w:szCs w:val="24"/>
        </w:rPr>
        <w:footnoteReference w:id="43"/>
      </w:r>
      <w:r w:rsidRPr="00F569AE">
        <w:rPr>
          <w:rFonts w:ascii="Calibri" w:hAnsi="Calibri" w:cs="Calibri"/>
          <w:sz w:val="24"/>
          <w:szCs w:val="24"/>
        </w:rPr>
        <w:t xml:space="preserve"> has been established in 202</w:t>
      </w:r>
      <w:r w:rsidR="00DE0DC3" w:rsidRPr="00F569AE">
        <w:rPr>
          <w:rFonts w:ascii="Calibri" w:hAnsi="Calibri" w:cs="Calibri"/>
          <w:sz w:val="24"/>
          <w:szCs w:val="24"/>
        </w:rPr>
        <w:t>1</w:t>
      </w:r>
      <w:r w:rsidRPr="00F569AE">
        <w:rPr>
          <w:rFonts w:ascii="Calibri" w:hAnsi="Calibri" w:cs="Calibri"/>
          <w:sz w:val="24"/>
          <w:szCs w:val="24"/>
        </w:rPr>
        <w:t xml:space="preserve"> to coordinate efforts across international partners in water sector in BiH. Stakeholders recognize</w:t>
      </w:r>
      <w:r w:rsidR="000C4BB4" w:rsidRPr="00F569AE">
        <w:rPr>
          <w:rFonts w:ascii="Calibri" w:hAnsi="Calibri" w:cs="Calibri"/>
          <w:sz w:val="24"/>
          <w:szCs w:val="24"/>
        </w:rPr>
        <w:t>d</w:t>
      </w:r>
      <w:r w:rsidRPr="00F569AE">
        <w:rPr>
          <w:rFonts w:ascii="Calibri" w:hAnsi="Calibri" w:cs="Calibri"/>
          <w:sz w:val="24"/>
          <w:szCs w:val="24"/>
        </w:rPr>
        <w:t xml:space="preserve"> WA as the most viable and functional donor platform in BiH. Its </w:t>
      </w:r>
      <w:r w:rsidR="000C4BB4" w:rsidRPr="00F569AE">
        <w:rPr>
          <w:rFonts w:ascii="Calibri" w:hAnsi="Calibri" w:cs="Calibri"/>
          <w:sz w:val="24"/>
          <w:szCs w:val="24"/>
        </w:rPr>
        <w:t xml:space="preserve">strategic </w:t>
      </w:r>
      <w:r w:rsidRPr="00F569AE">
        <w:rPr>
          <w:rFonts w:ascii="Calibri" w:hAnsi="Calibri" w:cs="Calibri"/>
          <w:sz w:val="24"/>
          <w:szCs w:val="24"/>
        </w:rPr>
        <w:t>focus on water allowed to promote harmonization, coordination and cooperation across all partners and to advocate for water sector modernization in BiH. A steadfast commitment from WA partners to tie infrastructure grants to MEG standardization</w:t>
      </w:r>
      <w:r w:rsidR="00AF3A6C">
        <w:rPr>
          <w:rFonts w:ascii="Calibri" w:hAnsi="Calibri" w:cs="Calibri"/>
          <w:sz w:val="24"/>
          <w:szCs w:val="24"/>
        </w:rPr>
        <w:t xml:space="preserve"> - </w:t>
      </w:r>
      <w:r w:rsidRPr="00F569AE">
        <w:rPr>
          <w:rFonts w:ascii="Calibri" w:hAnsi="Calibri" w:cs="Calibri"/>
          <w:sz w:val="24"/>
          <w:szCs w:val="24"/>
        </w:rPr>
        <w:t xml:space="preserve">as exemplified by the </w:t>
      </w:r>
      <w:r w:rsidR="00DE0DC3" w:rsidRPr="00F569AE">
        <w:rPr>
          <w:rFonts w:ascii="Calibri" w:hAnsi="Calibri" w:cs="Calibri"/>
          <w:sz w:val="24"/>
          <w:szCs w:val="24"/>
        </w:rPr>
        <w:t xml:space="preserve">Swiss and </w:t>
      </w:r>
      <w:r w:rsidRPr="00F569AE">
        <w:rPr>
          <w:rFonts w:ascii="Calibri" w:hAnsi="Calibri" w:cs="Calibri"/>
          <w:sz w:val="24"/>
          <w:szCs w:val="24"/>
        </w:rPr>
        <w:t>Czech partner</w:t>
      </w:r>
      <w:r w:rsidR="006E34F7" w:rsidRPr="00F569AE">
        <w:rPr>
          <w:rFonts w:ascii="Calibri" w:hAnsi="Calibri" w:cs="Calibri"/>
          <w:sz w:val="24"/>
          <w:szCs w:val="24"/>
        </w:rPr>
        <w:t>s</w:t>
      </w:r>
      <w:r w:rsidR="00AF3A6C">
        <w:rPr>
          <w:rFonts w:ascii="Calibri" w:hAnsi="Calibri" w:cs="Calibri"/>
          <w:sz w:val="24"/>
          <w:szCs w:val="24"/>
        </w:rPr>
        <w:t xml:space="preserve"> - </w:t>
      </w:r>
      <w:r w:rsidRPr="00F569AE">
        <w:rPr>
          <w:rFonts w:ascii="Calibri" w:hAnsi="Calibri" w:cs="Calibri"/>
          <w:sz w:val="24"/>
          <w:szCs w:val="24"/>
        </w:rPr>
        <w:t>would generate significant momentum and far-reaching positive effects throughout the water sector and local governance system in BiH.</w:t>
      </w:r>
    </w:p>
    <w:p w14:paraId="49279F01" w14:textId="77777777" w:rsidR="009474EC" w:rsidRPr="00F569AE" w:rsidRDefault="009474EC" w:rsidP="004058BF">
      <w:pPr>
        <w:pStyle w:val="p1"/>
        <w:spacing w:line="276" w:lineRule="auto"/>
        <w:jc w:val="both"/>
        <w:rPr>
          <w:rFonts w:ascii="Calibri" w:hAnsi="Calibri" w:cs="Calibri"/>
          <w:sz w:val="24"/>
          <w:szCs w:val="24"/>
        </w:rPr>
      </w:pPr>
    </w:p>
    <w:p w14:paraId="783C22B2" w14:textId="7010F9BA" w:rsidR="0002596B" w:rsidRDefault="00E16E9A" w:rsidP="004058BF">
      <w:pPr>
        <w:pStyle w:val="p1"/>
        <w:spacing w:line="276" w:lineRule="auto"/>
        <w:jc w:val="both"/>
        <w:rPr>
          <w:rFonts w:ascii="Calibri" w:hAnsi="Calibri" w:cs="Calibri"/>
          <w:i/>
          <w:color w:val="auto"/>
          <w:sz w:val="24"/>
          <w:szCs w:val="24"/>
        </w:rPr>
      </w:pPr>
      <w:r w:rsidRPr="00F569AE">
        <w:rPr>
          <w:rFonts w:ascii="Calibri" w:hAnsi="Calibri" w:cs="Calibri"/>
          <w:i/>
          <w:color w:val="auto"/>
          <w:sz w:val="24"/>
          <w:szCs w:val="24"/>
        </w:rPr>
        <w:t xml:space="preserve">5. To what extent the Project </w:t>
      </w:r>
      <w:r w:rsidR="00C157B7">
        <w:rPr>
          <w:rFonts w:ascii="Calibri" w:hAnsi="Calibri" w:cs="Calibri"/>
          <w:i/>
          <w:color w:val="auto"/>
          <w:sz w:val="24"/>
          <w:szCs w:val="24"/>
        </w:rPr>
        <w:t>wa</w:t>
      </w:r>
      <w:r w:rsidRPr="00F569AE">
        <w:rPr>
          <w:rFonts w:ascii="Calibri" w:hAnsi="Calibri" w:cs="Calibri"/>
          <w:i/>
          <w:color w:val="auto"/>
          <w:sz w:val="24"/>
          <w:szCs w:val="24"/>
        </w:rPr>
        <w:t>s integrated in the UNDP’s portfolio approach?</w:t>
      </w:r>
    </w:p>
    <w:p w14:paraId="2BC5A26E" w14:textId="77777777" w:rsidR="00924BFC" w:rsidRPr="00F569AE" w:rsidRDefault="00924BFC" w:rsidP="004058BF">
      <w:pPr>
        <w:pStyle w:val="p1"/>
        <w:spacing w:line="276" w:lineRule="auto"/>
        <w:jc w:val="both"/>
        <w:rPr>
          <w:rFonts w:ascii="Calibri" w:hAnsi="Calibri" w:cs="Calibri"/>
          <w:i/>
          <w:sz w:val="24"/>
          <w:szCs w:val="24"/>
        </w:rPr>
      </w:pPr>
    </w:p>
    <w:p w14:paraId="50851A8E" w14:textId="3CAA252C" w:rsidR="001E0877" w:rsidRPr="00924BFC" w:rsidRDefault="001E0877" w:rsidP="0002596B">
      <w:pPr>
        <w:pStyle w:val="p1"/>
        <w:spacing w:line="276" w:lineRule="auto"/>
        <w:jc w:val="both"/>
        <w:rPr>
          <w:rFonts w:ascii="Calibri" w:hAnsi="Calibri" w:cs="Calibri"/>
          <w:b/>
          <w:bCs/>
          <w:i/>
          <w:iCs/>
          <w:sz w:val="24"/>
          <w:szCs w:val="24"/>
        </w:rPr>
      </w:pPr>
      <w:r w:rsidRPr="00924BFC">
        <w:rPr>
          <w:rFonts w:ascii="Calibri" w:hAnsi="Calibri" w:cs="Calibri"/>
          <w:b/>
          <w:bCs/>
          <w:i/>
          <w:iCs/>
          <w:sz w:val="24"/>
          <w:szCs w:val="24"/>
        </w:rPr>
        <w:t>Internal coherence:</w:t>
      </w:r>
    </w:p>
    <w:p w14:paraId="2CEFC4A4" w14:textId="0215BA7D" w:rsidR="001E0877" w:rsidRDefault="00467A93" w:rsidP="0002596B">
      <w:pPr>
        <w:pStyle w:val="p1"/>
        <w:spacing w:line="276" w:lineRule="auto"/>
        <w:jc w:val="both"/>
        <w:rPr>
          <w:rFonts w:ascii="Calibri" w:hAnsi="Calibri" w:cs="Calibri"/>
          <w:sz w:val="24"/>
          <w:szCs w:val="24"/>
        </w:rPr>
      </w:pPr>
      <w:r w:rsidRPr="00F569AE">
        <w:rPr>
          <w:rFonts w:ascii="Calibri" w:hAnsi="Calibri" w:cs="Calibri"/>
          <w:sz w:val="24"/>
          <w:szCs w:val="24"/>
        </w:rPr>
        <w:t xml:space="preserve">The UNDP BiH </w:t>
      </w:r>
      <w:r w:rsidR="00D02DD5" w:rsidRPr="00F569AE">
        <w:rPr>
          <w:rFonts w:ascii="Calibri" w:hAnsi="Calibri" w:cs="Calibri"/>
          <w:sz w:val="24"/>
          <w:szCs w:val="24"/>
        </w:rPr>
        <w:t>wa</w:t>
      </w:r>
      <w:r w:rsidRPr="00F569AE">
        <w:rPr>
          <w:rFonts w:ascii="Calibri" w:hAnsi="Calibri" w:cs="Calibri"/>
          <w:sz w:val="24"/>
          <w:szCs w:val="24"/>
        </w:rPr>
        <w:t xml:space="preserve">s one of </w:t>
      </w:r>
      <w:r w:rsidR="00363F35" w:rsidRPr="00F569AE">
        <w:rPr>
          <w:rFonts w:ascii="Calibri" w:hAnsi="Calibri" w:cs="Calibri"/>
          <w:sz w:val="24"/>
          <w:szCs w:val="24"/>
        </w:rPr>
        <w:t xml:space="preserve">the </w:t>
      </w:r>
      <w:r w:rsidRPr="00F569AE">
        <w:rPr>
          <w:rFonts w:ascii="Calibri" w:hAnsi="Calibri" w:cs="Calibri"/>
          <w:sz w:val="24"/>
          <w:szCs w:val="24"/>
        </w:rPr>
        <w:t xml:space="preserve">two country </w:t>
      </w:r>
      <w:r w:rsidR="00454553" w:rsidRPr="00F569AE">
        <w:rPr>
          <w:rFonts w:ascii="Calibri" w:hAnsi="Calibri" w:cs="Calibri"/>
          <w:sz w:val="24"/>
          <w:szCs w:val="24"/>
        </w:rPr>
        <w:t xml:space="preserve">offices along with UNDP Nepal </w:t>
      </w:r>
      <w:r w:rsidR="00DE5C35" w:rsidRPr="00F569AE">
        <w:rPr>
          <w:rFonts w:ascii="Calibri" w:hAnsi="Calibri" w:cs="Calibri"/>
          <w:sz w:val="24"/>
          <w:szCs w:val="24"/>
        </w:rPr>
        <w:t xml:space="preserve">that </w:t>
      </w:r>
      <w:r w:rsidR="00AF3A6C" w:rsidRPr="00F569AE">
        <w:rPr>
          <w:rFonts w:ascii="Calibri" w:hAnsi="Calibri" w:cs="Calibri"/>
          <w:sz w:val="24"/>
          <w:szCs w:val="24"/>
        </w:rPr>
        <w:t>led</w:t>
      </w:r>
      <w:r w:rsidR="00DE5C35" w:rsidRPr="00F569AE">
        <w:rPr>
          <w:rFonts w:ascii="Calibri" w:hAnsi="Calibri" w:cs="Calibri"/>
          <w:sz w:val="24"/>
          <w:szCs w:val="24"/>
        </w:rPr>
        <w:t xml:space="preserve"> in </w:t>
      </w:r>
      <w:r w:rsidR="00DE5C35" w:rsidRPr="00F569AE">
        <w:rPr>
          <w:rFonts w:ascii="Calibri" w:hAnsi="Calibri" w:cs="Calibri"/>
          <w:b/>
          <w:i/>
          <w:sz w:val="24"/>
          <w:szCs w:val="24"/>
        </w:rPr>
        <w:t>portfolio approach</w:t>
      </w:r>
      <w:r w:rsidR="004058BF" w:rsidRPr="00F569AE">
        <w:rPr>
          <w:rStyle w:val="FootnoteReference"/>
          <w:rFonts w:ascii="Calibri" w:hAnsi="Calibri" w:cs="Calibri"/>
          <w:sz w:val="24"/>
          <w:szCs w:val="24"/>
        </w:rPr>
        <w:footnoteReference w:id="44"/>
      </w:r>
      <w:r w:rsidR="00217AA1" w:rsidRPr="00F569AE">
        <w:rPr>
          <w:rFonts w:ascii="Calibri" w:hAnsi="Calibri" w:cs="Calibri"/>
          <w:sz w:val="24"/>
          <w:szCs w:val="24"/>
          <w:vertAlign w:val="superscript"/>
        </w:rPr>
        <w:t>,</w:t>
      </w:r>
      <w:r w:rsidR="00217AA1" w:rsidRPr="00F569AE">
        <w:rPr>
          <w:rStyle w:val="FootnoteReference"/>
          <w:rFonts w:ascii="Calibri" w:hAnsi="Calibri" w:cs="Calibri"/>
          <w:sz w:val="24"/>
          <w:szCs w:val="24"/>
        </w:rPr>
        <w:footnoteReference w:id="45"/>
      </w:r>
      <w:r w:rsidR="00DE582F" w:rsidRPr="00F569AE">
        <w:rPr>
          <w:rFonts w:ascii="Calibri" w:hAnsi="Calibri" w:cs="Calibri"/>
          <w:sz w:val="24"/>
          <w:szCs w:val="24"/>
          <w:vertAlign w:val="superscript"/>
        </w:rPr>
        <w:t>,</w:t>
      </w:r>
      <w:r w:rsidR="00DE582F" w:rsidRPr="00F569AE">
        <w:rPr>
          <w:rStyle w:val="FootnoteReference"/>
          <w:rFonts w:ascii="Calibri" w:hAnsi="Calibri" w:cs="Calibri"/>
          <w:sz w:val="24"/>
          <w:szCs w:val="24"/>
        </w:rPr>
        <w:footnoteReference w:id="46"/>
      </w:r>
      <w:r w:rsidR="00DE5C35" w:rsidRPr="00F569AE">
        <w:rPr>
          <w:rFonts w:ascii="Calibri" w:hAnsi="Calibri" w:cs="Calibri"/>
          <w:sz w:val="24"/>
          <w:szCs w:val="24"/>
        </w:rPr>
        <w:t xml:space="preserve"> globally</w:t>
      </w:r>
      <w:r w:rsidR="00AF3A6C">
        <w:rPr>
          <w:rFonts w:ascii="Calibri" w:hAnsi="Calibri" w:cs="Calibri"/>
          <w:sz w:val="24"/>
          <w:szCs w:val="24"/>
        </w:rPr>
        <w:t xml:space="preserve"> as of 2025</w:t>
      </w:r>
      <w:r w:rsidR="00DE5C35" w:rsidRPr="00F569AE">
        <w:rPr>
          <w:rFonts w:ascii="Calibri" w:hAnsi="Calibri" w:cs="Calibri"/>
          <w:sz w:val="24"/>
          <w:szCs w:val="24"/>
        </w:rPr>
        <w:t xml:space="preserve">. </w:t>
      </w:r>
      <w:r w:rsidR="00AF3A6C" w:rsidRPr="00F569AE">
        <w:rPr>
          <w:rFonts w:ascii="Calibri" w:hAnsi="Calibri" w:cs="Calibri"/>
          <w:sz w:val="24"/>
          <w:szCs w:val="24"/>
        </w:rPr>
        <w:t xml:space="preserve">The focus of the portfolio approach </w:t>
      </w:r>
      <w:r w:rsidR="00AF3A6C">
        <w:rPr>
          <w:rFonts w:ascii="Calibri" w:hAnsi="Calibri" w:cs="Calibri"/>
          <w:sz w:val="24"/>
          <w:szCs w:val="24"/>
        </w:rPr>
        <w:t>is</w:t>
      </w:r>
      <w:r w:rsidR="00AF3A6C" w:rsidRPr="00F569AE">
        <w:rPr>
          <w:rFonts w:ascii="Calibri" w:hAnsi="Calibri" w:cs="Calibri"/>
          <w:sz w:val="24"/>
          <w:szCs w:val="24"/>
        </w:rPr>
        <w:t xml:space="preserve"> to </w:t>
      </w:r>
      <w:r w:rsidR="00DD4336">
        <w:rPr>
          <w:rFonts w:ascii="Calibri" w:hAnsi="Calibri" w:cs="Calibri"/>
          <w:sz w:val="24"/>
          <w:szCs w:val="24"/>
        </w:rPr>
        <w:t xml:space="preserve">employ system lenses to </w:t>
      </w:r>
      <w:r w:rsidR="00AF3A6C" w:rsidRPr="00F569AE">
        <w:rPr>
          <w:rFonts w:ascii="Calibri" w:hAnsi="Calibri" w:cs="Calibri"/>
          <w:sz w:val="24"/>
          <w:szCs w:val="24"/>
        </w:rPr>
        <w:t>address complex challenges by multiple interconnected interventions, triggering thereby system level outcomes.</w:t>
      </w:r>
      <w:r w:rsidR="00AF3A6C">
        <w:rPr>
          <w:rFonts w:ascii="Calibri" w:hAnsi="Calibri" w:cs="Calibri"/>
          <w:sz w:val="24"/>
          <w:szCs w:val="24"/>
        </w:rPr>
        <w:t xml:space="preserve"> Th</w:t>
      </w:r>
      <w:r w:rsidR="00DD4336">
        <w:rPr>
          <w:rFonts w:ascii="Calibri" w:hAnsi="Calibri" w:cs="Calibri"/>
          <w:sz w:val="24"/>
          <w:szCs w:val="24"/>
        </w:rPr>
        <w:t>e design of the MEG/EU4MEG project and the MEG program, in general, integrated systems perspective (by addressing systemic bottlenecks across water and local governance systems), explored interconnected interventions (ensuring continuity with the first phase of the MEG programme as well as with other interventions within UNDP Governance portfolio or those implemented by other partners</w:t>
      </w:r>
      <w:r w:rsidR="00707078">
        <w:rPr>
          <w:rFonts w:ascii="Calibri" w:hAnsi="Calibri" w:cs="Calibri"/>
          <w:sz w:val="24"/>
          <w:szCs w:val="24"/>
        </w:rPr>
        <w:t>, e.g. WB, Czech partners</w:t>
      </w:r>
      <w:r w:rsidR="00DD4336">
        <w:rPr>
          <w:rFonts w:ascii="Calibri" w:hAnsi="Calibri" w:cs="Calibri"/>
          <w:sz w:val="24"/>
          <w:szCs w:val="24"/>
        </w:rPr>
        <w:t>)</w:t>
      </w:r>
      <w:r w:rsidR="001E0877">
        <w:rPr>
          <w:rFonts w:ascii="Calibri" w:hAnsi="Calibri" w:cs="Calibri"/>
          <w:sz w:val="24"/>
          <w:szCs w:val="24"/>
        </w:rPr>
        <w:t xml:space="preserve"> or </w:t>
      </w:r>
      <w:r w:rsidR="001E0877" w:rsidRPr="00924BFC">
        <w:rPr>
          <w:rFonts w:ascii="Calibri" w:hAnsi="Calibri" w:cs="Calibri"/>
          <w:sz w:val="24"/>
          <w:szCs w:val="24"/>
        </w:rPr>
        <w:t>building on the results of the UNDP-implemented and SDC-supported Integrated Local Development Project (ILDP) that helped established a coherent planning system at the local level.</w:t>
      </w:r>
    </w:p>
    <w:p w14:paraId="2056FAB5" w14:textId="77777777" w:rsidR="00924BFC" w:rsidRDefault="00924BFC" w:rsidP="0002596B">
      <w:pPr>
        <w:pStyle w:val="p1"/>
        <w:spacing w:line="276" w:lineRule="auto"/>
        <w:jc w:val="both"/>
        <w:rPr>
          <w:rFonts w:ascii="Calibri" w:hAnsi="Calibri" w:cs="Calibri"/>
          <w:sz w:val="24"/>
          <w:szCs w:val="24"/>
        </w:rPr>
      </w:pPr>
    </w:p>
    <w:p w14:paraId="70E52236" w14:textId="77777777" w:rsidR="00CF3891" w:rsidRDefault="00707078" w:rsidP="0002596B">
      <w:pPr>
        <w:pStyle w:val="p1"/>
        <w:spacing w:line="276" w:lineRule="auto"/>
        <w:jc w:val="both"/>
        <w:rPr>
          <w:rFonts w:ascii="Calibri" w:hAnsi="Calibri" w:cs="Calibri"/>
          <w:sz w:val="24"/>
          <w:szCs w:val="24"/>
        </w:rPr>
      </w:pPr>
      <w:r>
        <w:rPr>
          <w:rFonts w:ascii="Calibri" w:hAnsi="Calibri" w:cs="Calibri"/>
          <w:sz w:val="24"/>
          <w:szCs w:val="24"/>
        </w:rPr>
        <w:t>Designed to c</w:t>
      </w:r>
      <w:r w:rsidR="00650D46">
        <w:rPr>
          <w:rFonts w:ascii="Calibri" w:hAnsi="Calibri" w:cs="Calibri"/>
          <w:sz w:val="24"/>
          <w:szCs w:val="24"/>
        </w:rPr>
        <w:t>ontribut</w:t>
      </w:r>
      <w:r>
        <w:rPr>
          <w:rFonts w:ascii="Calibri" w:hAnsi="Calibri" w:cs="Calibri"/>
          <w:sz w:val="24"/>
          <w:szCs w:val="24"/>
        </w:rPr>
        <w:t>e</w:t>
      </w:r>
      <w:r w:rsidR="00650D46">
        <w:rPr>
          <w:rFonts w:ascii="Calibri" w:hAnsi="Calibri" w:cs="Calibri"/>
          <w:sz w:val="24"/>
          <w:szCs w:val="24"/>
        </w:rPr>
        <w:t xml:space="preserve"> to the</w:t>
      </w:r>
      <w:r w:rsidR="00512819">
        <w:rPr>
          <w:rFonts w:ascii="Calibri" w:hAnsi="Calibri" w:cs="Calibri"/>
          <w:sz w:val="24"/>
          <w:szCs w:val="24"/>
        </w:rPr>
        <w:t xml:space="preserve"> achievement of the </w:t>
      </w:r>
      <w:r>
        <w:rPr>
          <w:rFonts w:ascii="Calibri" w:hAnsi="Calibri" w:cs="Calibri"/>
          <w:sz w:val="24"/>
          <w:szCs w:val="24"/>
        </w:rPr>
        <w:t>higher-level</w:t>
      </w:r>
      <w:r w:rsidR="00512819">
        <w:rPr>
          <w:rFonts w:ascii="Calibri" w:hAnsi="Calibri" w:cs="Calibri"/>
          <w:sz w:val="24"/>
          <w:szCs w:val="24"/>
        </w:rPr>
        <w:t xml:space="preserve"> outcome as defined in the</w:t>
      </w:r>
      <w:r w:rsidR="00650D46">
        <w:rPr>
          <w:rFonts w:ascii="Calibri" w:hAnsi="Calibri" w:cs="Calibri"/>
          <w:sz w:val="24"/>
          <w:szCs w:val="24"/>
        </w:rPr>
        <w:t xml:space="preserve"> </w:t>
      </w:r>
      <w:r w:rsidR="00512819" w:rsidRPr="00512819">
        <w:rPr>
          <w:rFonts w:ascii="Calibri" w:hAnsi="Calibri" w:cs="Calibri"/>
          <w:sz w:val="24"/>
          <w:szCs w:val="24"/>
        </w:rPr>
        <w:t xml:space="preserve">UNSDCF BiH 2021-2025 Outcome 4: </w:t>
      </w:r>
      <w:r w:rsidR="00512819" w:rsidRPr="00512819">
        <w:rPr>
          <w:rFonts w:ascii="Calibri" w:hAnsi="Calibri" w:cs="Calibri"/>
          <w:i/>
          <w:sz w:val="24"/>
          <w:szCs w:val="24"/>
        </w:rPr>
        <w:t>By 2025, people contribute to and benefit from more accountable and transparent governance systems that deliver quality public services and ensure rule of law</w:t>
      </w:r>
      <w:r w:rsidR="00512819">
        <w:rPr>
          <w:rFonts w:ascii="Calibri" w:hAnsi="Calibri" w:cs="Calibri"/>
          <w:sz w:val="24"/>
          <w:szCs w:val="24"/>
        </w:rPr>
        <w:t xml:space="preserve">, the MEG/EU4MEG project could be seen as </w:t>
      </w:r>
      <w:r w:rsidR="00195056">
        <w:rPr>
          <w:rFonts w:ascii="Calibri" w:hAnsi="Calibri" w:cs="Calibri"/>
          <w:sz w:val="24"/>
          <w:szCs w:val="24"/>
        </w:rPr>
        <w:t xml:space="preserve">a </w:t>
      </w:r>
      <w:r w:rsidR="00860F01">
        <w:rPr>
          <w:rFonts w:ascii="Calibri" w:hAnsi="Calibri" w:cs="Calibri"/>
          <w:sz w:val="24"/>
          <w:szCs w:val="24"/>
        </w:rPr>
        <w:t>textbook example of a project designed with the portfolio approach</w:t>
      </w:r>
      <w:r w:rsidR="00650D46">
        <w:rPr>
          <w:rFonts w:ascii="Calibri" w:hAnsi="Calibri" w:cs="Calibri"/>
          <w:sz w:val="24"/>
          <w:szCs w:val="24"/>
        </w:rPr>
        <w:t xml:space="preserve"> in focus.</w:t>
      </w:r>
      <w:r>
        <w:rPr>
          <w:rFonts w:ascii="Calibri" w:hAnsi="Calibri" w:cs="Calibri"/>
          <w:sz w:val="24"/>
          <w:szCs w:val="24"/>
        </w:rPr>
        <w:t xml:space="preserve"> </w:t>
      </w:r>
      <w:r w:rsidR="00CF3891">
        <w:rPr>
          <w:rFonts w:ascii="Calibri" w:hAnsi="Calibri" w:cs="Calibri"/>
          <w:sz w:val="24"/>
          <w:szCs w:val="24"/>
        </w:rPr>
        <w:t xml:space="preserve">The design of the MEG/EU4MEG project and the MEG program, in general, integrated systems perspective also through exploring interconnected interventions within the Governance portfolio, e.g. ensuring continuity with the first phase of the MEG programme as well as with other interventions within the UNDP Governance portfolio and specifically </w:t>
      </w:r>
      <w:r w:rsidR="00CF3891" w:rsidRPr="00A21C19">
        <w:rPr>
          <w:rFonts w:ascii="Calibri" w:hAnsi="Calibri" w:cs="Calibri"/>
          <w:sz w:val="24"/>
          <w:szCs w:val="24"/>
        </w:rPr>
        <w:t>building on the results of the UNDP-implemented and SDC-supported Integrated Local Development Project (ILDP) that helped established a coherent planning system at the local level</w:t>
      </w:r>
      <w:r w:rsidR="00CF3891">
        <w:rPr>
          <w:rFonts w:ascii="Calibri" w:hAnsi="Calibri" w:cs="Calibri"/>
          <w:sz w:val="24"/>
          <w:szCs w:val="24"/>
        </w:rPr>
        <w:t>. T</w:t>
      </w:r>
      <w:r w:rsidR="00CF3891" w:rsidRPr="00F569AE">
        <w:rPr>
          <w:rFonts w:ascii="Calibri" w:hAnsi="Calibri" w:cs="Calibri"/>
          <w:sz w:val="24"/>
          <w:szCs w:val="24"/>
        </w:rPr>
        <w:t xml:space="preserve">he MEG/EU4MEG results provided foundation </w:t>
      </w:r>
      <w:r w:rsidR="00CF3891">
        <w:rPr>
          <w:rFonts w:ascii="Calibri" w:hAnsi="Calibri" w:cs="Calibri"/>
          <w:sz w:val="24"/>
          <w:szCs w:val="24"/>
        </w:rPr>
        <w:t>to continue</w:t>
      </w:r>
      <w:r w:rsidR="00CF3891" w:rsidRPr="00F569AE">
        <w:rPr>
          <w:rFonts w:ascii="Calibri" w:hAnsi="Calibri" w:cs="Calibri"/>
          <w:sz w:val="24"/>
          <w:szCs w:val="24"/>
        </w:rPr>
        <w:t xml:space="preserve"> strengthening good governance and </w:t>
      </w:r>
      <w:r w:rsidR="00CF3891">
        <w:rPr>
          <w:rFonts w:ascii="Calibri" w:hAnsi="Calibri" w:cs="Calibri"/>
          <w:sz w:val="24"/>
          <w:szCs w:val="24"/>
        </w:rPr>
        <w:t xml:space="preserve">service provision </w:t>
      </w:r>
      <w:r w:rsidR="00CF3891" w:rsidRPr="00F569AE">
        <w:rPr>
          <w:rFonts w:ascii="Calibri" w:hAnsi="Calibri" w:cs="Calibri"/>
          <w:sz w:val="24"/>
          <w:szCs w:val="24"/>
        </w:rPr>
        <w:t xml:space="preserve">functionalities of </w:t>
      </w:r>
      <w:r w:rsidR="00CF3891">
        <w:rPr>
          <w:rFonts w:ascii="Calibri" w:hAnsi="Calibri" w:cs="Calibri"/>
          <w:sz w:val="24"/>
          <w:szCs w:val="24"/>
        </w:rPr>
        <w:t xml:space="preserve">the </w:t>
      </w:r>
      <w:r w:rsidR="00CF3891" w:rsidRPr="00F569AE">
        <w:rPr>
          <w:rFonts w:ascii="Calibri" w:hAnsi="Calibri" w:cs="Calibri"/>
          <w:sz w:val="24"/>
          <w:szCs w:val="24"/>
        </w:rPr>
        <w:t xml:space="preserve">local authorities to effectively provide </w:t>
      </w:r>
      <w:r w:rsidR="00CF3891">
        <w:rPr>
          <w:rFonts w:ascii="Calibri" w:hAnsi="Calibri" w:cs="Calibri"/>
          <w:sz w:val="24"/>
          <w:szCs w:val="24"/>
        </w:rPr>
        <w:t xml:space="preserve">a wide range of </w:t>
      </w:r>
      <w:r w:rsidR="00CF3891" w:rsidRPr="00F569AE">
        <w:rPr>
          <w:rFonts w:ascii="Calibri" w:hAnsi="Calibri" w:cs="Calibri"/>
          <w:sz w:val="24"/>
          <w:szCs w:val="24"/>
        </w:rPr>
        <w:t xml:space="preserve">communal services to the local population. </w:t>
      </w:r>
    </w:p>
    <w:p w14:paraId="3C365A02" w14:textId="77777777" w:rsidR="00CF3891" w:rsidRDefault="00CF3891" w:rsidP="0002596B">
      <w:pPr>
        <w:pStyle w:val="p1"/>
        <w:spacing w:line="276" w:lineRule="auto"/>
        <w:jc w:val="both"/>
        <w:rPr>
          <w:rFonts w:ascii="Calibri" w:hAnsi="Calibri" w:cs="Calibri"/>
          <w:sz w:val="24"/>
          <w:szCs w:val="24"/>
        </w:rPr>
      </w:pPr>
    </w:p>
    <w:p w14:paraId="2F66B8D3" w14:textId="215E5D84" w:rsidR="00DA1726" w:rsidRPr="00707078" w:rsidRDefault="00707078" w:rsidP="0002596B">
      <w:pPr>
        <w:pStyle w:val="p1"/>
        <w:spacing w:line="276" w:lineRule="auto"/>
        <w:jc w:val="both"/>
        <w:rPr>
          <w:rFonts w:ascii="Calibri" w:hAnsi="Calibri" w:cs="Calibri"/>
          <w:sz w:val="24"/>
          <w:szCs w:val="24"/>
        </w:rPr>
      </w:pPr>
      <w:r>
        <w:rPr>
          <w:rFonts w:ascii="Calibri" w:hAnsi="Calibri" w:cs="Calibri"/>
          <w:sz w:val="24"/>
          <w:szCs w:val="24"/>
        </w:rPr>
        <w:t>From the portfolio approach perspective, i</w:t>
      </w:r>
      <w:r w:rsidR="00D02DD5" w:rsidRPr="00F569AE">
        <w:rPr>
          <w:rFonts w:ascii="Calibri" w:hAnsi="Calibri" w:cs="Calibri"/>
          <w:sz w:val="24"/>
          <w:szCs w:val="24"/>
        </w:rPr>
        <w:t>t remain</w:t>
      </w:r>
      <w:r>
        <w:rPr>
          <w:rFonts w:ascii="Calibri" w:hAnsi="Calibri" w:cs="Calibri"/>
          <w:sz w:val="24"/>
          <w:szCs w:val="24"/>
        </w:rPr>
        <w:t>ed</w:t>
      </w:r>
      <w:r w:rsidR="00D02DD5" w:rsidRPr="00F569AE">
        <w:rPr>
          <w:rFonts w:ascii="Calibri" w:hAnsi="Calibri" w:cs="Calibri"/>
          <w:sz w:val="24"/>
          <w:szCs w:val="24"/>
        </w:rPr>
        <w:t xml:space="preserve"> critical to continue </w:t>
      </w:r>
      <w:r w:rsidR="00240C41" w:rsidRPr="00F569AE">
        <w:rPr>
          <w:rFonts w:ascii="Calibri" w:hAnsi="Calibri" w:cs="Calibri"/>
          <w:sz w:val="24"/>
          <w:szCs w:val="24"/>
        </w:rPr>
        <w:t xml:space="preserve">portfolio efforts towards </w:t>
      </w:r>
      <w:r w:rsidR="00D02DD5" w:rsidRPr="00F569AE">
        <w:rPr>
          <w:rFonts w:ascii="Calibri" w:hAnsi="Calibri" w:cs="Calibri"/>
          <w:sz w:val="24"/>
          <w:szCs w:val="24"/>
        </w:rPr>
        <w:t xml:space="preserve">supporting </w:t>
      </w:r>
      <w:r w:rsidR="0077101A">
        <w:rPr>
          <w:rFonts w:ascii="Calibri" w:hAnsi="Calibri" w:cs="Calibri"/>
          <w:sz w:val="24"/>
          <w:szCs w:val="24"/>
        </w:rPr>
        <w:t xml:space="preserve">the </w:t>
      </w:r>
      <w:r w:rsidR="00D02DD5" w:rsidRPr="00F569AE">
        <w:rPr>
          <w:rFonts w:ascii="Calibri" w:hAnsi="Calibri" w:cs="Calibri"/>
          <w:sz w:val="24"/>
          <w:szCs w:val="24"/>
        </w:rPr>
        <w:t xml:space="preserve">LGs in strengthening their </w:t>
      </w:r>
      <w:r w:rsidR="008D34BA" w:rsidRPr="00F569AE">
        <w:rPr>
          <w:rFonts w:ascii="Calibri" w:hAnsi="Calibri" w:cs="Calibri"/>
          <w:sz w:val="24"/>
          <w:szCs w:val="24"/>
        </w:rPr>
        <w:t>governance</w:t>
      </w:r>
      <w:r w:rsidR="00D02DD5" w:rsidRPr="00F569AE">
        <w:rPr>
          <w:rFonts w:ascii="Calibri" w:hAnsi="Calibri" w:cs="Calibri"/>
          <w:sz w:val="24"/>
          <w:szCs w:val="24"/>
        </w:rPr>
        <w:t xml:space="preserve"> service</w:t>
      </w:r>
      <w:r w:rsidR="00E619E8" w:rsidRPr="00F569AE">
        <w:rPr>
          <w:rFonts w:ascii="Calibri" w:hAnsi="Calibri" w:cs="Calibri"/>
          <w:sz w:val="24"/>
          <w:szCs w:val="24"/>
        </w:rPr>
        <w:t>s</w:t>
      </w:r>
      <w:r w:rsidR="00D02DD5" w:rsidRPr="00F569AE">
        <w:rPr>
          <w:rFonts w:ascii="Calibri" w:hAnsi="Calibri" w:cs="Calibri"/>
          <w:sz w:val="24"/>
          <w:szCs w:val="24"/>
        </w:rPr>
        <w:t xml:space="preserve"> beyond water service</w:t>
      </w:r>
      <w:r w:rsidR="00E619E8" w:rsidRPr="00F569AE">
        <w:rPr>
          <w:rFonts w:ascii="Calibri" w:hAnsi="Calibri" w:cs="Calibri"/>
          <w:sz w:val="24"/>
          <w:szCs w:val="24"/>
        </w:rPr>
        <w:t xml:space="preserve"> provision</w:t>
      </w:r>
      <w:r w:rsidR="00D02DD5" w:rsidRPr="00F569AE">
        <w:rPr>
          <w:rFonts w:ascii="Calibri" w:hAnsi="Calibri" w:cs="Calibri"/>
          <w:sz w:val="24"/>
          <w:szCs w:val="24"/>
        </w:rPr>
        <w:t xml:space="preserve">, creating critical mass of capabilities to allow significant quality improvement of the local </w:t>
      </w:r>
      <w:r w:rsidR="00C25249" w:rsidRPr="00F569AE">
        <w:rPr>
          <w:rFonts w:ascii="Calibri" w:hAnsi="Calibri" w:cs="Calibri"/>
          <w:sz w:val="24"/>
          <w:szCs w:val="24"/>
        </w:rPr>
        <w:t xml:space="preserve">governance and </w:t>
      </w:r>
      <w:r w:rsidR="008D34BA" w:rsidRPr="00F569AE">
        <w:rPr>
          <w:rFonts w:ascii="Calibri" w:hAnsi="Calibri" w:cs="Calibri"/>
          <w:sz w:val="24"/>
          <w:szCs w:val="24"/>
        </w:rPr>
        <w:t>water sector management</w:t>
      </w:r>
      <w:r w:rsidR="00D02DD5" w:rsidRPr="00F569AE">
        <w:rPr>
          <w:rFonts w:ascii="Calibri" w:hAnsi="Calibri" w:cs="Calibri"/>
          <w:sz w:val="24"/>
          <w:szCs w:val="24"/>
        </w:rPr>
        <w:t xml:space="preserve">. </w:t>
      </w:r>
      <w:r w:rsidR="00D02DD5" w:rsidRPr="00F569AE">
        <w:rPr>
          <w:rFonts w:ascii="Calibri" w:hAnsi="Calibri" w:cs="Calibri"/>
          <w:sz w:val="21"/>
          <w:szCs w:val="21"/>
        </w:rPr>
        <w:t xml:space="preserve"> </w:t>
      </w:r>
    </w:p>
    <w:p w14:paraId="2C79EFF9" w14:textId="77777777" w:rsidR="000C4BB4" w:rsidRDefault="000C4BB4" w:rsidP="0002596B">
      <w:pPr>
        <w:pStyle w:val="p1"/>
        <w:spacing w:line="276" w:lineRule="auto"/>
        <w:jc w:val="both"/>
        <w:rPr>
          <w:rFonts w:ascii="Calibri" w:hAnsi="Calibri" w:cs="Calibri"/>
          <w:sz w:val="21"/>
          <w:szCs w:val="21"/>
        </w:rPr>
      </w:pPr>
    </w:p>
    <w:p w14:paraId="5043854E" w14:textId="77777777" w:rsidR="00922732" w:rsidRDefault="00922732" w:rsidP="0002596B">
      <w:pPr>
        <w:pStyle w:val="p1"/>
        <w:spacing w:line="276" w:lineRule="auto"/>
        <w:jc w:val="both"/>
        <w:rPr>
          <w:rFonts w:ascii="Calibri" w:hAnsi="Calibri" w:cs="Calibri"/>
          <w:sz w:val="21"/>
          <w:szCs w:val="21"/>
        </w:rPr>
      </w:pPr>
    </w:p>
    <w:p w14:paraId="313538F1" w14:textId="77777777" w:rsidR="00922732" w:rsidRPr="00F569AE" w:rsidRDefault="00922732" w:rsidP="0002596B">
      <w:pPr>
        <w:pStyle w:val="p1"/>
        <w:spacing w:line="276" w:lineRule="auto"/>
        <w:jc w:val="both"/>
        <w:rPr>
          <w:rFonts w:ascii="Calibri" w:hAnsi="Calibri" w:cs="Calibri"/>
          <w:sz w:val="21"/>
          <w:szCs w:val="21"/>
        </w:rPr>
      </w:pPr>
    </w:p>
    <w:p w14:paraId="0D820F8E" w14:textId="77777777" w:rsidR="009F0F6E" w:rsidRPr="00F569AE" w:rsidRDefault="009F0F6E" w:rsidP="0002596B">
      <w:pPr>
        <w:pStyle w:val="p1"/>
        <w:spacing w:line="276" w:lineRule="auto"/>
        <w:jc w:val="both"/>
        <w:rPr>
          <w:rFonts w:ascii="Calibri" w:hAnsi="Calibri" w:cs="Calibri"/>
          <w:sz w:val="21"/>
          <w:szCs w:val="21"/>
        </w:rPr>
      </w:pPr>
    </w:p>
    <w:p w14:paraId="064A4003" w14:textId="77777777" w:rsidR="003668C2" w:rsidRPr="00F569AE" w:rsidRDefault="003668C2" w:rsidP="003668C2">
      <w:pPr>
        <w:pStyle w:val="p1"/>
        <w:spacing w:line="276" w:lineRule="auto"/>
        <w:jc w:val="both"/>
        <w:rPr>
          <w:rFonts w:ascii="Calibri" w:hAnsi="Calibri" w:cs="Calibri"/>
          <w:b/>
          <w:sz w:val="26"/>
          <w:szCs w:val="26"/>
        </w:rPr>
      </w:pPr>
      <w:r w:rsidRPr="00F569AE">
        <w:rPr>
          <w:rFonts w:ascii="Calibri" w:hAnsi="Calibri" w:cs="Calibri"/>
          <w:b/>
          <w:sz w:val="26"/>
          <w:szCs w:val="26"/>
        </w:rPr>
        <w:lastRenderedPageBreak/>
        <w:t>Effectiveness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3668C2" w:rsidRPr="00F569AE" w14:paraId="7051DE31" w14:textId="77777777">
        <w:tc>
          <w:tcPr>
            <w:tcW w:w="9010" w:type="dxa"/>
            <w:shd w:val="clear" w:color="auto" w:fill="F2F2F2" w:themeFill="background1" w:themeFillShade="F2"/>
          </w:tcPr>
          <w:p w14:paraId="30581B64" w14:textId="66CE3302" w:rsidR="0077101A" w:rsidRDefault="003668C2" w:rsidP="003668C2">
            <w:pPr>
              <w:spacing w:line="276" w:lineRule="auto"/>
              <w:jc w:val="both"/>
              <w:rPr>
                <w:rFonts w:ascii="Calibri" w:hAnsi="Calibri" w:cs="Calibri"/>
                <w:lang w:val="en-US"/>
              </w:rPr>
            </w:pPr>
            <w:r w:rsidRPr="00F569AE">
              <w:rPr>
                <w:rFonts w:ascii="Calibri" w:hAnsi="Calibri" w:cs="Calibri"/>
                <w:lang w:val="en-US"/>
              </w:rPr>
              <w:t xml:space="preserve"> The MEG/MEG4EU project demonstrated remarkable systemic achievements and solid effectiveness towards the realization of its outcomes. </w:t>
            </w:r>
            <w:r w:rsidR="005E4CCE">
              <w:rPr>
                <w:rFonts w:ascii="Calibri" w:hAnsi="Calibri" w:cs="Calibri"/>
                <w:lang w:val="en-US"/>
              </w:rPr>
              <w:t>T</w:t>
            </w:r>
            <w:r w:rsidR="005E4CCE" w:rsidRPr="00293B59">
              <w:rPr>
                <w:rFonts w:ascii="Calibri" w:hAnsi="Calibri" w:cs="Calibri"/>
                <w:lang w:val="en-US"/>
              </w:rPr>
              <w:t xml:space="preserve">he project supported the LGs and WUCs to </w:t>
            </w:r>
            <w:r w:rsidR="005E4CCE" w:rsidRPr="00D075CF">
              <w:rPr>
                <w:rFonts w:ascii="Calibri" w:hAnsi="Calibri" w:cs="Calibri"/>
                <w:lang w:val="en-US"/>
              </w:rPr>
              <w:t>significantly improve their effectiveness across various areas of their performance</w:t>
            </w:r>
            <w:r w:rsidR="000E7F1C" w:rsidRPr="00D075CF">
              <w:rPr>
                <w:rFonts w:ascii="Calibri" w:hAnsi="Calibri" w:cs="Calibri"/>
                <w:lang w:val="en-US"/>
              </w:rPr>
              <w:t>. More specifically, the project reached its target of 25% LGs reaching good local governance benchmark thus ensuring democratic governance and effective service delivery</w:t>
            </w:r>
            <w:r w:rsidR="005E4CCE" w:rsidRPr="00D075CF">
              <w:rPr>
                <w:rFonts w:ascii="Calibri" w:hAnsi="Calibri" w:cs="Calibri"/>
                <w:lang w:val="en-US"/>
              </w:rPr>
              <w:t>.</w:t>
            </w:r>
            <w:r w:rsidR="00971150">
              <w:rPr>
                <w:rFonts w:ascii="Calibri" w:hAnsi="Calibri" w:cs="Calibri"/>
                <w:lang w:val="en-US"/>
              </w:rPr>
              <w:t xml:space="preserve"> </w:t>
            </w:r>
            <w:r w:rsidRPr="00F569AE">
              <w:rPr>
                <w:rFonts w:ascii="Calibri" w:hAnsi="Calibri" w:cs="Calibri"/>
                <w:lang w:val="en-US"/>
              </w:rPr>
              <w:t xml:space="preserve">The project resulted in multiple critical systemic achievements for the BiH including (i) facilitation and design of harmonized legal frameworks in water services sector aligned with the EU Water Directive; (ii) broadening the repositorium of capacities and tools acquired by the LGs and WUCs to improve their performance in </w:t>
            </w:r>
            <w:r w:rsidR="00240695" w:rsidRPr="00240695">
              <w:rPr>
                <w:rFonts w:ascii="Calibri" w:hAnsi="Calibri" w:cs="Calibri"/>
                <w:lang w:val="en-US"/>
              </w:rPr>
              <w:t>in both public services provision and water services sector and beyond,</w:t>
            </w:r>
            <w:r w:rsidRPr="00F569AE">
              <w:rPr>
                <w:rFonts w:ascii="Calibri" w:hAnsi="Calibri" w:cs="Calibri"/>
                <w:lang w:val="en-US"/>
              </w:rPr>
              <w:t xml:space="preserve"> (iii) establishing system of peer support across the partner LGs </w:t>
            </w:r>
            <w:r w:rsidR="00240695" w:rsidRPr="00240695">
              <w:rPr>
                <w:rFonts w:ascii="Calibri" w:hAnsi="Calibri" w:cs="Calibri"/>
                <w:lang w:val="en-US"/>
              </w:rPr>
              <w:t xml:space="preserve">LGs and WUCs to ensure cross-municipal learning </w:t>
            </w:r>
            <w:r w:rsidRPr="00F569AE">
              <w:rPr>
                <w:rFonts w:ascii="Calibri" w:hAnsi="Calibri" w:cs="Calibri"/>
                <w:lang w:val="en-US"/>
              </w:rPr>
              <w:t xml:space="preserve">and knowledge sharing, and (iv) broadening avenues for citizens’ participation in local decision-making. </w:t>
            </w:r>
          </w:p>
          <w:p w14:paraId="45F26AD9" w14:textId="77777777" w:rsidR="0077101A" w:rsidRDefault="0077101A" w:rsidP="003668C2">
            <w:pPr>
              <w:spacing w:line="276" w:lineRule="auto"/>
              <w:jc w:val="both"/>
              <w:rPr>
                <w:rFonts w:ascii="Calibri" w:hAnsi="Calibri" w:cs="Calibri"/>
                <w:lang w:val="en-US"/>
              </w:rPr>
            </w:pPr>
          </w:p>
          <w:p w14:paraId="664AD08E" w14:textId="153FCE4E" w:rsidR="0047260B" w:rsidRDefault="0047260B" w:rsidP="00E038FA">
            <w:pPr>
              <w:spacing w:line="276" w:lineRule="auto"/>
              <w:jc w:val="both"/>
              <w:rPr>
                <w:rFonts w:ascii="Calibri" w:hAnsi="Calibri" w:cs="Calibri"/>
                <w:lang w:val="en-US"/>
              </w:rPr>
            </w:pPr>
            <w:r>
              <w:rPr>
                <w:rFonts w:ascii="Calibri" w:hAnsi="Calibri" w:cs="Calibri"/>
                <w:lang w:val="en-US"/>
              </w:rPr>
              <w:t xml:space="preserve">The project supported </w:t>
            </w:r>
            <w:r w:rsidR="003668C2" w:rsidRPr="00F569AE">
              <w:rPr>
                <w:rFonts w:ascii="Calibri" w:hAnsi="Calibri" w:cs="Calibri"/>
                <w:lang w:val="en-US"/>
              </w:rPr>
              <w:t xml:space="preserve">pre-emptive implementation of the water services laws in the FBiH and RS, </w:t>
            </w:r>
            <w:r>
              <w:rPr>
                <w:rFonts w:ascii="Calibri" w:hAnsi="Calibri" w:cs="Calibri"/>
                <w:lang w:val="en-US"/>
              </w:rPr>
              <w:t xml:space="preserve">leading to </w:t>
            </w:r>
            <w:r w:rsidRPr="0047260B">
              <w:rPr>
                <w:rFonts w:ascii="Calibri" w:hAnsi="Calibri" w:cs="Calibri"/>
                <w:i/>
                <w:lang w:val="en-US"/>
              </w:rPr>
              <w:t>inter alia</w:t>
            </w:r>
            <w:r>
              <w:rPr>
                <w:rFonts w:ascii="Calibri" w:hAnsi="Calibri" w:cs="Calibri"/>
                <w:lang w:val="en-US"/>
              </w:rPr>
              <w:t xml:space="preserve"> </w:t>
            </w:r>
            <w:r w:rsidR="003668C2" w:rsidRPr="00F569AE">
              <w:rPr>
                <w:rFonts w:ascii="Calibri" w:hAnsi="Calibri" w:cs="Calibri"/>
                <w:lang w:val="en-US"/>
              </w:rPr>
              <w:t xml:space="preserve">improved performance of the partner LGs as more accountable and inclusive, </w:t>
            </w:r>
            <w:r>
              <w:rPr>
                <w:rFonts w:ascii="Calibri" w:hAnsi="Calibri" w:cs="Calibri"/>
                <w:lang w:val="en-US"/>
              </w:rPr>
              <w:t>expanding access to drinking</w:t>
            </w:r>
            <w:r w:rsidR="003668C2" w:rsidRPr="00F569AE">
              <w:rPr>
                <w:rFonts w:ascii="Calibri" w:hAnsi="Calibri" w:cs="Calibri"/>
                <w:lang w:val="en-US"/>
              </w:rPr>
              <w:t xml:space="preserve"> water </w:t>
            </w:r>
            <w:r>
              <w:rPr>
                <w:rFonts w:ascii="Calibri" w:hAnsi="Calibri" w:cs="Calibri"/>
                <w:lang w:val="en-US"/>
              </w:rPr>
              <w:t xml:space="preserve">to </w:t>
            </w:r>
            <w:r w:rsidRPr="00F569AE">
              <w:rPr>
                <w:rFonts w:ascii="Calibri" w:hAnsi="Calibri" w:cs="Calibri"/>
                <w:lang w:val="en-US"/>
              </w:rPr>
              <w:t>782,080 people</w:t>
            </w:r>
            <w:r w:rsidR="003668C2" w:rsidRPr="00F569AE">
              <w:rPr>
                <w:rFonts w:ascii="Calibri" w:hAnsi="Calibri" w:cs="Calibri"/>
                <w:lang w:val="en-US"/>
              </w:rPr>
              <w:t xml:space="preserve">, </w:t>
            </w:r>
            <w:r>
              <w:rPr>
                <w:rFonts w:ascii="Calibri" w:hAnsi="Calibri" w:cs="Calibri"/>
                <w:lang w:val="en-US"/>
              </w:rPr>
              <w:t>supporting the</w:t>
            </w:r>
            <w:r w:rsidR="003668C2" w:rsidRPr="00F569AE">
              <w:rPr>
                <w:rFonts w:ascii="Calibri" w:hAnsi="Calibri" w:cs="Calibri"/>
                <w:lang w:val="en-US"/>
              </w:rPr>
              <w:t xml:space="preserve"> most vulnerable </w:t>
            </w:r>
            <w:r>
              <w:rPr>
                <w:rFonts w:ascii="Calibri" w:hAnsi="Calibri" w:cs="Calibri"/>
                <w:lang w:val="en-US"/>
              </w:rPr>
              <w:t>to benefit</w:t>
            </w:r>
            <w:r w:rsidR="003668C2" w:rsidRPr="00F569AE">
              <w:rPr>
                <w:rFonts w:ascii="Calibri" w:hAnsi="Calibri" w:cs="Calibri"/>
                <w:lang w:val="en-US"/>
              </w:rPr>
              <w:t xml:space="preserve"> from water subsidy schemes. The project delivered truly innovative solutions advancing the modernization of the water sector in BiH</w:t>
            </w:r>
            <w:r>
              <w:rPr>
                <w:rFonts w:ascii="Calibri" w:hAnsi="Calibri" w:cs="Calibri"/>
                <w:lang w:val="en-US"/>
              </w:rPr>
              <w:t>.</w:t>
            </w:r>
            <w:r w:rsidR="003668C2" w:rsidRPr="00F569AE">
              <w:rPr>
                <w:rFonts w:ascii="Calibri" w:hAnsi="Calibri" w:cs="Calibri"/>
                <w:lang w:val="en-US"/>
              </w:rPr>
              <w:t xml:space="preserve"> </w:t>
            </w:r>
          </w:p>
          <w:p w14:paraId="14D4D58D" w14:textId="77777777" w:rsidR="0047260B" w:rsidRDefault="0047260B" w:rsidP="00E038FA">
            <w:pPr>
              <w:spacing w:line="276" w:lineRule="auto"/>
              <w:jc w:val="both"/>
              <w:rPr>
                <w:rFonts w:ascii="Calibri" w:hAnsi="Calibri" w:cs="Calibri"/>
                <w:lang w:val="en-US"/>
              </w:rPr>
            </w:pPr>
          </w:p>
          <w:p w14:paraId="65B1C7FB" w14:textId="3AD05F2F" w:rsidR="003668C2" w:rsidRPr="00F569AE" w:rsidRDefault="003668C2" w:rsidP="00E038FA">
            <w:pPr>
              <w:spacing w:line="276" w:lineRule="auto"/>
              <w:jc w:val="both"/>
              <w:rPr>
                <w:rFonts w:ascii="Calibri" w:hAnsi="Calibri" w:cs="Calibri"/>
                <w:lang w:val="en-US"/>
              </w:rPr>
            </w:pPr>
            <w:r w:rsidRPr="00F569AE">
              <w:rPr>
                <w:rFonts w:ascii="Calibri" w:hAnsi="Calibri" w:cs="Calibri"/>
                <w:lang w:val="en-US"/>
              </w:rPr>
              <w:t xml:space="preserve">Along its implementation, effective cooperation and coordination was fostered with a range of stakeholders </w:t>
            </w:r>
            <w:r w:rsidRPr="0047260B">
              <w:rPr>
                <w:rFonts w:ascii="Calibri" w:hAnsi="Calibri" w:cs="Calibri"/>
                <w:i/>
                <w:lang w:val="en-US"/>
              </w:rPr>
              <w:t>inter alia</w:t>
            </w:r>
            <w:r w:rsidRPr="00F569AE">
              <w:rPr>
                <w:rFonts w:ascii="Calibri" w:hAnsi="Calibri" w:cs="Calibri"/>
                <w:lang w:val="en-US"/>
              </w:rPr>
              <w:t xml:space="preserve"> the partner LGs, WUCs, state authorities, as well as the Water Alliance partnership </w:t>
            </w:r>
            <w:r w:rsidR="0047260B">
              <w:rPr>
                <w:rFonts w:ascii="Calibri" w:hAnsi="Calibri" w:cs="Calibri"/>
                <w:lang w:val="en-US"/>
              </w:rPr>
              <w:t>of</w:t>
            </w:r>
            <w:r w:rsidRPr="00F569AE">
              <w:rPr>
                <w:rFonts w:ascii="Calibri" w:hAnsi="Calibri" w:cs="Calibri"/>
                <w:lang w:val="en-US"/>
              </w:rPr>
              <w:t xml:space="preserve"> leading donors in </w:t>
            </w:r>
            <w:r w:rsidR="0047260B">
              <w:rPr>
                <w:rFonts w:ascii="Calibri" w:hAnsi="Calibri" w:cs="Calibri"/>
                <w:lang w:val="en-US"/>
              </w:rPr>
              <w:t xml:space="preserve">the </w:t>
            </w:r>
            <w:r w:rsidRPr="00F569AE">
              <w:rPr>
                <w:rFonts w:ascii="Calibri" w:hAnsi="Calibri" w:cs="Calibri"/>
                <w:lang w:val="en-US"/>
              </w:rPr>
              <w:t xml:space="preserve">water sector in BiH. The project demonstrated various degree of adaptive management, maintaining main course of action towards persistent systemic challenges in water and local governance sectors, while employing highly agile management at the operational level. </w:t>
            </w:r>
            <w:r w:rsidR="00240695">
              <w:rPr>
                <w:rFonts w:ascii="Calibri" w:hAnsi="Calibri" w:cs="Calibri"/>
              </w:rPr>
              <w:t>The project kept distinct focus on addressing the needs of the most vulnerable population, including, women, youth, people wiht disabilities, etc.</w:t>
            </w:r>
          </w:p>
        </w:tc>
      </w:tr>
    </w:tbl>
    <w:p w14:paraId="0FC6013A" w14:textId="77777777" w:rsidR="003668C2" w:rsidRPr="00F569AE" w:rsidRDefault="003668C2" w:rsidP="003668C2">
      <w:pPr>
        <w:pStyle w:val="p1"/>
        <w:spacing w:line="276" w:lineRule="auto"/>
        <w:jc w:val="both"/>
        <w:rPr>
          <w:rFonts w:ascii="Calibri" w:hAnsi="Calibri" w:cs="Calibri"/>
          <w:sz w:val="24"/>
          <w:szCs w:val="24"/>
        </w:rPr>
      </w:pPr>
    </w:p>
    <w:p w14:paraId="3A29D87A" w14:textId="77777777" w:rsidR="003668C2" w:rsidRPr="00F569AE" w:rsidRDefault="003668C2" w:rsidP="003668C2">
      <w:pPr>
        <w:pStyle w:val="p1"/>
        <w:spacing w:line="276" w:lineRule="auto"/>
        <w:jc w:val="both"/>
        <w:rPr>
          <w:rFonts w:ascii="Calibri" w:hAnsi="Calibri" w:cs="Calibri"/>
          <w:i/>
          <w:sz w:val="24"/>
          <w:szCs w:val="24"/>
        </w:rPr>
      </w:pPr>
      <w:r w:rsidRPr="00F569AE">
        <w:rPr>
          <w:rFonts w:ascii="Calibri" w:hAnsi="Calibri" w:cs="Calibri"/>
          <w:i/>
          <w:sz w:val="24"/>
          <w:szCs w:val="24"/>
        </w:rPr>
        <w:t>6. To what extent has the project contributed to the expected outcomes as defined in the project document?</w:t>
      </w:r>
    </w:p>
    <w:p w14:paraId="726281F4" w14:textId="77777777" w:rsidR="003668C2" w:rsidRPr="00F569AE" w:rsidRDefault="003668C2" w:rsidP="003668C2">
      <w:pPr>
        <w:pStyle w:val="p1"/>
        <w:spacing w:line="276" w:lineRule="auto"/>
        <w:jc w:val="both"/>
        <w:rPr>
          <w:rFonts w:ascii="Calibri" w:hAnsi="Calibri" w:cs="Calibri"/>
          <w:sz w:val="24"/>
          <w:szCs w:val="24"/>
        </w:rPr>
      </w:pPr>
    </w:p>
    <w:p w14:paraId="48207257" w14:textId="32BEF14A" w:rsidR="003668C2" w:rsidRPr="00D075CF" w:rsidRDefault="003668C2" w:rsidP="00D075CF">
      <w:pPr>
        <w:jc w:val="both"/>
        <w:rPr>
          <w:rFonts w:ascii="Calibri" w:hAnsi="Calibri" w:cs="Calibri"/>
        </w:rPr>
      </w:pPr>
      <w:r w:rsidRPr="00F569AE">
        <w:rPr>
          <w:rFonts w:ascii="Calibri" w:hAnsi="Calibri" w:cs="Calibri"/>
        </w:rPr>
        <w:t xml:space="preserve">Throughout its implementation, the MEG/EU4MEG project has demonstrated several critical system achievements along the progress made towards the realization of its outcomes, indicating thereby the direction for the next interventions to sustain and build upon the results achieved. </w:t>
      </w:r>
      <w:r w:rsidR="00417ABB">
        <w:rPr>
          <w:rFonts w:ascii="Calibri" w:hAnsi="Calibri" w:cs="Calibri"/>
        </w:rPr>
        <w:t xml:space="preserve">The project meet its target to improve the </w:t>
      </w:r>
      <w:r w:rsidR="00417ABB" w:rsidRPr="00D075CF">
        <w:rPr>
          <w:rFonts w:ascii="Calibri" w:hAnsi="Calibri" w:cs="Calibri"/>
        </w:rPr>
        <w:t>percentage of local governments in the country (calculated among MEG LGs) which meet the good local governance benchmarks, thus ensure democratic governance and effective service delivery. More specifically, the project supported the progress from 11% to 24,8% improvement, while the target was 25%.</w:t>
      </w:r>
    </w:p>
    <w:p w14:paraId="1FCF4175" w14:textId="77777777" w:rsidR="003668C2" w:rsidRPr="00F569AE" w:rsidRDefault="003668C2" w:rsidP="003668C2">
      <w:pPr>
        <w:pStyle w:val="p1"/>
        <w:spacing w:line="276" w:lineRule="auto"/>
        <w:jc w:val="both"/>
        <w:rPr>
          <w:rFonts w:ascii="Calibri" w:hAnsi="Calibri" w:cs="Calibri"/>
          <w:sz w:val="24"/>
          <w:szCs w:val="24"/>
        </w:rPr>
      </w:pPr>
    </w:p>
    <w:p w14:paraId="6D0EF4C7" w14:textId="302F3C8B" w:rsidR="003668C2" w:rsidRDefault="003668C2" w:rsidP="003668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lang w:val="en-US"/>
        </w:rPr>
      </w:pPr>
      <w:r w:rsidRPr="00F569AE">
        <w:rPr>
          <w:rFonts w:ascii="Calibri" w:hAnsi="Calibri" w:cs="Calibri"/>
          <w:b/>
          <w:i/>
          <w:lang w:val="en-US"/>
        </w:rPr>
        <w:lastRenderedPageBreak/>
        <w:t>Progress towards Outcome 1:</w:t>
      </w:r>
      <w:r w:rsidRPr="00F569AE">
        <w:rPr>
          <w:rFonts w:ascii="Calibri" w:hAnsi="Calibri" w:cs="Calibri"/>
          <w:lang w:val="en-US"/>
        </w:rPr>
        <w:t xml:space="preserve"> </w:t>
      </w:r>
      <w:r w:rsidRPr="00F569AE">
        <w:rPr>
          <w:rFonts w:ascii="Calibri" w:hAnsi="Calibri" w:cs="Calibri"/>
          <w:i/>
          <w:lang w:val="en-US"/>
        </w:rPr>
        <w:t>State, entity and cantonal governments set in place a more conducive policy and regulatory environment that affirms result-oriented local governance and improved water supply and wastewater management services.</w:t>
      </w:r>
      <w:r w:rsidRPr="00F569AE">
        <w:rPr>
          <w:rFonts w:ascii="Calibri" w:hAnsi="Calibri" w:cs="Calibri"/>
          <w:lang w:val="en-US"/>
        </w:rPr>
        <w:t xml:space="preserve"> </w:t>
      </w:r>
    </w:p>
    <w:p w14:paraId="104A9BEA" w14:textId="0F8F63CE" w:rsidR="00780F53" w:rsidRPr="00D075CF" w:rsidRDefault="00780F53" w:rsidP="003668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lang w:val="en-US"/>
        </w:rPr>
      </w:pPr>
      <w:r w:rsidRPr="00D075CF">
        <w:rPr>
          <w:rFonts w:ascii="Calibri" w:hAnsi="Calibri" w:cs="Calibri"/>
          <w:b/>
          <w:bCs/>
          <w:i/>
          <w:iCs/>
          <w:lang w:val="en-US"/>
        </w:rPr>
        <w:t>Brief overview of progress vis-à-vis indicators:</w:t>
      </w:r>
    </w:p>
    <w:tbl>
      <w:tblPr>
        <w:tblW w:w="9204" w:type="dxa"/>
        <w:tblLayout w:type="fixed"/>
        <w:tblLook w:val="04A0" w:firstRow="1" w:lastRow="0" w:firstColumn="1" w:lastColumn="0" w:noHBand="0" w:noVBand="1"/>
      </w:tblPr>
      <w:tblGrid>
        <w:gridCol w:w="1833"/>
        <w:gridCol w:w="3827"/>
        <w:gridCol w:w="1276"/>
        <w:gridCol w:w="992"/>
        <w:gridCol w:w="1276"/>
      </w:tblGrid>
      <w:tr w:rsidR="00D45042" w:rsidRPr="00D42106" w14:paraId="2D298C57" w14:textId="77777777" w:rsidTr="00347595">
        <w:trPr>
          <w:trHeight w:val="289"/>
        </w:trPr>
        <w:tc>
          <w:tcPr>
            <w:tcW w:w="1833" w:type="dxa"/>
            <w:vMerge w:val="restart"/>
            <w:tcBorders>
              <w:top w:val="single" w:sz="8" w:space="0" w:color="auto"/>
              <w:left w:val="single" w:sz="8" w:space="0" w:color="auto"/>
              <w:bottom w:val="single" w:sz="4" w:space="0" w:color="auto"/>
              <w:right w:val="single" w:sz="4" w:space="0" w:color="auto"/>
            </w:tcBorders>
            <w:shd w:val="clear" w:color="auto" w:fill="C1E4F5" w:themeFill="accent1" w:themeFillTint="33"/>
            <w:vAlign w:val="center"/>
            <w:hideMark/>
          </w:tcPr>
          <w:p w14:paraId="40D4338B" w14:textId="77777777" w:rsidR="00D45042" w:rsidRPr="00D42106" w:rsidRDefault="00D45042" w:rsidP="00347595">
            <w:pPr>
              <w:rPr>
                <w:rFonts w:ascii="Calibri" w:hAnsi="Calibri" w:cs="Calibri"/>
                <w:b/>
                <w:sz w:val="18"/>
                <w:szCs w:val="18"/>
                <w:lang w:eastAsia="sr-Latn-BA"/>
              </w:rPr>
            </w:pPr>
            <w:r w:rsidRPr="00D42106">
              <w:rPr>
                <w:rFonts w:ascii="Calibri" w:hAnsi="Calibri" w:cs="Calibri"/>
                <w:b/>
                <w:sz w:val="18"/>
                <w:szCs w:val="18"/>
                <w:lang w:eastAsia="sr-Latn-BA"/>
              </w:rPr>
              <w:t>Outcomes</w:t>
            </w:r>
          </w:p>
        </w:tc>
        <w:tc>
          <w:tcPr>
            <w:tcW w:w="3827" w:type="dxa"/>
            <w:vMerge w:val="restart"/>
            <w:tcBorders>
              <w:top w:val="single" w:sz="8" w:space="0" w:color="auto"/>
              <w:left w:val="single" w:sz="4" w:space="0" w:color="auto"/>
              <w:bottom w:val="single" w:sz="4" w:space="0" w:color="auto"/>
              <w:right w:val="single" w:sz="4" w:space="0" w:color="auto"/>
            </w:tcBorders>
            <w:shd w:val="clear" w:color="auto" w:fill="C1E4F5" w:themeFill="accent1" w:themeFillTint="33"/>
            <w:vAlign w:val="center"/>
            <w:hideMark/>
          </w:tcPr>
          <w:p w14:paraId="27CA363C" w14:textId="77777777" w:rsidR="00D45042" w:rsidRPr="00D42106" w:rsidRDefault="00D45042" w:rsidP="00347595">
            <w:pPr>
              <w:rPr>
                <w:rFonts w:ascii="Calibri" w:hAnsi="Calibri" w:cs="Calibri"/>
                <w:b/>
                <w:sz w:val="18"/>
                <w:szCs w:val="18"/>
                <w:lang w:eastAsia="sr-Latn-BA"/>
              </w:rPr>
            </w:pPr>
            <w:r w:rsidRPr="00D42106">
              <w:rPr>
                <w:rFonts w:ascii="Calibri" w:hAnsi="Calibri" w:cs="Calibri"/>
                <w:b/>
                <w:sz w:val="18"/>
                <w:szCs w:val="18"/>
                <w:lang w:eastAsia="sr-Latn-BA"/>
              </w:rPr>
              <w:t>Outcome indicators</w:t>
            </w:r>
          </w:p>
        </w:tc>
        <w:tc>
          <w:tcPr>
            <w:tcW w:w="1276" w:type="dxa"/>
            <w:tcBorders>
              <w:top w:val="single" w:sz="8" w:space="0" w:color="auto"/>
              <w:left w:val="nil"/>
              <w:bottom w:val="single" w:sz="4" w:space="0" w:color="auto"/>
              <w:right w:val="single" w:sz="8" w:space="0" w:color="000000"/>
            </w:tcBorders>
            <w:shd w:val="clear" w:color="auto" w:fill="C1E4F5" w:themeFill="accent1" w:themeFillTint="33"/>
            <w:noWrap/>
            <w:vAlign w:val="bottom"/>
            <w:hideMark/>
          </w:tcPr>
          <w:p w14:paraId="138F745D" w14:textId="77777777" w:rsidR="00D45042" w:rsidRPr="00D42106" w:rsidRDefault="00D45042" w:rsidP="00347595">
            <w:pPr>
              <w:jc w:val="center"/>
              <w:rPr>
                <w:rFonts w:ascii="Calibri" w:hAnsi="Calibri" w:cs="Calibri"/>
                <w:b/>
                <w:sz w:val="18"/>
                <w:szCs w:val="18"/>
                <w:lang w:eastAsia="sr-Latn-BA"/>
              </w:rPr>
            </w:pPr>
            <w:r w:rsidRPr="00D42106">
              <w:rPr>
                <w:rFonts w:ascii="Calibri" w:hAnsi="Calibri" w:cs="Calibri"/>
                <w:b/>
                <w:sz w:val="18"/>
                <w:szCs w:val="18"/>
                <w:lang w:eastAsia="sr-Latn-BA"/>
              </w:rPr>
              <w:t>Baseline</w:t>
            </w:r>
          </w:p>
        </w:tc>
        <w:tc>
          <w:tcPr>
            <w:tcW w:w="992" w:type="dxa"/>
            <w:tcBorders>
              <w:top w:val="single" w:sz="8" w:space="0" w:color="auto"/>
              <w:left w:val="nil"/>
              <w:bottom w:val="single" w:sz="4" w:space="0" w:color="auto"/>
              <w:right w:val="nil"/>
            </w:tcBorders>
            <w:shd w:val="clear" w:color="auto" w:fill="C1E4F5" w:themeFill="accent1" w:themeFillTint="33"/>
            <w:vAlign w:val="center"/>
          </w:tcPr>
          <w:p w14:paraId="016FE217" w14:textId="77777777" w:rsidR="00D45042" w:rsidRPr="00D42106" w:rsidRDefault="00D45042" w:rsidP="00347595">
            <w:pPr>
              <w:jc w:val="center"/>
              <w:rPr>
                <w:rFonts w:ascii="Calibri" w:hAnsi="Calibri" w:cs="Calibri"/>
                <w:b/>
                <w:sz w:val="18"/>
                <w:szCs w:val="18"/>
                <w:lang w:eastAsia="sr-Latn-BA"/>
              </w:rPr>
            </w:pPr>
          </w:p>
        </w:tc>
        <w:tc>
          <w:tcPr>
            <w:tcW w:w="1276" w:type="dxa"/>
            <w:tcBorders>
              <w:top w:val="single" w:sz="8" w:space="0" w:color="auto"/>
              <w:left w:val="nil"/>
              <w:bottom w:val="single" w:sz="4" w:space="0" w:color="auto"/>
              <w:right w:val="single" w:sz="8" w:space="0" w:color="000000"/>
            </w:tcBorders>
            <w:shd w:val="clear" w:color="auto" w:fill="C1E4F5" w:themeFill="accent1" w:themeFillTint="33"/>
            <w:vAlign w:val="center"/>
          </w:tcPr>
          <w:p w14:paraId="3C4138B7" w14:textId="77777777" w:rsidR="00D45042" w:rsidRPr="00D42106" w:rsidRDefault="00D45042" w:rsidP="00347595">
            <w:pPr>
              <w:jc w:val="center"/>
              <w:rPr>
                <w:rFonts w:ascii="Calibri" w:hAnsi="Calibri" w:cs="Calibri"/>
                <w:b/>
                <w:sz w:val="18"/>
                <w:szCs w:val="18"/>
                <w:lang w:eastAsia="sr-Latn-BA"/>
              </w:rPr>
            </w:pPr>
          </w:p>
        </w:tc>
      </w:tr>
      <w:tr w:rsidR="00D45042" w:rsidRPr="00D42106" w14:paraId="5FC9F5DE" w14:textId="77777777" w:rsidTr="00347595">
        <w:trPr>
          <w:trHeight w:val="289"/>
        </w:trPr>
        <w:tc>
          <w:tcPr>
            <w:tcW w:w="1833" w:type="dxa"/>
            <w:vMerge/>
            <w:tcBorders>
              <w:top w:val="single" w:sz="8" w:space="0" w:color="auto"/>
              <w:left w:val="single" w:sz="8" w:space="0" w:color="auto"/>
              <w:bottom w:val="single" w:sz="4" w:space="0" w:color="auto"/>
              <w:right w:val="single" w:sz="4" w:space="0" w:color="auto"/>
            </w:tcBorders>
            <w:shd w:val="clear" w:color="auto" w:fill="C1E4F5" w:themeFill="accent1" w:themeFillTint="33"/>
            <w:vAlign w:val="center"/>
            <w:hideMark/>
          </w:tcPr>
          <w:p w14:paraId="2DF9ABF7" w14:textId="77777777" w:rsidR="00D45042" w:rsidRPr="00D42106" w:rsidRDefault="00D45042" w:rsidP="00347595">
            <w:pPr>
              <w:rPr>
                <w:rFonts w:ascii="Calibri" w:hAnsi="Calibri" w:cs="Calibri"/>
                <w:b/>
                <w:sz w:val="18"/>
                <w:szCs w:val="18"/>
                <w:lang w:eastAsia="sr-Latn-BA"/>
              </w:rPr>
            </w:pPr>
          </w:p>
        </w:tc>
        <w:tc>
          <w:tcPr>
            <w:tcW w:w="3827" w:type="dxa"/>
            <w:vMerge/>
            <w:tcBorders>
              <w:top w:val="single" w:sz="8" w:space="0" w:color="auto"/>
              <w:left w:val="single" w:sz="4" w:space="0" w:color="auto"/>
              <w:bottom w:val="single" w:sz="4" w:space="0" w:color="auto"/>
              <w:right w:val="single" w:sz="4" w:space="0" w:color="auto"/>
            </w:tcBorders>
            <w:shd w:val="clear" w:color="auto" w:fill="C1E4F5" w:themeFill="accent1" w:themeFillTint="33"/>
            <w:vAlign w:val="center"/>
            <w:hideMark/>
          </w:tcPr>
          <w:p w14:paraId="5E46EBB6" w14:textId="77777777" w:rsidR="00D45042" w:rsidRPr="00D42106" w:rsidRDefault="00D45042" w:rsidP="00347595">
            <w:pPr>
              <w:rPr>
                <w:rFonts w:ascii="Calibri" w:hAnsi="Calibri" w:cs="Calibri"/>
                <w:b/>
                <w:sz w:val="18"/>
                <w:szCs w:val="18"/>
                <w:lang w:eastAsia="sr-Latn-BA"/>
              </w:rPr>
            </w:pPr>
          </w:p>
        </w:tc>
        <w:tc>
          <w:tcPr>
            <w:tcW w:w="1276" w:type="dxa"/>
            <w:tcBorders>
              <w:top w:val="nil"/>
              <w:left w:val="nil"/>
              <w:bottom w:val="single" w:sz="4" w:space="0" w:color="auto"/>
              <w:right w:val="single" w:sz="4" w:space="0" w:color="auto"/>
            </w:tcBorders>
            <w:shd w:val="clear" w:color="auto" w:fill="C1E4F5" w:themeFill="accent1" w:themeFillTint="33"/>
            <w:noWrap/>
            <w:vAlign w:val="bottom"/>
            <w:hideMark/>
          </w:tcPr>
          <w:p w14:paraId="61CD7BCF" w14:textId="77777777" w:rsidR="00D45042" w:rsidRPr="00D42106" w:rsidRDefault="00D45042" w:rsidP="00347595">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Value </w:t>
            </w:r>
          </w:p>
        </w:tc>
        <w:tc>
          <w:tcPr>
            <w:tcW w:w="992" w:type="dxa"/>
            <w:tcBorders>
              <w:top w:val="nil"/>
              <w:left w:val="single" w:sz="8" w:space="0" w:color="auto"/>
              <w:bottom w:val="single" w:sz="4" w:space="0" w:color="auto"/>
              <w:right w:val="single" w:sz="8" w:space="0" w:color="auto"/>
            </w:tcBorders>
            <w:shd w:val="clear" w:color="auto" w:fill="C1E4F5" w:themeFill="accent1" w:themeFillTint="33"/>
            <w:vAlign w:val="center"/>
          </w:tcPr>
          <w:p w14:paraId="2313941C" w14:textId="77777777" w:rsidR="00D45042" w:rsidRPr="00D42106" w:rsidRDefault="00D45042" w:rsidP="00347595">
            <w:pPr>
              <w:jc w:val="center"/>
              <w:rPr>
                <w:rFonts w:ascii="Calibri" w:hAnsi="Calibri" w:cs="Calibri"/>
                <w:b/>
                <w:sz w:val="18"/>
                <w:szCs w:val="18"/>
                <w:lang w:eastAsia="sr-Latn-BA"/>
              </w:rPr>
            </w:pPr>
            <w:r>
              <w:rPr>
                <w:rFonts w:ascii="Calibri" w:hAnsi="Calibri" w:cs="Calibri"/>
                <w:b/>
                <w:sz w:val="18"/>
                <w:szCs w:val="18"/>
                <w:lang w:eastAsia="sr-Latn-BA"/>
              </w:rPr>
              <w:t>Target</w:t>
            </w:r>
          </w:p>
        </w:tc>
        <w:tc>
          <w:tcPr>
            <w:tcW w:w="1276" w:type="dxa"/>
            <w:tcBorders>
              <w:top w:val="nil"/>
              <w:left w:val="nil"/>
              <w:bottom w:val="single" w:sz="4" w:space="0" w:color="auto"/>
              <w:right w:val="single" w:sz="8" w:space="0" w:color="auto"/>
            </w:tcBorders>
            <w:shd w:val="clear" w:color="auto" w:fill="C1E4F5" w:themeFill="accent1" w:themeFillTint="33"/>
            <w:vAlign w:val="center"/>
          </w:tcPr>
          <w:p w14:paraId="4125BCD4" w14:textId="77777777" w:rsidR="00D45042" w:rsidRPr="00D42106" w:rsidRDefault="00D45042" w:rsidP="00347595">
            <w:pPr>
              <w:jc w:val="center"/>
              <w:rPr>
                <w:rFonts w:ascii="Calibri" w:hAnsi="Calibri" w:cs="Calibri"/>
                <w:b/>
                <w:sz w:val="18"/>
                <w:szCs w:val="18"/>
                <w:lang w:eastAsia="sr-Latn-BA"/>
              </w:rPr>
            </w:pPr>
            <w:r>
              <w:rPr>
                <w:rFonts w:ascii="Calibri" w:hAnsi="Calibri" w:cs="Calibri"/>
                <w:b/>
                <w:sz w:val="18"/>
                <w:szCs w:val="18"/>
                <w:lang w:eastAsia="sr-Latn-BA"/>
              </w:rPr>
              <w:t>Progress as of 2025</w:t>
            </w:r>
          </w:p>
        </w:tc>
      </w:tr>
      <w:tr w:rsidR="00D45042" w:rsidRPr="00D42106" w14:paraId="22C6A246" w14:textId="77777777" w:rsidTr="00347595">
        <w:trPr>
          <w:trHeight w:val="712"/>
        </w:trPr>
        <w:tc>
          <w:tcPr>
            <w:tcW w:w="1833" w:type="dxa"/>
            <w:vMerge w:val="restart"/>
            <w:tcBorders>
              <w:top w:val="single" w:sz="4" w:space="0" w:color="auto"/>
              <w:left w:val="single" w:sz="8" w:space="0" w:color="auto"/>
              <w:bottom w:val="single" w:sz="4" w:space="0" w:color="000000"/>
              <w:right w:val="single" w:sz="4" w:space="0" w:color="000000"/>
            </w:tcBorders>
            <w:shd w:val="clear" w:color="auto" w:fill="F2F2F2" w:themeFill="background1" w:themeFillShade="F2"/>
            <w:vAlign w:val="center"/>
            <w:hideMark/>
          </w:tcPr>
          <w:p w14:paraId="61EA3238" w14:textId="77777777" w:rsidR="00D45042" w:rsidRPr="00D42106" w:rsidRDefault="00D45042" w:rsidP="00347595">
            <w:pPr>
              <w:rPr>
                <w:rFonts w:ascii="Calibri" w:hAnsi="Calibri" w:cs="Calibri"/>
                <w:b/>
                <w:sz w:val="18"/>
                <w:szCs w:val="18"/>
                <w:lang w:eastAsia="sr-Latn-BA"/>
              </w:rPr>
            </w:pPr>
            <w:r w:rsidRPr="00D42106">
              <w:rPr>
                <w:rFonts w:ascii="Calibri" w:hAnsi="Calibri" w:cs="Calibri"/>
                <w:b/>
                <w:sz w:val="18"/>
                <w:szCs w:val="18"/>
                <w:lang w:eastAsia="sr-Latn-BA"/>
              </w:rPr>
              <w:t>Outcome 1: State, entity, and cantonal governments set in place a more conducive policy and regulatory environment that affirms result-oriented local governance and improved water supply and wastewater management services</w:t>
            </w:r>
          </w:p>
        </w:tc>
        <w:tc>
          <w:tcPr>
            <w:tcW w:w="3827" w:type="dxa"/>
            <w:tcBorders>
              <w:top w:val="nil"/>
              <w:left w:val="nil"/>
              <w:bottom w:val="single" w:sz="4" w:space="0" w:color="auto"/>
              <w:right w:val="single" w:sz="4" w:space="0" w:color="auto"/>
            </w:tcBorders>
            <w:shd w:val="clear" w:color="auto" w:fill="F2F2F2" w:themeFill="background1" w:themeFillShade="F2"/>
            <w:vAlign w:val="center"/>
            <w:hideMark/>
          </w:tcPr>
          <w:p w14:paraId="70956FBF" w14:textId="77777777" w:rsidR="00D45042" w:rsidRPr="00D42106" w:rsidRDefault="00D45042" w:rsidP="00347595">
            <w:pPr>
              <w:jc w:val="both"/>
              <w:rPr>
                <w:rFonts w:ascii="Calibri" w:hAnsi="Calibri" w:cs="Calibri"/>
                <w:i/>
                <w:sz w:val="18"/>
                <w:szCs w:val="18"/>
                <w:lang w:eastAsia="sr-Latn-BA"/>
              </w:rPr>
            </w:pPr>
            <w:r w:rsidRPr="00D42106">
              <w:rPr>
                <w:rFonts w:ascii="Calibri" w:hAnsi="Calibri" w:cs="Calibri"/>
                <w:i/>
                <w:sz w:val="18"/>
                <w:szCs w:val="18"/>
                <w:lang w:eastAsia="sr-Latn-BA"/>
              </w:rPr>
              <w:t>The GLG Framework is developed and adopted at state/entity levels as the framework to measure and improve the performance of municipalities as per application of good governance standards.</w:t>
            </w:r>
          </w:p>
        </w:tc>
        <w:tc>
          <w:tcPr>
            <w:tcW w:w="1276" w:type="dxa"/>
            <w:tcBorders>
              <w:top w:val="nil"/>
              <w:left w:val="nil"/>
              <w:bottom w:val="single" w:sz="4" w:space="0" w:color="auto"/>
              <w:right w:val="single" w:sz="4" w:space="0" w:color="auto"/>
            </w:tcBorders>
            <w:noWrap/>
            <w:vAlign w:val="center"/>
            <w:hideMark/>
          </w:tcPr>
          <w:p w14:paraId="2FECF7AF"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No</w:t>
            </w:r>
          </w:p>
        </w:tc>
        <w:tc>
          <w:tcPr>
            <w:tcW w:w="992"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30E6D3CF"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Yes</w:t>
            </w:r>
          </w:p>
        </w:tc>
        <w:tc>
          <w:tcPr>
            <w:tcW w:w="1276" w:type="dxa"/>
            <w:tcBorders>
              <w:top w:val="nil"/>
              <w:left w:val="nil"/>
              <w:bottom w:val="single" w:sz="4" w:space="0" w:color="auto"/>
              <w:right w:val="single" w:sz="8" w:space="0" w:color="auto"/>
            </w:tcBorders>
            <w:shd w:val="clear" w:color="auto" w:fill="D9F2D0" w:themeFill="accent6" w:themeFillTint="33"/>
            <w:vAlign w:val="center"/>
          </w:tcPr>
          <w:p w14:paraId="225880DF"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Yes</w:t>
            </w:r>
          </w:p>
          <w:p w14:paraId="3854A83B"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(CAF for LGs)</w:t>
            </w:r>
          </w:p>
        </w:tc>
      </w:tr>
      <w:tr w:rsidR="00D45042" w:rsidRPr="00D42106" w14:paraId="773F90A9" w14:textId="77777777" w:rsidTr="00293B59">
        <w:trPr>
          <w:trHeight w:val="712"/>
        </w:trPr>
        <w:tc>
          <w:tcPr>
            <w:tcW w:w="1833" w:type="dxa"/>
            <w:vMerge/>
            <w:tcBorders>
              <w:top w:val="single" w:sz="4" w:space="0" w:color="auto"/>
              <w:left w:val="single" w:sz="8" w:space="0" w:color="auto"/>
              <w:bottom w:val="single" w:sz="4" w:space="0" w:color="000000"/>
              <w:right w:val="single" w:sz="4" w:space="0" w:color="000000"/>
            </w:tcBorders>
            <w:shd w:val="clear" w:color="auto" w:fill="F2F2F2" w:themeFill="background1" w:themeFillShade="F2"/>
            <w:vAlign w:val="center"/>
            <w:hideMark/>
          </w:tcPr>
          <w:p w14:paraId="394C0BCE" w14:textId="77777777" w:rsidR="00D45042" w:rsidRPr="00D42106" w:rsidRDefault="00D45042" w:rsidP="00347595">
            <w:pPr>
              <w:rPr>
                <w:rFonts w:ascii="Calibri" w:hAnsi="Calibri" w:cs="Calibri"/>
                <w:b/>
                <w:sz w:val="18"/>
                <w:szCs w:val="18"/>
                <w:lang w:eastAsia="sr-Latn-BA"/>
              </w:rPr>
            </w:pPr>
          </w:p>
        </w:tc>
        <w:tc>
          <w:tcPr>
            <w:tcW w:w="3827" w:type="dxa"/>
            <w:tcBorders>
              <w:top w:val="nil"/>
              <w:left w:val="nil"/>
              <w:bottom w:val="single" w:sz="4" w:space="0" w:color="auto"/>
              <w:right w:val="single" w:sz="4" w:space="0" w:color="auto"/>
            </w:tcBorders>
            <w:shd w:val="clear" w:color="auto" w:fill="F2F2F2" w:themeFill="background1" w:themeFillShade="F2"/>
            <w:vAlign w:val="center"/>
            <w:hideMark/>
          </w:tcPr>
          <w:p w14:paraId="356DB667" w14:textId="77777777" w:rsidR="00D45042" w:rsidRPr="00D42106" w:rsidRDefault="00D45042" w:rsidP="00347595">
            <w:pPr>
              <w:jc w:val="both"/>
              <w:rPr>
                <w:rFonts w:ascii="Calibri" w:hAnsi="Calibri" w:cs="Calibri"/>
                <w:i/>
                <w:sz w:val="18"/>
                <w:szCs w:val="18"/>
                <w:lang w:eastAsia="sr-Latn-BA"/>
              </w:rPr>
            </w:pPr>
            <w:r w:rsidRPr="00D42106">
              <w:rPr>
                <w:rFonts w:ascii="Calibri" w:hAnsi="Calibri" w:cs="Calibri"/>
                <w:i/>
                <w:sz w:val="18"/>
                <w:szCs w:val="18"/>
                <w:lang w:eastAsia="sr-Latn-BA"/>
              </w:rPr>
              <w:t>Number of newly-drafted/amended legal/policy/strategic frameworks at higher government levels that contribute to result-oriented local governance as a result of inclusive policy dialogue.</w:t>
            </w:r>
          </w:p>
        </w:tc>
        <w:tc>
          <w:tcPr>
            <w:tcW w:w="1276" w:type="dxa"/>
            <w:tcBorders>
              <w:top w:val="nil"/>
              <w:left w:val="nil"/>
              <w:bottom w:val="single" w:sz="4" w:space="0" w:color="auto"/>
              <w:right w:val="single" w:sz="4" w:space="0" w:color="auto"/>
            </w:tcBorders>
            <w:noWrap/>
            <w:vAlign w:val="center"/>
            <w:hideMark/>
          </w:tcPr>
          <w:p w14:paraId="4CFB5BB8"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N/A</w:t>
            </w:r>
          </w:p>
        </w:tc>
        <w:tc>
          <w:tcPr>
            <w:tcW w:w="992"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61FA7490"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4</w:t>
            </w:r>
          </w:p>
        </w:tc>
        <w:tc>
          <w:tcPr>
            <w:tcW w:w="1276" w:type="dxa"/>
            <w:tcBorders>
              <w:top w:val="nil"/>
              <w:left w:val="nil"/>
              <w:bottom w:val="single" w:sz="4" w:space="0" w:color="auto"/>
              <w:right w:val="single" w:sz="8" w:space="0" w:color="auto"/>
            </w:tcBorders>
            <w:shd w:val="clear" w:color="auto" w:fill="FAE2D5" w:themeFill="accent2" w:themeFillTint="33"/>
            <w:vAlign w:val="center"/>
          </w:tcPr>
          <w:p w14:paraId="6056A688"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3</w:t>
            </w:r>
          </w:p>
        </w:tc>
      </w:tr>
      <w:tr w:rsidR="00D45042" w:rsidRPr="00D42106" w14:paraId="11ECC610" w14:textId="77777777" w:rsidTr="00347595">
        <w:trPr>
          <w:trHeight w:val="712"/>
        </w:trPr>
        <w:tc>
          <w:tcPr>
            <w:tcW w:w="1833" w:type="dxa"/>
            <w:vMerge/>
            <w:tcBorders>
              <w:top w:val="single" w:sz="4" w:space="0" w:color="auto"/>
              <w:left w:val="single" w:sz="8" w:space="0" w:color="auto"/>
              <w:bottom w:val="single" w:sz="4" w:space="0" w:color="000000"/>
              <w:right w:val="single" w:sz="4" w:space="0" w:color="000000"/>
            </w:tcBorders>
            <w:shd w:val="clear" w:color="auto" w:fill="F2F2F2" w:themeFill="background1" w:themeFillShade="F2"/>
            <w:vAlign w:val="center"/>
            <w:hideMark/>
          </w:tcPr>
          <w:p w14:paraId="5C9D9AC1" w14:textId="77777777" w:rsidR="00D45042" w:rsidRPr="00D42106" w:rsidRDefault="00D45042" w:rsidP="00347595">
            <w:pPr>
              <w:rPr>
                <w:rFonts w:ascii="Calibri" w:hAnsi="Calibri" w:cs="Calibri"/>
                <w:b/>
                <w:sz w:val="18"/>
                <w:szCs w:val="18"/>
                <w:lang w:eastAsia="sr-Latn-BA"/>
              </w:rPr>
            </w:pPr>
          </w:p>
        </w:tc>
        <w:tc>
          <w:tcPr>
            <w:tcW w:w="3827" w:type="dxa"/>
            <w:tcBorders>
              <w:top w:val="nil"/>
              <w:left w:val="nil"/>
              <w:bottom w:val="single" w:sz="4" w:space="0" w:color="auto"/>
              <w:right w:val="single" w:sz="4" w:space="0" w:color="auto"/>
            </w:tcBorders>
            <w:shd w:val="clear" w:color="auto" w:fill="F2F2F2" w:themeFill="background1" w:themeFillShade="F2"/>
            <w:vAlign w:val="center"/>
            <w:hideMark/>
          </w:tcPr>
          <w:p w14:paraId="2546C597" w14:textId="77777777" w:rsidR="00D45042" w:rsidRPr="00D42106" w:rsidRDefault="00D45042" w:rsidP="00347595">
            <w:pPr>
              <w:jc w:val="both"/>
              <w:rPr>
                <w:rFonts w:ascii="Calibri" w:hAnsi="Calibri" w:cs="Calibri"/>
                <w:i/>
                <w:sz w:val="18"/>
                <w:szCs w:val="18"/>
                <w:lang w:eastAsia="sr-Latn-BA"/>
              </w:rPr>
            </w:pPr>
            <w:r w:rsidRPr="00D42106">
              <w:rPr>
                <w:rFonts w:ascii="Calibri" w:hAnsi="Calibri" w:cs="Calibri"/>
                <w:i/>
                <w:sz w:val="18"/>
                <w:szCs w:val="18"/>
                <w:lang w:eastAsia="sr-Latn-BA"/>
              </w:rPr>
              <w:t>Number of newly-drafted/amended legal/policy/strategic frameworks at higher government levels that contribute to reforms in the area of water supply and wastewater management services as a result of inclusive policy dialogue.</w:t>
            </w:r>
          </w:p>
        </w:tc>
        <w:tc>
          <w:tcPr>
            <w:tcW w:w="1276" w:type="dxa"/>
            <w:tcBorders>
              <w:top w:val="nil"/>
              <w:left w:val="nil"/>
              <w:bottom w:val="single" w:sz="4" w:space="0" w:color="auto"/>
              <w:right w:val="single" w:sz="4" w:space="0" w:color="auto"/>
            </w:tcBorders>
            <w:noWrap/>
            <w:vAlign w:val="center"/>
            <w:hideMark/>
          </w:tcPr>
          <w:p w14:paraId="271705C7"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N/A</w:t>
            </w:r>
          </w:p>
        </w:tc>
        <w:tc>
          <w:tcPr>
            <w:tcW w:w="992"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3945678E"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3</w:t>
            </w:r>
          </w:p>
        </w:tc>
        <w:tc>
          <w:tcPr>
            <w:tcW w:w="1276" w:type="dxa"/>
            <w:tcBorders>
              <w:top w:val="nil"/>
              <w:left w:val="nil"/>
              <w:bottom w:val="single" w:sz="4" w:space="0" w:color="auto"/>
              <w:right w:val="single" w:sz="8" w:space="0" w:color="auto"/>
            </w:tcBorders>
            <w:shd w:val="clear" w:color="auto" w:fill="D9F2D0" w:themeFill="accent6" w:themeFillTint="33"/>
            <w:vAlign w:val="center"/>
          </w:tcPr>
          <w:p w14:paraId="36A27845"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6</w:t>
            </w:r>
          </w:p>
        </w:tc>
      </w:tr>
      <w:tr w:rsidR="00D45042" w:rsidRPr="00D42106" w14:paraId="4AA2A108" w14:textId="77777777" w:rsidTr="00347595">
        <w:trPr>
          <w:trHeight w:val="433"/>
        </w:trPr>
        <w:tc>
          <w:tcPr>
            <w:tcW w:w="1833" w:type="dxa"/>
            <w:vMerge/>
            <w:tcBorders>
              <w:top w:val="single" w:sz="4" w:space="0" w:color="auto"/>
              <w:left w:val="single" w:sz="8" w:space="0" w:color="auto"/>
              <w:bottom w:val="single" w:sz="4" w:space="0" w:color="000000"/>
              <w:right w:val="single" w:sz="4" w:space="0" w:color="000000"/>
            </w:tcBorders>
            <w:shd w:val="clear" w:color="auto" w:fill="F2CEED" w:themeFill="accent5" w:themeFillTint="33"/>
            <w:vAlign w:val="center"/>
            <w:hideMark/>
          </w:tcPr>
          <w:p w14:paraId="437702DE" w14:textId="77777777" w:rsidR="00D45042" w:rsidRPr="00D42106" w:rsidRDefault="00D45042" w:rsidP="00347595">
            <w:pPr>
              <w:rPr>
                <w:rFonts w:ascii="Calibri" w:hAnsi="Calibri" w:cs="Calibri"/>
                <w:b/>
                <w:sz w:val="18"/>
                <w:szCs w:val="18"/>
                <w:lang w:eastAsia="sr-Latn-BA"/>
              </w:rPr>
            </w:pPr>
          </w:p>
        </w:tc>
        <w:tc>
          <w:tcPr>
            <w:tcW w:w="3827" w:type="dxa"/>
            <w:tcBorders>
              <w:top w:val="nil"/>
              <w:left w:val="nil"/>
              <w:bottom w:val="single" w:sz="4" w:space="0" w:color="auto"/>
              <w:right w:val="single" w:sz="4" w:space="0" w:color="auto"/>
            </w:tcBorders>
            <w:shd w:val="clear" w:color="auto" w:fill="F2F2F2" w:themeFill="background1" w:themeFillShade="F2"/>
            <w:vAlign w:val="center"/>
            <w:hideMark/>
          </w:tcPr>
          <w:p w14:paraId="47B5DB2F" w14:textId="77777777" w:rsidR="00D45042" w:rsidRPr="00D42106" w:rsidRDefault="00D45042" w:rsidP="00347595">
            <w:pPr>
              <w:jc w:val="both"/>
              <w:rPr>
                <w:rFonts w:ascii="Calibri" w:hAnsi="Calibri" w:cs="Calibri"/>
                <w:i/>
                <w:sz w:val="18"/>
                <w:szCs w:val="18"/>
                <w:lang w:eastAsia="sr-Latn-BA"/>
              </w:rPr>
            </w:pPr>
            <w:hyperlink r:id="rId72" w:anchor="RANGE!#REF!" w:history="1">
              <w:r w:rsidRPr="00D42106">
                <w:rPr>
                  <w:rFonts w:ascii="Calibri" w:hAnsi="Calibri" w:cs="Calibri"/>
                  <w:i/>
                  <w:sz w:val="18"/>
                  <w:szCs w:val="18"/>
                  <w:lang w:eastAsia="sr-Latn-BA"/>
                </w:rPr>
                <w:t xml:space="preserve">Existence of country-wide harmonized regulatory framework fully aligned with the EU Water Directives and functional institutional setup at relevant government levels which enable sustainable and quality water supply and wastewater management services. </w:t>
              </w:r>
            </w:hyperlink>
          </w:p>
        </w:tc>
        <w:tc>
          <w:tcPr>
            <w:tcW w:w="1276" w:type="dxa"/>
            <w:tcBorders>
              <w:top w:val="nil"/>
              <w:left w:val="nil"/>
              <w:bottom w:val="single" w:sz="4" w:space="0" w:color="auto"/>
              <w:right w:val="single" w:sz="4" w:space="0" w:color="auto"/>
            </w:tcBorders>
            <w:noWrap/>
            <w:vAlign w:val="center"/>
            <w:hideMark/>
          </w:tcPr>
          <w:p w14:paraId="26A6806E"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No</w:t>
            </w:r>
          </w:p>
        </w:tc>
        <w:tc>
          <w:tcPr>
            <w:tcW w:w="992"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5C99B415"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Yes</w:t>
            </w:r>
          </w:p>
        </w:tc>
        <w:tc>
          <w:tcPr>
            <w:tcW w:w="1276" w:type="dxa"/>
            <w:tcBorders>
              <w:top w:val="nil"/>
              <w:left w:val="nil"/>
              <w:bottom w:val="single" w:sz="4" w:space="0" w:color="auto"/>
              <w:right w:val="single" w:sz="8" w:space="0" w:color="auto"/>
            </w:tcBorders>
            <w:shd w:val="clear" w:color="auto" w:fill="D9F2D0" w:themeFill="accent6" w:themeFillTint="33"/>
            <w:vAlign w:val="center"/>
          </w:tcPr>
          <w:p w14:paraId="0F9E6558"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Yes</w:t>
            </w:r>
          </w:p>
        </w:tc>
      </w:tr>
    </w:tbl>
    <w:p w14:paraId="42D72BA6" w14:textId="7FD9B61F" w:rsidR="00780F53" w:rsidRPr="00293B59" w:rsidRDefault="00293B59" w:rsidP="003668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r w:rsidRPr="00293B59">
        <w:rPr>
          <w:rFonts w:ascii="Calibri" w:hAnsi="Calibri" w:cs="Calibri"/>
          <w:b/>
          <w:bCs/>
          <w:i/>
          <w:iCs/>
          <w:sz w:val="20"/>
          <w:szCs w:val="20"/>
          <w:lang w:val="en-US"/>
        </w:rPr>
        <w:t>Legends:</w:t>
      </w:r>
    </w:p>
    <w:tbl>
      <w:tblPr>
        <w:tblStyle w:val="TableGrid"/>
        <w:tblW w:w="0" w:type="auto"/>
        <w:tblLook w:val="04A0" w:firstRow="1" w:lastRow="0" w:firstColumn="1" w:lastColumn="0" w:noHBand="0" w:noVBand="1"/>
      </w:tblPr>
      <w:tblGrid>
        <w:gridCol w:w="1555"/>
        <w:gridCol w:w="567"/>
      </w:tblGrid>
      <w:tr w:rsidR="00293B59" w:rsidRPr="00293B59" w14:paraId="1421606B" w14:textId="77777777" w:rsidTr="00293B59">
        <w:tc>
          <w:tcPr>
            <w:tcW w:w="1555" w:type="dxa"/>
          </w:tcPr>
          <w:p w14:paraId="6CBA9077" w14:textId="108DE99A" w:rsidR="00293B59" w:rsidRPr="00293B59" w:rsidRDefault="00293B59" w:rsidP="00293B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r w:rsidRPr="00293B59">
              <w:rPr>
                <w:rFonts w:ascii="Calibri" w:hAnsi="Calibri" w:cs="Calibri"/>
                <w:b/>
                <w:bCs/>
                <w:i/>
                <w:iCs/>
                <w:sz w:val="20"/>
                <w:szCs w:val="20"/>
                <w:lang w:val="en-US"/>
              </w:rPr>
              <w:t>Achieved</w:t>
            </w:r>
          </w:p>
        </w:tc>
        <w:tc>
          <w:tcPr>
            <w:tcW w:w="567" w:type="dxa"/>
            <w:shd w:val="clear" w:color="auto" w:fill="D9F2D0" w:themeFill="accent6" w:themeFillTint="33"/>
          </w:tcPr>
          <w:p w14:paraId="4C452821" w14:textId="77777777" w:rsidR="00293B59" w:rsidRPr="00293B59" w:rsidRDefault="00293B59" w:rsidP="003668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p>
        </w:tc>
      </w:tr>
      <w:tr w:rsidR="00293B59" w:rsidRPr="00293B59" w14:paraId="762220CD" w14:textId="77777777" w:rsidTr="00293B59">
        <w:tc>
          <w:tcPr>
            <w:tcW w:w="1555" w:type="dxa"/>
          </w:tcPr>
          <w:p w14:paraId="5F7CA7F6" w14:textId="3D8ACAAB" w:rsidR="00293B59" w:rsidRPr="00293B59" w:rsidRDefault="00293B59" w:rsidP="003668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r w:rsidRPr="00293B59">
              <w:rPr>
                <w:rFonts w:ascii="Calibri" w:hAnsi="Calibri" w:cs="Calibri"/>
                <w:b/>
                <w:bCs/>
                <w:i/>
                <w:iCs/>
                <w:sz w:val="20"/>
                <w:szCs w:val="20"/>
                <w:lang w:val="en-US"/>
              </w:rPr>
              <w:t>Not achieved</w:t>
            </w:r>
          </w:p>
        </w:tc>
        <w:tc>
          <w:tcPr>
            <w:tcW w:w="567" w:type="dxa"/>
            <w:shd w:val="clear" w:color="auto" w:fill="FAE2D5" w:themeFill="accent2" w:themeFillTint="33"/>
          </w:tcPr>
          <w:p w14:paraId="4C445FF5" w14:textId="77777777" w:rsidR="00293B59" w:rsidRPr="00293B59" w:rsidRDefault="00293B59" w:rsidP="003668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p>
        </w:tc>
      </w:tr>
    </w:tbl>
    <w:p w14:paraId="71D156DF" w14:textId="77777777" w:rsidR="003668C2" w:rsidRPr="00F569AE" w:rsidRDefault="003668C2" w:rsidP="003668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lang w:val="en-US"/>
        </w:rPr>
      </w:pPr>
    </w:p>
    <w:p w14:paraId="06FEAE76" w14:textId="5C5DECA2" w:rsidR="003668C2" w:rsidRPr="00F569AE" w:rsidRDefault="003668C2" w:rsidP="003668C2">
      <w:pPr>
        <w:pStyle w:val="p1"/>
        <w:spacing w:line="276" w:lineRule="auto"/>
        <w:jc w:val="both"/>
        <w:rPr>
          <w:rFonts w:ascii="Calibri" w:hAnsi="Calibri" w:cs="Calibri"/>
          <w:sz w:val="24"/>
          <w:szCs w:val="24"/>
        </w:rPr>
      </w:pPr>
      <w:r w:rsidRPr="00F569AE">
        <w:rPr>
          <w:rFonts w:ascii="Calibri" w:hAnsi="Calibri" w:cs="Calibri"/>
          <w:sz w:val="24"/>
          <w:szCs w:val="24"/>
        </w:rPr>
        <w:t xml:space="preserve">One of the </w:t>
      </w:r>
      <w:r w:rsidRPr="00F569AE">
        <w:rPr>
          <w:rFonts w:ascii="Calibri" w:hAnsi="Calibri" w:cs="Calibri"/>
          <w:b/>
          <w:i/>
          <w:sz w:val="24"/>
          <w:szCs w:val="24"/>
        </w:rPr>
        <w:t>major systemic achievements</w:t>
      </w:r>
      <w:r w:rsidRPr="00F569AE">
        <w:rPr>
          <w:rFonts w:ascii="Calibri" w:hAnsi="Calibri" w:cs="Calibri"/>
          <w:sz w:val="24"/>
          <w:szCs w:val="24"/>
        </w:rPr>
        <w:t xml:space="preserve"> of the project was facilitation and design of harmonized legal frameworks in water services sector in both entities, while ensuring their alignment with the EU Water Directive as well as with the complex legal and regulatory frameworks in both entities. The outcomes of the survey among the partner LGs suggested that the 83% of them rated the project performance to improve regulatory and operational environment in water sector as 5 and 4 (whereby 5 was the maximum rate and 0 was the lowest).  The WUCs responses indicate</w:t>
      </w:r>
      <w:r w:rsidR="0058130E">
        <w:rPr>
          <w:rFonts w:ascii="Calibri" w:hAnsi="Calibri" w:cs="Calibri"/>
          <w:sz w:val="24"/>
          <w:szCs w:val="24"/>
        </w:rPr>
        <w:t>d</w:t>
      </w:r>
      <w:r w:rsidRPr="00F569AE">
        <w:rPr>
          <w:rFonts w:ascii="Calibri" w:hAnsi="Calibri" w:cs="Calibri"/>
          <w:sz w:val="24"/>
          <w:szCs w:val="24"/>
        </w:rPr>
        <w:t xml:space="preserve"> that 83,4% of them also rated the performance to improve regulatory and operational environment in water sector as 5 and 4. </w:t>
      </w:r>
    </w:p>
    <w:p w14:paraId="7377ABAC" w14:textId="77777777" w:rsidR="003668C2" w:rsidRPr="00F569AE" w:rsidRDefault="003668C2" w:rsidP="003668C2">
      <w:pPr>
        <w:pStyle w:val="p1"/>
        <w:spacing w:line="276" w:lineRule="auto"/>
        <w:jc w:val="both"/>
        <w:rPr>
          <w:rFonts w:ascii="Calibri" w:hAnsi="Calibri" w:cs="Calibri"/>
          <w:sz w:val="24"/>
          <w:szCs w:val="24"/>
        </w:rPr>
      </w:pPr>
    </w:p>
    <w:p w14:paraId="5101D846" w14:textId="77777777" w:rsidR="003668C2" w:rsidRPr="00F569AE" w:rsidRDefault="003668C2" w:rsidP="003668C2">
      <w:pPr>
        <w:pStyle w:val="p1"/>
        <w:spacing w:line="276" w:lineRule="auto"/>
        <w:jc w:val="both"/>
        <w:rPr>
          <w:rFonts w:ascii="Calibri" w:hAnsi="Calibri" w:cs="Calibri"/>
          <w:sz w:val="24"/>
          <w:szCs w:val="24"/>
        </w:rPr>
      </w:pPr>
      <w:r w:rsidRPr="00F569AE">
        <w:rPr>
          <w:rFonts w:ascii="Calibri" w:hAnsi="Calibri" w:cs="Calibri"/>
          <w:sz w:val="24"/>
          <w:szCs w:val="24"/>
        </w:rPr>
        <w:t xml:space="preserve">The project placed substantial emphasis on expanding the policy and normative groundwork necessary for sustainable reform. Specifically, the development of water tariff methodology has become </w:t>
      </w:r>
      <w:r w:rsidRPr="00F569AE">
        <w:rPr>
          <w:rFonts w:ascii="Calibri" w:hAnsi="Calibri" w:cs="Calibri"/>
          <w:b/>
          <w:i/>
          <w:sz w:val="24"/>
          <w:szCs w:val="24"/>
        </w:rPr>
        <w:t>the major system accelerator</w:t>
      </w:r>
      <w:r w:rsidRPr="00F569AE">
        <w:rPr>
          <w:rFonts w:ascii="Calibri" w:hAnsi="Calibri" w:cs="Calibri"/>
          <w:sz w:val="24"/>
          <w:szCs w:val="24"/>
        </w:rPr>
        <w:t xml:space="preserve"> to radically improve transparency and effectiveness of water sector performance. The policy-level efforts were coupled with capacity building of relevant stakeholders, e.g. representatives from 35 LGs and 65 non-MEG water utilities were involved in water tariff training and become the driving force to consistently apply the same methodology to calculate the price of water services. Another domain of policy harmonization was related to the development of the benchmarking system </w:t>
      </w:r>
      <w:r w:rsidRPr="00F569AE">
        <w:rPr>
          <w:rFonts w:ascii="Calibri" w:hAnsi="Calibri" w:cs="Calibri"/>
          <w:sz w:val="24"/>
          <w:szCs w:val="24"/>
        </w:rPr>
        <w:lastRenderedPageBreak/>
        <w:t>to allow harmonized data-driven performance monitoring across BiH and national reporting on Water Directive realization (was still in progress at the time of the evaluation), which have the potential to solidify the normative framework for water services in BiH.</w:t>
      </w:r>
    </w:p>
    <w:p w14:paraId="4ED2D9C2" w14:textId="77777777" w:rsidR="003668C2" w:rsidRPr="00F569AE" w:rsidRDefault="003668C2" w:rsidP="003668C2">
      <w:pPr>
        <w:pStyle w:val="p1"/>
        <w:spacing w:line="276" w:lineRule="auto"/>
        <w:jc w:val="both"/>
        <w:rPr>
          <w:rFonts w:ascii="Calibri" w:hAnsi="Calibri" w:cs="Calibri"/>
          <w:sz w:val="24"/>
          <w:szCs w:val="24"/>
        </w:rPr>
      </w:pPr>
    </w:p>
    <w:p w14:paraId="09F8C9A3" w14:textId="4F34FB03" w:rsidR="003668C2" w:rsidRPr="00F569AE" w:rsidRDefault="003668C2" w:rsidP="003668C2">
      <w:pPr>
        <w:pStyle w:val="p1"/>
        <w:spacing w:line="276" w:lineRule="auto"/>
        <w:jc w:val="both"/>
        <w:rPr>
          <w:rFonts w:ascii="Calibri" w:hAnsi="Calibri" w:cs="Calibri"/>
          <w:sz w:val="24"/>
          <w:szCs w:val="24"/>
        </w:rPr>
      </w:pPr>
      <w:r w:rsidRPr="00F569AE">
        <w:rPr>
          <w:rFonts w:ascii="Calibri" w:hAnsi="Calibri" w:cs="Calibri"/>
          <w:sz w:val="24"/>
          <w:szCs w:val="24"/>
        </w:rPr>
        <w:t>However, high susceptibility of the policy landscape to political influence hampered the timely adoption of the draft water laws and, therefore, the establishment of more advanced and harmonized normative context for water service</w:t>
      </w:r>
      <w:r w:rsidR="0058130E">
        <w:rPr>
          <w:rFonts w:ascii="Calibri" w:hAnsi="Calibri" w:cs="Calibri"/>
          <w:sz w:val="24"/>
          <w:szCs w:val="24"/>
        </w:rPr>
        <w:t>s</w:t>
      </w:r>
      <w:r w:rsidRPr="00F569AE">
        <w:rPr>
          <w:rFonts w:ascii="Calibri" w:hAnsi="Calibri" w:cs="Calibri"/>
          <w:sz w:val="24"/>
          <w:szCs w:val="24"/>
        </w:rPr>
        <w:t xml:space="preserve"> provision in both entities. While the laws were yet to be adopted, the critical requirements set under those legal documents, e.g. PSA, benchmarking system, subsidy system for vulnerable population, etc. were actively operationalized and put into practice in the partner LGs. This allowed the evaluation to conclude about the preemptive implementation of some elements of the water service</w:t>
      </w:r>
      <w:r w:rsidR="0058130E">
        <w:rPr>
          <w:rFonts w:ascii="Calibri" w:hAnsi="Calibri" w:cs="Calibri"/>
          <w:sz w:val="24"/>
          <w:szCs w:val="24"/>
        </w:rPr>
        <w:t>s</w:t>
      </w:r>
      <w:r w:rsidRPr="00F569AE">
        <w:rPr>
          <w:rFonts w:ascii="Calibri" w:hAnsi="Calibri" w:cs="Calibri"/>
          <w:sz w:val="24"/>
          <w:szCs w:val="24"/>
        </w:rPr>
        <w:t xml:space="preserve"> laws, which reflects a strong consensus among stakeholders about their necessity and value. Besides, such an advanced alignment of practices within the partner LGs demonstrated a commitment to water sector reform among its key stakeholders, signaling their readiness for the implementation of the water service</w:t>
      </w:r>
      <w:r w:rsidR="00904F67">
        <w:rPr>
          <w:rFonts w:ascii="Calibri" w:hAnsi="Calibri" w:cs="Calibri"/>
          <w:sz w:val="24"/>
          <w:szCs w:val="24"/>
        </w:rPr>
        <w:t>s</w:t>
      </w:r>
      <w:r w:rsidRPr="00F569AE">
        <w:rPr>
          <w:rFonts w:ascii="Calibri" w:hAnsi="Calibri" w:cs="Calibri"/>
          <w:sz w:val="24"/>
          <w:szCs w:val="24"/>
        </w:rPr>
        <w:t xml:space="preserve"> laws</w:t>
      </w:r>
      <w:r w:rsidR="00904F67">
        <w:rPr>
          <w:rFonts w:ascii="Calibri" w:hAnsi="Calibri" w:cs="Calibri"/>
          <w:sz w:val="24"/>
          <w:szCs w:val="24"/>
        </w:rPr>
        <w:t>,</w:t>
      </w:r>
      <w:r w:rsidRPr="00F569AE">
        <w:rPr>
          <w:rFonts w:ascii="Calibri" w:hAnsi="Calibri" w:cs="Calibri"/>
          <w:sz w:val="24"/>
          <w:szCs w:val="24"/>
        </w:rPr>
        <w:t xml:space="preserve"> when adopted. Meanwhile, broadening the participation of municipalities committed to implementing the project’s solutions would generate substantial momentum at the local level, further speeding up the adoption of the water services laws. This forward-looking approach ensures that, once the enabling laws are formally adopted, local governments and </w:t>
      </w:r>
      <w:r w:rsidR="0079436E">
        <w:rPr>
          <w:rFonts w:ascii="Calibri" w:hAnsi="Calibri" w:cs="Calibri"/>
          <w:sz w:val="24"/>
          <w:szCs w:val="24"/>
        </w:rPr>
        <w:t xml:space="preserve">water </w:t>
      </w:r>
      <w:r w:rsidRPr="00F569AE">
        <w:rPr>
          <w:rFonts w:ascii="Calibri" w:hAnsi="Calibri" w:cs="Calibri"/>
          <w:sz w:val="24"/>
          <w:szCs w:val="24"/>
        </w:rPr>
        <w:t xml:space="preserve">utilities </w:t>
      </w:r>
      <w:r w:rsidR="0058130E">
        <w:rPr>
          <w:rFonts w:ascii="Calibri" w:hAnsi="Calibri" w:cs="Calibri"/>
          <w:sz w:val="24"/>
          <w:szCs w:val="24"/>
        </w:rPr>
        <w:t>would</w:t>
      </w:r>
      <w:r w:rsidRPr="00F569AE">
        <w:rPr>
          <w:rFonts w:ascii="Calibri" w:hAnsi="Calibri" w:cs="Calibri"/>
          <w:sz w:val="24"/>
          <w:szCs w:val="24"/>
        </w:rPr>
        <w:t xml:space="preserve"> already be equipped with the tools, expertise, and collaborative spirit necessary to operationalize and sustain a robust system for water governance aligned with European standards.</w:t>
      </w:r>
      <w:r w:rsidR="0058130E">
        <w:rPr>
          <w:rFonts w:ascii="Calibri" w:hAnsi="Calibri" w:cs="Calibri"/>
          <w:sz w:val="24"/>
          <w:szCs w:val="24"/>
        </w:rPr>
        <w:t xml:space="preserve"> The risk, however, remained that if the water services laws would not be adopted </w:t>
      </w:r>
      <w:r w:rsidR="0079436E">
        <w:rPr>
          <w:rFonts w:ascii="Calibri" w:hAnsi="Calibri" w:cs="Calibri"/>
          <w:sz w:val="24"/>
          <w:szCs w:val="24"/>
        </w:rPr>
        <w:t>soon</w:t>
      </w:r>
      <w:r w:rsidR="0058130E">
        <w:rPr>
          <w:rFonts w:ascii="Calibri" w:hAnsi="Calibri" w:cs="Calibri"/>
          <w:sz w:val="24"/>
          <w:szCs w:val="24"/>
        </w:rPr>
        <w:t xml:space="preserve">, their value add would be regressing as time progresses. </w:t>
      </w:r>
    </w:p>
    <w:p w14:paraId="636594B6" w14:textId="77777777" w:rsidR="0058130E" w:rsidRPr="0058130E" w:rsidRDefault="0058130E" w:rsidP="003668C2">
      <w:pPr>
        <w:pStyle w:val="p1"/>
        <w:spacing w:line="276" w:lineRule="auto"/>
        <w:jc w:val="both"/>
        <w:rPr>
          <w:rFonts w:ascii="Calibri" w:hAnsi="Calibri" w:cs="Calibri"/>
          <w:sz w:val="24"/>
          <w:szCs w:val="24"/>
          <w:lang w:val="sr-Latn-BA"/>
        </w:rPr>
      </w:pPr>
    </w:p>
    <w:p w14:paraId="71D40C55" w14:textId="5400B874"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 xml:space="preserve">As part of the efforts geared towards the realization of the Outcome 1, the project invested in strengthening results-oriented local governance through introducing Common Assessment Framework (CAF) for Local Governments (CAF4LGs). It was a novel tool that combined the performance measurement system (a set of indicators already familiar to the LGs from the first cycle of the project implementation) with the CAF modules (the only quality management framework in the European public sector). This novel tool represented a tailored approach at the level of local governance, allowing to track progress and identify improvement areas that were genuinely relevant to their operational realities. </w:t>
      </w:r>
    </w:p>
    <w:p w14:paraId="6EEA10B0" w14:textId="77777777" w:rsidR="003668C2" w:rsidRPr="00F569AE" w:rsidRDefault="003668C2" w:rsidP="003668C2">
      <w:pPr>
        <w:spacing w:line="276" w:lineRule="auto"/>
        <w:jc w:val="both"/>
        <w:rPr>
          <w:rFonts w:ascii="Calibri" w:hAnsi="Calibri" w:cs="Calibri"/>
          <w:lang w:val="en-US"/>
        </w:rPr>
      </w:pPr>
    </w:p>
    <w:p w14:paraId="248F1ADD" w14:textId="1EC390D8" w:rsidR="003668C2" w:rsidRPr="00F569AE" w:rsidRDefault="003668C2" w:rsidP="003668C2">
      <w:pPr>
        <w:spacing w:line="276" w:lineRule="auto"/>
        <w:jc w:val="both"/>
        <w:rPr>
          <w:lang w:val="en-US"/>
        </w:rPr>
      </w:pPr>
      <w:r w:rsidRPr="00F569AE">
        <w:rPr>
          <w:rFonts w:ascii="Calibri" w:hAnsi="Calibri" w:cs="Calibri"/>
          <w:lang w:val="en-US"/>
        </w:rPr>
        <w:t xml:space="preserve">The tool has </w:t>
      </w:r>
      <w:r w:rsidR="0091465E">
        <w:rPr>
          <w:rFonts w:ascii="Calibri" w:hAnsi="Calibri" w:cs="Calibri"/>
          <w:lang w:val="en-US"/>
        </w:rPr>
        <w:t xml:space="preserve">a </w:t>
      </w:r>
      <w:r w:rsidRPr="00A24862">
        <w:rPr>
          <w:rFonts w:ascii="Calibri" w:hAnsi="Calibri" w:cs="Calibri"/>
          <w:lang w:val="en-US"/>
        </w:rPr>
        <w:t xml:space="preserve">potential </w:t>
      </w:r>
      <w:r w:rsidR="0091465E" w:rsidRPr="00A24862">
        <w:rPr>
          <w:rFonts w:ascii="Calibri" w:hAnsi="Calibri" w:cs="Calibri"/>
          <w:lang w:val="en-US"/>
        </w:rPr>
        <w:t>to be used within and</w:t>
      </w:r>
      <w:r w:rsidRPr="00A24862">
        <w:rPr>
          <w:rFonts w:ascii="Calibri" w:hAnsi="Calibri" w:cs="Calibri"/>
          <w:lang w:val="en-US"/>
        </w:rPr>
        <w:t xml:space="preserve"> beyond BiH as the first CAF module designed for the local governments; however, it introduced additional level of complexity and challenges to be addressed before it could be considered fully operational:</w:t>
      </w:r>
    </w:p>
    <w:p w14:paraId="21064B8E" w14:textId="77777777" w:rsidR="003668C2" w:rsidRPr="00F569AE" w:rsidRDefault="003668C2" w:rsidP="003668C2">
      <w:pPr>
        <w:spacing w:line="276" w:lineRule="auto"/>
        <w:ind w:firstLine="720"/>
        <w:jc w:val="both"/>
        <w:rPr>
          <w:rFonts w:ascii="Calibri" w:hAnsi="Calibri" w:cs="Calibri"/>
          <w:lang w:val="en-US"/>
        </w:rPr>
      </w:pPr>
      <w:r w:rsidRPr="00F569AE">
        <w:rPr>
          <w:rFonts w:ascii="Calibri" w:hAnsi="Calibri" w:cs="Calibri"/>
          <w:lang w:val="en-US"/>
        </w:rPr>
        <w:t xml:space="preserve">(i) While most of the other tools designed within the project had their distinct 'custodian' and received immediate ownership, the nature of this tool was such that it required collective participation of the whole team within each municipality rather than relying on isolated champions. Its collaborative essence required the pooling of diverse </w:t>
      </w:r>
      <w:r w:rsidRPr="00F569AE">
        <w:rPr>
          <w:rFonts w:ascii="Calibri" w:hAnsi="Calibri" w:cs="Calibri"/>
          <w:lang w:val="en-US"/>
        </w:rPr>
        <w:lastRenderedPageBreak/>
        <w:t xml:space="preserve">perspectives, leading to richer analyses and more robust self-assessment, as well as collective accountability. </w:t>
      </w:r>
    </w:p>
    <w:p w14:paraId="098D5411" w14:textId="77777777" w:rsidR="003668C2" w:rsidRPr="00F569AE" w:rsidRDefault="003668C2" w:rsidP="003668C2">
      <w:pPr>
        <w:spacing w:line="276" w:lineRule="auto"/>
        <w:ind w:firstLine="720"/>
        <w:jc w:val="both"/>
        <w:rPr>
          <w:rFonts w:ascii="Calibri" w:hAnsi="Calibri" w:cs="Calibri"/>
          <w:lang w:val="en-US"/>
        </w:rPr>
      </w:pPr>
      <w:r w:rsidRPr="00F569AE">
        <w:rPr>
          <w:rFonts w:ascii="Calibri" w:hAnsi="Calibri" w:cs="Calibri"/>
          <w:lang w:val="en-US"/>
        </w:rPr>
        <w:t>(ii) CAF is for self-assessment and cannot be used for benchmarking purposes, while the PMS provided avenues for cross-LG comparison. Merging these dual perspectives in one tool required further deliberation to sharpen its focus and purpose, without making it too cumbersome, as it was felt by several stakeholders.</w:t>
      </w:r>
    </w:p>
    <w:p w14:paraId="0DDEBC9D" w14:textId="77777777" w:rsidR="003668C2" w:rsidRPr="00F569AE" w:rsidRDefault="003668C2" w:rsidP="003668C2">
      <w:pPr>
        <w:spacing w:line="276" w:lineRule="auto"/>
        <w:ind w:firstLine="720"/>
        <w:jc w:val="both"/>
        <w:rPr>
          <w:rFonts w:ascii="Calibri" w:hAnsi="Calibri" w:cs="Calibri"/>
          <w:lang w:val="en-US"/>
        </w:rPr>
      </w:pPr>
      <w:r w:rsidRPr="00F569AE">
        <w:rPr>
          <w:rFonts w:ascii="Calibri" w:hAnsi="Calibri" w:cs="Calibri"/>
          <w:lang w:val="en-US"/>
        </w:rPr>
        <w:t>(iii) Absence of strong CAF expertise in the country - particularly at the local level – and the lack of established CAF4LGs expertise, which was still in development, highlighted the urgent need to further strengthen capacities for both CAF and CAF4LGs in BiH.</w:t>
      </w:r>
    </w:p>
    <w:p w14:paraId="34F67B7F" w14:textId="77777777" w:rsidR="003668C2" w:rsidRPr="00F569AE" w:rsidRDefault="003668C2" w:rsidP="003668C2">
      <w:pPr>
        <w:spacing w:line="276" w:lineRule="auto"/>
        <w:jc w:val="both"/>
        <w:rPr>
          <w:rFonts w:ascii="Calibri" w:hAnsi="Calibri" w:cs="Calibri"/>
          <w:lang w:val="en-US"/>
        </w:rPr>
      </w:pPr>
    </w:p>
    <w:p w14:paraId="6EEC9445" w14:textId="08E37689"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 xml:space="preserve">The current version of the CAF4LGs was implemented in 10 out of 29 LGs, and the lessons learned from its use should offer valuable opportunities to further refine and streamline the tool, making it more effective and responsive to the needs of the partner LGs. Implementation of such a customized framework would signal a significant step forward in empowering local governments to take ownership of their development trajectories catalyzing transformative change at the grassroots level. </w:t>
      </w:r>
    </w:p>
    <w:p w14:paraId="153B265B" w14:textId="391930E8" w:rsidR="003668C2" w:rsidRPr="00F569AE" w:rsidRDefault="003668C2" w:rsidP="003668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lang w:val="en-US"/>
        </w:rPr>
      </w:pPr>
    </w:p>
    <w:p w14:paraId="193B2968" w14:textId="77777777" w:rsidR="003668C2" w:rsidRPr="00F569AE" w:rsidRDefault="003668C2" w:rsidP="003668C2">
      <w:pPr>
        <w:pStyle w:val="p1"/>
        <w:spacing w:line="276" w:lineRule="auto"/>
        <w:jc w:val="both"/>
        <w:rPr>
          <w:rFonts w:ascii="Calibri" w:hAnsi="Calibri" w:cs="Calibri"/>
          <w:color w:val="auto"/>
          <w:sz w:val="24"/>
          <w:szCs w:val="24"/>
        </w:rPr>
      </w:pPr>
      <w:r w:rsidRPr="00F569AE">
        <w:rPr>
          <w:rFonts w:ascii="Calibri" w:hAnsi="Calibri" w:cs="Calibri"/>
          <w:b/>
          <w:i/>
          <w:color w:val="auto"/>
          <w:sz w:val="24"/>
          <w:szCs w:val="24"/>
        </w:rPr>
        <w:t xml:space="preserve">Progress towards Outcome 2: </w:t>
      </w:r>
      <w:r w:rsidRPr="00F569AE">
        <w:rPr>
          <w:rFonts w:ascii="Calibri" w:hAnsi="Calibri" w:cs="Calibri"/>
          <w:i/>
          <w:color w:val="auto"/>
          <w:sz w:val="24"/>
          <w:szCs w:val="24"/>
        </w:rPr>
        <w:t>Local governments improve their performance, are more accountable, inclusive and gender-responsive, and provide high quality services, in particular in the water sector.</w:t>
      </w:r>
      <w:r w:rsidRPr="00F569AE">
        <w:rPr>
          <w:rFonts w:ascii="Calibri" w:hAnsi="Calibri" w:cs="Calibri"/>
          <w:color w:val="auto"/>
          <w:sz w:val="24"/>
          <w:szCs w:val="24"/>
        </w:rPr>
        <w:t xml:space="preserve"> </w:t>
      </w:r>
    </w:p>
    <w:p w14:paraId="0DB0450A" w14:textId="1B3A5185" w:rsidR="003668C2" w:rsidRPr="00D075CF" w:rsidRDefault="00D45042" w:rsidP="00D075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lang w:val="en-US"/>
        </w:rPr>
      </w:pPr>
      <w:r w:rsidRPr="00D075CF">
        <w:rPr>
          <w:rFonts w:ascii="Calibri" w:hAnsi="Calibri" w:cs="Calibri"/>
          <w:b/>
          <w:bCs/>
          <w:i/>
          <w:iCs/>
          <w:lang w:val="en-US"/>
        </w:rPr>
        <w:t>Brief overview of progress vis-à-vis indicators:</w:t>
      </w:r>
    </w:p>
    <w:tbl>
      <w:tblPr>
        <w:tblW w:w="9209" w:type="dxa"/>
        <w:tblLayout w:type="fixed"/>
        <w:tblLook w:val="04A0" w:firstRow="1" w:lastRow="0" w:firstColumn="1" w:lastColumn="0" w:noHBand="0" w:noVBand="1"/>
      </w:tblPr>
      <w:tblGrid>
        <w:gridCol w:w="1838"/>
        <w:gridCol w:w="3827"/>
        <w:gridCol w:w="1276"/>
        <w:gridCol w:w="992"/>
        <w:gridCol w:w="1276"/>
      </w:tblGrid>
      <w:tr w:rsidR="00D45042" w:rsidRPr="00D42106" w14:paraId="501D9079" w14:textId="77777777" w:rsidTr="00347595">
        <w:trPr>
          <w:trHeight w:val="289"/>
        </w:trPr>
        <w:tc>
          <w:tcPr>
            <w:tcW w:w="1838" w:type="dxa"/>
            <w:vMerge w:val="restart"/>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0BB043BA" w14:textId="77777777" w:rsidR="00D45042" w:rsidRPr="00D42106" w:rsidRDefault="00D45042" w:rsidP="00347595">
            <w:pPr>
              <w:rPr>
                <w:rFonts w:ascii="Calibri" w:hAnsi="Calibri" w:cs="Calibri"/>
                <w:b/>
                <w:sz w:val="18"/>
                <w:szCs w:val="18"/>
                <w:lang w:eastAsia="sr-Latn-BA"/>
              </w:rPr>
            </w:pPr>
            <w:r w:rsidRPr="00D42106">
              <w:rPr>
                <w:rFonts w:ascii="Calibri" w:hAnsi="Calibri" w:cs="Calibri"/>
                <w:b/>
                <w:sz w:val="18"/>
                <w:szCs w:val="18"/>
                <w:lang w:eastAsia="sr-Latn-BA"/>
              </w:rPr>
              <w:t>Outcomes</w:t>
            </w:r>
          </w:p>
        </w:tc>
        <w:tc>
          <w:tcPr>
            <w:tcW w:w="3827" w:type="dxa"/>
            <w:vMerge w:val="restart"/>
            <w:tcBorders>
              <w:top w:val="single" w:sz="8" w:space="0" w:color="auto"/>
              <w:left w:val="single" w:sz="4" w:space="0" w:color="auto"/>
              <w:bottom w:val="single" w:sz="4" w:space="0" w:color="auto"/>
              <w:right w:val="single" w:sz="4" w:space="0" w:color="auto"/>
            </w:tcBorders>
            <w:shd w:val="clear" w:color="auto" w:fill="C1E4F5" w:themeFill="accent1" w:themeFillTint="33"/>
            <w:vAlign w:val="center"/>
            <w:hideMark/>
          </w:tcPr>
          <w:p w14:paraId="0422F537" w14:textId="77777777" w:rsidR="00D45042" w:rsidRPr="00D42106" w:rsidRDefault="00D45042" w:rsidP="00347595">
            <w:pPr>
              <w:rPr>
                <w:rFonts w:ascii="Calibri" w:hAnsi="Calibri" w:cs="Calibri"/>
                <w:b/>
                <w:sz w:val="18"/>
                <w:szCs w:val="18"/>
                <w:lang w:eastAsia="sr-Latn-BA"/>
              </w:rPr>
            </w:pPr>
            <w:r w:rsidRPr="00D42106">
              <w:rPr>
                <w:rFonts w:ascii="Calibri" w:hAnsi="Calibri" w:cs="Calibri"/>
                <w:b/>
                <w:sz w:val="18"/>
                <w:szCs w:val="18"/>
                <w:lang w:eastAsia="sr-Latn-BA"/>
              </w:rPr>
              <w:t>Outcome indicators</w:t>
            </w:r>
          </w:p>
        </w:tc>
        <w:tc>
          <w:tcPr>
            <w:tcW w:w="1276" w:type="dxa"/>
            <w:tcBorders>
              <w:top w:val="single" w:sz="8" w:space="0" w:color="auto"/>
              <w:left w:val="nil"/>
              <w:bottom w:val="single" w:sz="4" w:space="0" w:color="auto"/>
              <w:right w:val="single" w:sz="8" w:space="0" w:color="000000"/>
            </w:tcBorders>
            <w:shd w:val="clear" w:color="auto" w:fill="C1E4F5" w:themeFill="accent1" w:themeFillTint="33"/>
            <w:noWrap/>
            <w:vAlign w:val="bottom"/>
            <w:hideMark/>
          </w:tcPr>
          <w:p w14:paraId="4C25ECC3" w14:textId="77777777" w:rsidR="00D45042" w:rsidRPr="00D42106" w:rsidRDefault="00D45042" w:rsidP="00347595">
            <w:pPr>
              <w:jc w:val="center"/>
              <w:rPr>
                <w:rFonts w:ascii="Calibri" w:hAnsi="Calibri" w:cs="Calibri"/>
                <w:b/>
                <w:sz w:val="18"/>
                <w:szCs w:val="18"/>
                <w:lang w:eastAsia="sr-Latn-BA"/>
              </w:rPr>
            </w:pPr>
            <w:r w:rsidRPr="00D42106">
              <w:rPr>
                <w:rFonts w:ascii="Calibri" w:hAnsi="Calibri" w:cs="Calibri"/>
                <w:b/>
                <w:sz w:val="18"/>
                <w:szCs w:val="18"/>
                <w:lang w:eastAsia="sr-Latn-BA"/>
              </w:rPr>
              <w:t>Baseline</w:t>
            </w:r>
          </w:p>
        </w:tc>
        <w:tc>
          <w:tcPr>
            <w:tcW w:w="992" w:type="dxa"/>
            <w:tcBorders>
              <w:top w:val="single" w:sz="8" w:space="0" w:color="auto"/>
              <w:left w:val="nil"/>
              <w:bottom w:val="single" w:sz="4" w:space="0" w:color="auto"/>
              <w:right w:val="nil"/>
            </w:tcBorders>
            <w:shd w:val="clear" w:color="auto" w:fill="C1E4F5" w:themeFill="accent1" w:themeFillTint="33"/>
            <w:vAlign w:val="center"/>
          </w:tcPr>
          <w:p w14:paraId="65F8CE01" w14:textId="77777777" w:rsidR="00D45042" w:rsidRPr="00D42106" w:rsidRDefault="00D45042" w:rsidP="00347595">
            <w:pPr>
              <w:jc w:val="center"/>
              <w:rPr>
                <w:rFonts w:ascii="Calibri" w:hAnsi="Calibri" w:cs="Calibri"/>
                <w:b/>
                <w:sz w:val="18"/>
                <w:szCs w:val="18"/>
                <w:lang w:eastAsia="sr-Latn-BA"/>
              </w:rPr>
            </w:pPr>
          </w:p>
        </w:tc>
        <w:tc>
          <w:tcPr>
            <w:tcW w:w="1276" w:type="dxa"/>
            <w:tcBorders>
              <w:top w:val="single" w:sz="8" w:space="0" w:color="auto"/>
              <w:left w:val="nil"/>
              <w:bottom w:val="single" w:sz="4" w:space="0" w:color="auto"/>
              <w:right w:val="single" w:sz="8" w:space="0" w:color="000000"/>
            </w:tcBorders>
            <w:shd w:val="clear" w:color="auto" w:fill="C1E4F5" w:themeFill="accent1" w:themeFillTint="33"/>
            <w:vAlign w:val="center"/>
          </w:tcPr>
          <w:p w14:paraId="1503DC0D" w14:textId="77777777" w:rsidR="00D45042" w:rsidRPr="00D42106" w:rsidRDefault="00D45042" w:rsidP="00347595">
            <w:pPr>
              <w:jc w:val="center"/>
              <w:rPr>
                <w:rFonts w:ascii="Calibri" w:hAnsi="Calibri" w:cs="Calibri"/>
                <w:b/>
                <w:sz w:val="18"/>
                <w:szCs w:val="18"/>
                <w:lang w:eastAsia="sr-Latn-BA"/>
              </w:rPr>
            </w:pPr>
          </w:p>
        </w:tc>
      </w:tr>
      <w:tr w:rsidR="00D45042" w:rsidRPr="00D42106" w14:paraId="0F217BC0" w14:textId="77777777" w:rsidTr="00347595">
        <w:trPr>
          <w:trHeight w:val="289"/>
        </w:trPr>
        <w:tc>
          <w:tcPr>
            <w:tcW w:w="1838" w:type="dxa"/>
            <w:vMerge/>
            <w:tcBorders>
              <w:top w:val="single" w:sz="8" w:space="0" w:color="auto"/>
              <w:left w:val="single" w:sz="4" w:space="0" w:color="auto"/>
              <w:bottom w:val="single" w:sz="4" w:space="0" w:color="auto"/>
              <w:right w:val="single" w:sz="4" w:space="0" w:color="auto"/>
            </w:tcBorders>
            <w:shd w:val="clear" w:color="auto" w:fill="C1E4F5" w:themeFill="accent1" w:themeFillTint="33"/>
            <w:vAlign w:val="center"/>
            <w:hideMark/>
          </w:tcPr>
          <w:p w14:paraId="193C632D" w14:textId="77777777" w:rsidR="00D45042" w:rsidRPr="00D42106" w:rsidRDefault="00D45042" w:rsidP="00347595">
            <w:pPr>
              <w:rPr>
                <w:rFonts w:ascii="Calibri" w:hAnsi="Calibri" w:cs="Calibri"/>
                <w:b/>
                <w:sz w:val="18"/>
                <w:szCs w:val="18"/>
                <w:lang w:eastAsia="sr-Latn-BA"/>
              </w:rPr>
            </w:pPr>
          </w:p>
        </w:tc>
        <w:tc>
          <w:tcPr>
            <w:tcW w:w="3827" w:type="dxa"/>
            <w:vMerge/>
            <w:tcBorders>
              <w:top w:val="single" w:sz="8" w:space="0" w:color="auto"/>
              <w:left w:val="single" w:sz="4" w:space="0" w:color="auto"/>
              <w:bottom w:val="single" w:sz="4" w:space="0" w:color="auto"/>
              <w:right w:val="single" w:sz="4" w:space="0" w:color="auto"/>
            </w:tcBorders>
            <w:shd w:val="clear" w:color="auto" w:fill="C1E4F5" w:themeFill="accent1" w:themeFillTint="33"/>
            <w:vAlign w:val="center"/>
            <w:hideMark/>
          </w:tcPr>
          <w:p w14:paraId="3CB57A6F" w14:textId="77777777" w:rsidR="00D45042" w:rsidRPr="00D42106" w:rsidRDefault="00D45042" w:rsidP="00347595">
            <w:pPr>
              <w:rPr>
                <w:rFonts w:ascii="Calibri" w:hAnsi="Calibri" w:cs="Calibri"/>
                <w:b/>
                <w:sz w:val="18"/>
                <w:szCs w:val="18"/>
                <w:lang w:eastAsia="sr-Latn-BA"/>
              </w:rPr>
            </w:pPr>
          </w:p>
        </w:tc>
        <w:tc>
          <w:tcPr>
            <w:tcW w:w="1276" w:type="dxa"/>
            <w:tcBorders>
              <w:top w:val="nil"/>
              <w:left w:val="nil"/>
              <w:bottom w:val="single" w:sz="4" w:space="0" w:color="auto"/>
              <w:right w:val="single" w:sz="4" w:space="0" w:color="auto"/>
            </w:tcBorders>
            <w:shd w:val="clear" w:color="auto" w:fill="C1E4F5" w:themeFill="accent1" w:themeFillTint="33"/>
            <w:noWrap/>
            <w:vAlign w:val="bottom"/>
            <w:hideMark/>
          </w:tcPr>
          <w:p w14:paraId="1926B9EF" w14:textId="77777777" w:rsidR="00D45042" w:rsidRPr="00D42106" w:rsidRDefault="00D45042" w:rsidP="00347595">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Value </w:t>
            </w:r>
          </w:p>
        </w:tc>
        <w:tc>
          <w:tcPr>
            <w:tcW w:w="992" w:type="dxa"/>
            <w:tcBorders>
              <w:top w:val="nil"/>
              <w:left w:val="single" w:sz="8" w:space="0" w:color="auto"/>
              <w:bottom w:val="single" w:sz="4" w:space="0" w:color="auto"/>
              <w:right w:val="single" w:sz="8" w:space="0" w:color="auto"/>
            </w:tcBorders>
            <w:shd w:val="clear" w:color="auto" w:fill="C1E4F5" w:themeFill="accent1" w:themeFillTint="33"/>
            <w:vAlign w:val="center"/>
          </w:tcPr>
          <w:p w14:paraId="7DB7D5D8" w14:textId="77777777" w:rsidR="00D45042" w:rsidRPr="00D42106" w:rsidRDefault="00D45042" w:rsidP="00347595">
            <w:pPr>
              <w:jc w:val="center"/>
              <w:rPr>
                <w:rFonts w:ascii="Calibri" w:hAnsi="Calibri" w:cs="Calibri"/>
                <w:b/>
                <w:sz w:val="18"/>
                <w:szCs w:val="18"/>
                <w:lang w:eastAsia="sr-Latn-BA"/>
              </w:rPr>
            </w:pPr>
            <w:r>
              <w:rPr>
                <w:rFonts w:ascii="Calibri" w:hAnsi="Calibri" w:cs="Calibri"/>
                <w:b/>
                <w:sz w:val="18"/>
                <w:szCs w:val="18"/>
                <w:lang w:eastAsia="sr-Latn-BA"/>
              </w:rPr>
              <w:t>Target</w:t>
            </w:r>
          </w:p>
        </w:tc>
        <w:tc>
          <w:tcPr>
            <w:tcW w:w="1276" w:type="dxa"/>
            <w:tcBorders>
              <w:top w:val="nil"/>
              <w:left w:val="nil"/>
              <w:bottom w:val="single" w:sz="4" w:space="0" w:color="auto"/>
              <w:right w:val="single" w:sz="8" w:space="0" w:color="auto"/>
            </w:tcBorders>
            <w:shd w:val="clear" w:color="auto" w:fill="C1E4F5" w:themeFill="accent1" w:themeFillTint="33"/>
            <w:vAlign w:val="center"/>
          </w:tcPr>
          <w:p w14:paraId="1093BF60" w14:textId="77777777" w:rsidR="00D45042" w:rsidRPr="00D42106" w:rsidRDefault="00D45042" w:rsidP="00347595">
            <w:pPr>
              <w:jc w:val="center"/>
              <w:rPr>
                <w:rFonts w:ascii="Calibri" w:hAnsi="Calibri" w:cs="Calibri"/>
                <w:b/>
                <w:sz w:val="18"/>
                <w:szCs w:val="18"/>
                <w:lang w:eastAsia="sr-Latn-BA"/>
              </w:rPr>
            </w:pPr>
            <w:r>
              <w:rPr>
                <w:rFonts w:ascii="Calibri" w:hAnsi="Calibri" w:cs="Calibri"/>
                <w:b/>
                <w:sz w:val="18"/>
                <w:szCs w:val="18"/>
                <w:lang w:eastAsia="sr-Latn-BA"/>
              </w:rPr>
              <w:t>Progress as of 2025</w:t>
            </w:r>
          </w:p>
        </w:tc>
      </w:tr>
      <w:tr w:rsidR="00D45042" w:rsidRPr="00D42106" w14:paraId="027D7F47" w14:textId="77777777" w:rsidTr="00293B59">
        <w:trPr>
          <w:trHeight w:val="475"/>
        </w:trPr>
        <w:tc>
          <w:tcPr>
            <w:tcW w:w="183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953F3B" w14:textId="77777777" w:rsidR="00D45042" w:rsidRPr="00D42106" w:rsidRDefault="00D45042" w:rsidP="00347595">
            <w:pPr>
              <w:rPr>
                <w:rFonts w:ascii="Calibri" w:hAnsi="Calibri" w:cs="Calibri"/>
                <w:b/>
                <w:sz w:val="18"/>
                <w:szCs w:val="18"/>
                <w:lang w:eastAsia="sr-Latn-BA"/>
              </w:rPr>
            </w:pPr>
            <w:r w:rsidRPr="00D42106">
              <w:rPr>
                <w:rFonts w:ascii="Calibri" w:hAnsi="Calibri" w:cs="Calibri"/>
                <w:b/>
                <w:sz w:val="18"/>
                <w:szCs w:val="18"/>
                <w:lang w:eastAsia="sr-Latn-BA"/>
              </w:rPr>
              <w:t>Outcome 2: Local governments improve their performance, are more accountable, inclusive and gender-responsive, and provide high quality services, in particular in the water sector.</w:t>
            </w:r>
          </w:p>
        </w:tc>
        <w:tc>
          <w:tcPr>
            <w:tcW w:w="382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2A7830B" w14:textId="77777777" w:rsidR="00D45042" w:rsidRPr="00D42106" w:rsidRDefault="00D45042" w:rsidP="00347595">
            <w:pPr>
              <w:jc w:val="both"/>
              <w:rPr>
                <w:rFonts w:ascii="Calibri" w:hAnsi="Calibri" w:cs="Calibri"/>
                <w:i/>
                <w:sz w:val="18"/>
                <w:szCs w:val="18"/>
                <w:lang w:eastAsia="sr-Latn-BA"/>
              </w:rPr>
            </w:pPr>
            <w:r w:rsidRPr="00D42106">
              <w:rPr>
                <w:rFonts w:ascii="Calibri" w:hAnsi="Calibri" w:cs="Calibri"/>
                <w:i/>
                <w:sz w:val="18"/>
                <w:szCs w:val="18"/>
                <w:lang w:eastAsia="sr-Latn-BA"/>
              </w:rPr>
              <w:t>% population satisfied with the overall quality of public services in target localities (average for all partner local governments) from baseline.</w:t>
            </w:r>
          </w:p>
        </w:tc>
        <w:tc>
          <w:tcPr>
            <w:tcW w:w="1276" w:type="dxa"/>
            <w:tcBorders>
              <w:top w:val="single" w:sz="4" w:space="0" w:color="auto"/>
              <w:left w:val="nil"/>
              <w:bottom w:val="single" w:sz="4" w:space="0" w:color="auto"/>
              <w:right w:val="single" w:sz="4" w:space="0" w:color="auto"/>
            </w:tcBorders>
            <w:noWrap/>
            <w:vAlign w:val="center"/>
            <w:hideMark/>
          </w:tcPr>
          <w:p w14:paraId="6F5AF0D8"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TBD</w:t>
            </w:r>
          </w:p>
        </w:tc>
        <w:tc>
          <w:tcPr>
            <w:tcW w:w="992" w:type="dxa"/>
            <w:tcBorders>
              <w:top w:val="nil"/>
              <w:left w:val="single" w:sz="4" w:space="0" w:color="auto"/>
              <w:bottom w:val="single" w:sz="4" w:space="0" w:color="auto"/>
              <w:right w:val="single" w:sz="8" w:space="0" w:color="auto"/>
            </w:tcBorders>
            <w:shd w:val="clear" w:color="auto" w:fill="D9D9D9" w:themeFill="background1" w:themeFillShade="D9"/>
            <w:vAlign w:val="center"/>
          </w:tcPr>
          <w:p w14:paraId="0ED682FD"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60%</w:t>
            </w:r>
          </w:p>
        </w:tc>
        <w:tc>
          <w:tcPr>
            <w:tcW w:w="1276" w:type="dxa"/>
            <w:tcBorders>
              <w:top w:val="nil"/>
              <w:left w:val="nil"/>
              <w:bottom w:val="single" w:sz="4" w:space="0" w:color="auto"/>
              <w:right w:val="single" w:sz="8" w:space="0" w:color="auto"/>
            </w:tcBorders>
            <w:shd w:val="clear" w:color="auto" w:fill="FAE2D5" w:themeFill="accent2" w:themeFillTint="33"/>
            <w:vAlign w:val="center"/>
          </w:tcPr>
          <w:p w14:paraId="566BD955"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52.5%</w:t>
            </w:r>
          </w:p>
        </w:tc>
      </w:tr>
      <w:tr w:rsidR="00D45042" w:rsidRPr="00D42106" w14:paraId="58DC23C7" w14:textId="77777777" w:rsidTr="00347595">
        <w:trPr>
          <w:trHeight w:val="475"/>
        </w:trPr>
        <w:tc>
          <w:tcPr>
            <w:tcW w:w="18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38881C3" w14:textId="77777777" w:rsidR="00D45042" w:rsidRPr="00D42106" w:rsidRDefault="00D45042" w:rsidP="00347595">
            <w:pPr>
              <w:rPr>
                <w:rFonts w:ascii="Calibri" w:hAnsi="Calibri" w:cs="Calibri"/>
                <w:b/>
                <w:sz w:val="18"/>
                <w:szCs w:val="18"/>
                <w:lang w:eastAsia="sr-Latn-BA"/>
              </w:rPr>
            </w:pPr>
          </w:p>
        </w:tc>
        <w:tc>
          <w:tcPr>
            <w:tcW w:w="3827" w:type="dxa"/>
            <w:tcBorders>
              <w:top w:val="nil"/>
              <w:left w:val="nil"/>
              <w:bottom w:val="single" w:sz="4" w:space="0" w:color="auto"/>
              <w:right w:val="single" w:sz="4" w:space="0" w:color="auto"/>
            </w:tcBorders>
            <w:shd w:val="clear" w:color="auto" w:fill="F2F2F2" w:themeFill="background1" w:themeFillShade="F2"/>
            <w:vAlign w:val="center"/>
            <w:hideMark/>
          </w:tcPr>
          <w:p w14:paraId="46E6EDCF" w14:textId="77777777" w:rsidR="00D45042" w:rsidRPr="00D42106" w:rsidRDefault="00D45042" w:rsidP="00347595">
            <w:pPr>
              <w:jc w:val="both"/>
              <w:rPr>
                <w:rFonts w:ascii="Calibri" w:hAnsi="Calibri" w:cs="Calibri"/>
                <w:i/>
                <w:sz w:val="18"/>
                <w:szCs w:val="18"/>
                <w:lang w:eastAsia="sr-Latn-BA"/>
              </w:rPr>
            </w:pPr>
            <w:r w:rsidRPr="00D42106">
              <w:rPr>
                <w:rFonts w:ascii="Calibri" w:hAnsi="Calibri" w:cs="Calibri"/>
                <w:i/>
                <w:sz w:val="18"/>
                <w:szCs w:val="18"/>
                <w:lang w:eastAsia="sr-Latn-BA"/>
              </w:rPr>
              <w:t xml:space="preserve">% of citizens within partner local governments satisfied with the water supply and wastewater management services, from baseline. </w:t>
            </w:r>
          </w:p>
        </w:tc>
        <w:tc>
          <w:tcPr>
            <w:tcW w:w="1276" w:type="dxa"/>
            <w:tcBorders>
              <w:top w:val="nil"/>
              <w:left w:val="nil"/>
              <w:bottom w:val="single" w:sz="4" w:space="0" w:color="auto"/>
              <w:right w:val="single" w:sz="4" w:space="0" w:color="auto"/>
            </w:tcBorders>
            <w:noWrap/>
            <w:vAlign w:val="center"/>
            <w:hideMark/>
          </w:tcPr>
          <w:p w14:paraId="243DF21F"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TBD</w:t>
            </w:r>
          </w:p>
        </w:tc>
        <w:tc>
          <w:tcPr>
            <w:tcW w:w="992" w:type="dxa"/>
            <w:tcBorders>
              <w:top w:val="nil"/>
              <w:left w:val="single" w:sz="4" w:space="0" w:color="auto"/>
              <w:bottom w:val="single" w:sz="4" w:space="0" w:color="auto"/>
              <w:right w:val="single" w:sz="8" w:space="0" w:color="auto"/>
            </w:tcBorders>
            <w:shd w:val="clear" w:color="auto" w:fill="D9D9D9" w:themeFill="background1" w:themeFillShade="D9"/>
            <w:vAlign w:val="center"/>
          </w:tcPr>
          <w:p w14:paraId="777E5385"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50%</w:t>
            </w:r>
          </w:p>
        </w:tc>
        <w:tc>
          <w:tcPr>
            <w:tcW w:w="1276" w:type="dxa"/>
            <w:tcBorders>
              <w:top w:val="nil"/>
              <w:left w:val="nil"/>
              <w:bottom w:val="single" w:sz="4" w:space="0" w:color="auto"/>
              <w:right w:val="single" w:sz="8" w:space="0" w:color="auto"/>
            </w:tcBorders>
            <w:shd w:val="clear" w:color="auto" w:fill="D9F2D0" w:themeFill="accent6" w:themeFillTint="33"/>
            <w:vAlign w:val="center"/>
          </w:tcPr>
          <w:p w14:paraId="4457015D"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48.5%</w:t>
            </w:r>
          </w:p>
        </w:tc>
      </w:tr>
      <w:tr w:rsidR="00D45042" w:rsidRPr="00D42106" w14:paraId="5F970D87" w14:textId="77777777" w:rsidTr="00347595">
        <w:trPr>
          <w:trHeight w:val="526"/>
        </w:trPr>
        <w:tc>
          <w:tcPr>
            <w:tcW w:w="18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555EB7" w14:textId="77777777" w:rsidR="00D45042" w:rsidRPr="00D42106" w:rsidRDefault="00D45042" w:rsidP="00347595">
            <w:pPr>
              <w:rPr>
                <w:rFonts w:ascii="Calibri" w:hAnsi="Calibri" w:cs="Calibri"/>
                <w:b/>
                <w:sz w:val="18"/>
                <w:szCs w:val="18"/>
                <w:lang w:eastAsia="sr-Latn-BA"/>
              </w:rPr>
            </w:pPr>
          </w:p>
        </w:tc>
        <w:tc>
          <w:tcPr>
            <w:tcW w:w="3827" w:type="dxa"/>
            <w:tcBorders>
              <w:top w:val="nil"/>
              <w:left w:val="nil"/>
              <w:bottom w:val="single" w:sz="4" w:space="0" w:color="auto"/>
              <w:right w:val="single" w:sz="4" w:space="0" w:color="auto"/>
            </w:tcBorders>
            <w:shd w:val="clear" w:color="auto" w:fill="F2F2F2" w:themeFill="background1" w:themeFillShade="F2"/>
            <w:vAlign w:val="center"/>
            <w:hideMark/>
          </w:tcPr>
          <w:p w14:paraId="361F48A8" w14:textId="77777777" w:rsidR="00D45042" w:rsidRPr="00D42106" w:rsidRDefault="00D45042" w:rsidP="00347595">
            <w:pPr>
              <w:jc w:val="both"/>
              <w:rPr>
                <w:rFonts w:ascii="Calibri" w:hAnsi="Calibri" w:cs="Calibri"/>
                <w:i/>
                <w:sz w:val="18"/>
                <w:szCs w:val="18"/>
                <w:lang w:eastAsia="sr-Latn-BA"/>
              </w:rPr>
            </w:pPr>
            <w:r w:rsidRPr="00D42106">
              <w:rPr>
                <w:rFonts w:ascii="Calibri" w:hAnsi="Calibri" w:cs="Calibri"/>
                <w:i/>
                <w:sz w:val="18"/>
                <w:szCs w:val="18"/>
                <w:lang w:eastAsia="sr-Latn-BA"/>
              </w:rPr>
              <w:t># of people</w:t>
            </w:r>
            <w:r w:rsidRPr="00D42106">
              <w:rPr>
                <w:rFonts w:ascii="Calibri" w:hAnsi="Calibri" w:cs="Calibri"/>
                <w:sz w:val="18"/>
                <w:szCs w:val="18"/>
                <w:lang w:eastAsia="sr-Latn-BA"/>
              </w:rPr>
              <w:t xml:space="preserve"> </w:t>
            </w:r>
            <w:r w:rsidRPr="00D42106">
              <w:rPr>
                <w:rFonts w:ascii="Calibri" w:hAnsi="Calibri" w:cs="Calibri"/>
                <w:i/>
                <w:sz w:val="18"/>
                <w:szCs w:val="18"/>
                <w:lang w:eastAsia="sr-Latn-BA"/>
              </w:rPr>
              <w:t>(M/F) participating in and influencing public service provision, decision-making and budgets in their localities (SDC GOV ARI 1)</w:t>
            </w:r>
          </w:p>
        </w:tc>
        <w:tc>
          <w:tcPr>
            <w:tcW w:w="1276" w:type="dxa"/>
            <w:tcBorders>
              <w:top w:val="nil"/>
              <w:left w:val="nil"/>
              <w:bottom w:val="single" w:sz="4" w:space="0" w:color="auto"/>
              <w:right w:val="single" w:sz="4" w:space="0" w:color="auto"/>
            </w:tcBorders>
            <w:noWrap/>
            <w:vAlign w:val="center"/>
            <w:hideMark/>
          </w:tcPr>
          <w:p w14:paraId="69331505"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75</w:t>
            </w:r>
          </w:p>
        </w:tc>
        <w:tc>
          <w:tcPr>
            <w:tcW w:w="992" w:type="dxa"/>
            <w:tcBorders>
              <w:top w:val="nil"/>
              <w:left w:val="single" w:sz="4" w:space="0" w:color="auto"/>
              <w:bottom w:val="single" w:sz="4" w:space="0" w:color="auto"/>
              <w:right w:val="single" w:sz="8" w:space="0" w:color="auto"/>
            </w:tcBorders>
            <w:shd w:val="clear" w:color="auto" w:fill="D9D9D9" w:themeFill="background1" w:themeFillShade="D9"/>
            <w:vAlign w:val="center"/>
          </w:tcPr>
          <w:p w14:paraId="67BA3F4D"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112</w:t>
            </w:r>
          </w:p>
        </w:tc>
        <w:tc>
          <w:tcPr>
            <w:tcW w:w="1276" w:type="dxa"/>
            <w:tcBorders>
              <w:top w:val="nil"/>
              <w:left w:val="nil"/>
              <w:bottom w:val="single" w:sz="4" w:space="0" w:color="auto"/>
              <w:right w:val="single" w:sz="8" w:space="0" w:color="auto"/>
            </w:tcBorders>
            <w:shd w:val="clear" w:color="auto" w:fill="D9F2D0" w:themeFill="accent6" w:themeFillTint="33"/>
            <w:vAlign w:val="center"/>
          </w:tcPr>
          <w:p w14:paraId="6F1B48AF"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 xml:space="preserve"> 133</w:t>
            </w:r>
          </w:p>
          <w:p w14:paraId="04C04801"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(average for 174 in old and 93 in new LGs)</w:t>
            </w:r>
          </w:p>
        </w:tc>
      </w:tr>
    </w:tbl>
    <w:p w14:paraId="4FD99864" w14:textId="77777777" w:rsidR="00293B59" w:rsidRPr="00293B59" w:rsidRDefault="00293B59" w:rsidP="00293B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r w:rsidRPr="00293B59">
        <w:rPr>
          <w:rFonts w:ascii="Calibri" w:hAnsi="Calibri" w:cs="Calibri"/>
          <w:b/>
          <w:bCs/>
          <w:i/>
          <w:iCs/>
          <w:sz w:val="20"/>
          <w:szCs w:val="20"/>
          <w:lang w:val="en-US"/>
        </w:rPr>
        <w:t>Legends:</w:t>
      </w:r>
    </w:p>
    <w:tbl>
      <w:tblPr>
        <w:tblStyle w:val="TableGrid"/>
        <w:tblW w:w="0" w:type="auto"/>
        <w:tblLook w:val="04A0" w:firstRow="1" w:lastRow="0" w:firstColumn="1" w:lastColumn="0" w:noHBand="0" w:noVBand="1"/>
      </w:tblPr>
      <w:tblGrid>
        <w:gridCol w:w="1555"/>
        <w:gridCol w:w="567"/>
      </w:tblGrid>
      <w:tr w:rsidR="00293B59" w:rsidRPr="00293B59" w14:paraId="5998BAB5" w14:textId="77777777" w:rsidTr="00347595">
        <w:tc>
          <w:tcPr>
            <w:tcW w:w="1555" w:type="dxa"/>
          </w:tcPr>
          <w:p w14:paraId="69B81F40" w14:textId="77777777" w:rsidR="00293B59" w:rsidRPr="00293B59" w:rsidRDefault="00293B59" w:rsidP="003475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r w:rsidRPr="00293B59">
              <w:rPr>
                <w:rFonts w:ascii="Calibri" w:hAnsi="Calibri" w:cs="Calibri"/>
                <w:b/>
                <w:bCs/>
                <w:i/>
                <w:iCs/>
                <w:sz w:val="20"/>
                <w:szCs w:val="20"/>
                <w:lang w:val="en-US"/>
              </w:rPr>
              <w:t>Achieved</w:t>
            </w:r>
          </w:p>
        </w:tc>
        <w:tc>
          <w:tcPr>
            <w:tcW w:w="567" w:type="dxa"/>
            <w:shd w:val="clear" w:color="auto" w:fill="D9F2D0" w:themeFill="accent6" w:themeFillTint="33"/>
          </w:tcPr>
          <w:p w14:paraId="5793BBCE" w14:textId="77777777" w:rsidR="00293B59" w:rsidRPr="00293B59" w:rsidRDefault="00293B59" w:rsidP="003475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p>
        </w:tc>
      </w:tr>
      <w:tr w:rsidR="00293B59" w:rsidRPr="00293B59" w14:paraId="6E763D7B" w14:textId="77777777" w:rsidTr="00347595">
        <w:tc>
          <w:tcPr>
            <w:tcW w:w="1555" w:type="dxa"/>
          </w:tcPr>
          <w:p w14:paraId="533F88AB" w14:textId="77777777" w:rsidR="00293B59" w:rsidRPr="00293B59" w:rsidRDefault="00293B59" w:rsidP="003475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r w:rsidRPr="00293B59">
              <w:rPr>
                <w:rFonts w:ascii="Calibri" w:hAnsi="Calibri" w:cs="Calibri"/>
                <w:b/>
                <w:bCs/>
                <w:i/>
                <w:iCs/>
                <w:sz w:val="20"/>
                <w:szCs w:val="20"/>
                <w:lang w:val="en-US"/>
              </w:rPr>
              <w:t>Not achieved</w:t>
            </w:r>
          </w:p>
        </w:tc>
        <w:tc>
          <w:tcPr>
            <w:tcW w:w="567" w:type="dxa"/>
            <w:shd w:val="clear" w:color="auto" w:fill="FAE2D5" w:themeFill="accent2" w:themeFillTint="33"/>
          </w:tcPr>
          <w:p w14:paraId="476AFCEF" w14:textId="77777777" w:rsidR="00293B59" w:rsidRPr="00293B59" w:rsidRDefault="00293B59" w:rsidP="003475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p>
        </w:tc>
      </w:tr>
    </w:tbl>
    <w:p w14:paraId="48C156F2" w14:textId="77777777" w:rsidR="00D45042" w:rsidRPr="00D075CF" w:rsidRDefault="00D45042" w:rsidP="003668C2">
      <w:pPr>
        <w:pStyle w:val="p1"/>
        <w:spacing w:line="276" w:lineRule="auto"/>
        <w:jc w:val="both"/>
        <w:rPr>
          <w:rFonts w:ascii="Calibri" w:hAnsi="Calibri" w:cs="Calibri"/>
          <w:color w:val="auto"/>
          <w:sz w:val="24"/>
          <w:szCs w:val="24"/>
          <w:lang w:val="sr-Latn-BA"/>
        </w:rPr>
      </w:pPr>
    </w:p>
    <w:p w14:paraId="3E554455" w14:textId="77777777" w:rsidR="003668C2" w:rsidRPr="00F569AE" w:rsidRDefault="003668C2" w:rsidP="003668C2">
      <w:pPr>
        <w:pStyle w:val="p1"/>
        <w:spacing w:line="276" w:lineRule="auto"/>
        <w:jc w:val="both"/>
        <w:rPr>
          <w:rFonts w:ascii="Calibri" w:hAnsi="Calibri" w:cs="Calibri"/>
          <w:sz w:val="24"/>
          <w:szCs w:val="24"/>
        </w:rPr>
      </w:pPr>
      <w:r w:rsidRPr="00F569AE">
        <w:rPr>
          <w:rFonts w:ascii="Calibri" w:hAnsi="Calibri" w:cs="Calibri"/>
          <w:sz w:val="24"/>
          <w:szCs w:val="24"/>
        </w:rPr>
        <w:t xml:space="preserve">The outcomes of the survey among the partner LGs suggest that 75% of them rated the importance of the project for their municipality as 5 and 4 (whereby 5 was the highest rank, and 0 was the lowest). </w:t>
      </w:r>
    </w:p>
    <w:p w14:paraId="280660C2" w14:textId="77777777" w:rsidR="003668C2" w:rsidRPr="00F569AE" w:rsidRDefault="003668C2" w:rsidP="003668C2">
      <w:pPr>
        <w:pStyle w:val="p1"/>
        <w:spacing w:line="276" w:lineRule="auto"/>
        <w:jc w:val="both"/>
        <w:rPr>
          <w:rFonts w:ascii="Calibri" w:hAnsi="Calibri" w:cs="Calibri"/>
          <w:sz w:val="24"/>
          <w:szCs w:val="24"/>
        </w:rPr>
      </w:pPr>
    </w:p>
    <w:p w14:paraId="17BAB3AB" w14:textId="761E43CE" w:rsidR="003668C2" w:rsidRPr="00F569AE" w:rsidRDefault="003668C2" w:rsidP="003668C2">
      <w:pPr>
        <w:pStyle w:val="p1"/>
        <w:spacing w:line="276" w:lineRule="auto"/>
        <w:jc w:val="both"/>
        <w:rPr>
          <w:rFonts w:ascii="Calibri" w:hAnsi="Calibri" w:cs="Calibri"/>
          <w:sz w:val="24"/>
          <w:szCs w:val="24"/>
        </w:rPr>
      </w:pPr>
      <w:r w:rsidRPr="00F569AE">
        <w:rPr>
          <w:rFonts w:ascii="Calibri" w:hAnsi="Calibri" w:cs="Calibri"/>
          <w:sz w:val="24"/>
          <w:szCs w:val="24"/>
        </w:rPr>
        <w:t xml:space="preserve">Introduction of the tools were accompanied by extensive </w:t>
      </w:r>
      <w:r w:rsidRPr="00F569AE">
        <w:rPr>
          <w:rFonts w:ascii="Calibri" w:hAnsi="Calibri" w:cs="Calibri"/>
          <w:b/>
          <w:i/>
          <w:sz w:val="24"/>
          <w:szCs w:val="24"/>
        </w:rPr>
        <w:t>technical assistance</w:t>
      </w:r>
      <w:r w:rsidRPr="00F569AE">
        <w:rPr>
          <w:rFonts w:ascii="Calibri" w:hAnsi="Calibri" w:cs="Calibri"/>
          <w:sz w:val="24"/>
          <w:szCs w:val="24"/>
        </w:rPr>
        <w:t>, geared towards building individual and institutional capacities of the partner LGs</w:t>
      </w:r>
      <w:r w:rsidR="0090457D">
        <w:rPr>
          <w:rFonts w:ascii="Calibri" w:hAnsi="Calibri" w:cs="Calibri"/>
          <w:sz w:val="24"/>
          <w:szCs w:val="24"/>
        </w:rPr>
        <w:t>. The capacity development efforts</w:t>
      </w:r>
      <w:r w:rsidRPr="00F569AE">
        <w:rPr>
          <w:rFonts w:ascii="Calibri" w:hAnsi="Calibri" w:cs="Calibri"/>
          <w:sz w:val="24"/>
          <w:szCs w:val="24"/>
        </w:rPr>
        <w:t xml:space="preserve"> were both extensive in number and impressively varied across thematic </w:t>
      </w:r>
      <w:r w:rsidRPr="00F569AE">
        <w:rPr>
          <w:rFonts w:ascii="Calibri" w:hAnsi="Calibri" w:cs="Calibri"/>
          <w:sz w:val="24"/>
          <w:szCs w:val="24"/>
        </w:rPr>
        <w:lastRenderedPageBreak/>
        <w:t xml:space="preserve">areas, ranging </w:t>
      </w:r>
      <w:r w:rsidRPr="0090457D">
        <w:rPr>
          <w:rFonts w:ascii="Calibri" w:hAnsi="Calibri" w:cs="Calibri"/>
          <w:i/>
          <w:sz w:val="24"/>
          <w:szCs w:val="24"/>
        </w:rPr>
        <w:t>inter alia</w:t>
      </w:r>
      <w:r w:rsidRPr="00F569AE">
        <w:rPr>
          <w:rFonts w:ascii="Calibri" w:hAnsi="Calibri" w:cs="Calibri"/>
          <w:sz w:val="24"/>
          <w:szCs w:val="24"/>
        </w:rPr>
        <w:t xml:space="preserve"> from issues related to anti-corruption to water tariff methodology and gender equality, to asset inventory, </w:t>
      </w:r>
      <w:r w:rsidR="00A93907">
        <w:rPr>
          <w:rFonts w:ascii="Calibri" w:hAnsi="Calibri" w:cs="Calibri"/>
          <w:sz w:val="24"/>
          <w:szCs w:val="24"/>
        </w:rPr>
        <w:t xml:space="preserve">gender-based budgeting, </w:t>
      </w:r>
      <w:r w:rsidRPr="00F569AE">
        <w:rPr>
          <w:rFonts w:ascii="Calibri" w:hAnsi="Calibri" w:cs="Calibri"/>
          <w:sz w:val="24"/>
          <w:szCs w:val="24"/>
        </w:rPr>
        <w:t xml:space="preserve">etc. While these initiatives primarily addressed broad, overarching topics identified as key bottlenecks in water and governance sector, some stakeholders occasionally perceived certain events as being less tailored to the specific needs of their local contexts. Nevertheless, most of the capacity-building activities were described as highly relevant and greatly valued by participants, who frequently praised their immediate applicability, the introduction of new knowledge, and their practical value-add in day-to-day operations. </w:t>
      </w:r>
      <w:r w:rsidR="006C2A56">
        <w:rPr>
          <w:rFonts w:ascii="Calibri" w:hAnsi="Calibri" w:cs="Calibri"/>
          <w:sz w:val="24"/>
          <w:szCs w:val="24"/>
        </w:rPr>
        <w:t xml:space="preserve">In numbers, </w:t>
      </w:r>
      <w:r w:rsidR="006C2A56" w:rsidRPr="00D075CF">
        <w:rPr>
          <w:rFonts w:ascii="Calibri" w:hAnsi="Calibri" w:cs="Calibri"/>
          <w:sz w:val="24"/>
          <w:szCs w:val="24"/>
        </w:rPr>
        <w:t>3640 representatives of 31 local governments (51% women) and more then 100 representatives of line ministries who were trained and capacitated to operationalize and implement good governance frameworks in internal performance management systems.</w:t>
      </w:r>
    </w:p>
    <w:p w14:paraId="708B5BA5" w14:textId="77777777" w:rsidR="003668C2" w:rsidRPr="00F569AE" w:rsidRDefault="003668C2" w:rsidP="003668C2">
      <w:pPr>
        <w:pStyle w:val="p1"/>
        <w:spacing w:line="276" w:lineRule="auto"/>
        <w:jc w:val="both"/>
        <w:rPr>
          <w:rFonts w:ascii="Calibri" w:hAnsi="Calibri" w:cs="Calibri"/>
          <w:sz w:val="24"/>
          <w:szCs w:val="24"/>
        </w:rPr>
      </w:pPr>
    </w:p>
    <w:p w14:paraId="2D47AF72" w14:textId="036B52FD" w:rsidR="003668C2" w:rsidRPr="00F569AE" w:rsidRDefault="003668C2" w:rsidP="003668C2">
      <w:pPr>
        <w:pStyle w:val="p1"/>
        <w:spacing w:line="276" w:lineRule="auto"/>
        <w:jc w:val="both"/>
        <w:rPr>
          <w:rFonts w:ascii="Calibri" w:hAnsi="Calibri" w:cs="Calibri"/>
          <w:sz w:val="24"/>
          <w:szCs w:val="24"/>
        </w:rPr>
      </w:pPr>
      <w:r w:rsidRPr="00F569AE">
        <w:rPr>
          <w:rFonts w:ascii="Calibri" w:hAnsi="Calibri" w:cs="Calibri"/>
          <w:sz w:val="24"/>
          <w:szCs w:val="24"/>
        </w:rPr>
        <w:t xml:space="preserve">Another </w:t>
      </w:r>
      <w:r w:rsidRPr="00F569AE">
        <w:rPr>
          <w:rFonts w:ascii="Calibri" w:hAnsi="Calibri" w:cs="Calibri"/>
          <w:b/>
          <w:i/>
          <w:sz w:val="24"/>
          <w:szCs w:val="24"/>
        </w:rPr>
        <w:t>major systemic achievement</w:t>
      </w:r>
      <w:r w:rsidRPr="00F569AE">
        <w:rPr>
          <w:rFonts w:ascii="Calibri" w:hAnsi="Calibri" w:cs="Calibri"/>
          <w:sz w:val="24"/>
          <w:szCs w:val="24"/>
        </w:rPr>
        <w:t xml:space="preserve"> of the project was the mechanism of peer-support established among the partner LGs, namely, the mentorship scheme. The mentorship scheme introduced between ‘old’ and ‘new’ partner LGs has been well received on both sides. One of the standout benefits has been the meaningful transfer of practical knowledge and expertise from more experienced LGs to those newly integrated into the MEG </w:t>
      </w:r>
      <w:r w:rsidR="0047260B">
        <w:rPr>
          <w:rFonts w:ascii="Calibri" w:hAnsi="Calibri" w:cs="Calibri"/>
          <w:sz w:val="24"/>
          <w:szCs w:val="24"/>
        </w:rPr>
        <w:t>standardization</w:t>
      </w:r>
      <w:r w:rsidRPr="00F569AE">
        <w:rPr>
          <w:rFonts w:ascii="Calibri" w:hAnsi="Calibri" w:cs="Calibri"/>
          <w:sz w:val="24"/>
          <w:szCs w:val="24"/>
        </w:rPr>
        <w:t>. Indeed, the positive impact of the mentorship scheme was so significant that many participants expressed a clear expectation—and even a desire—to see it carried forward into the next project cycle. This enthusiasm highlighted the mentorship approach as a catalyst for cultivating practical expertise, creating a community of MEG LGs for continuous exchange and learning, and fostering a spirit of collaboration among the LGs.</w:t>
      </w:r>
    </w:p>
    <w:p w14:paraId="32226E79" w14:textId="77777777" w:rsidR="003668C2" w:rsidRPr="00F569AE" w:rsidRDefault="003668C2" w:rsidP="003668C2">
      <w:pPr>
        <w:pStyle w:val="p1"/>
        <w:spacing w:line="276" w:lineRule="auto"/>
        <w:jc w:val="both"/>
        <w:rPr>
          <w:rFonts w:ascii="Calibri" w:hAnsi="Calibri" w:cs="Calibri"/>
          <w:sz w:val="24"/>
          <w:szCs w:val="24"/>
        </w:rPr>
      </w:pPr>
    </w:p>
    <w:p w14:paraId="6DF4EB6D" w14:textId="572C2552" w:rsidR="003668C2" w:rsidRPr="00F569AE" w:rsidRDefault="005C2D24" w:rsidP="003668C2">
      <w:pPr>
        <w:spacing w:line="276" w:lineRule="auto"/>
        <w:jc w:val="both"/>
        <w:rPr>
          <w:rFonts w:ascii="Calibri" w:hAnsi="Calibri" w:cs="Calibri"/>
          <w:lang w:val="en-US"/>
        </w:rPr>
      </w:pPr>
      <w:r>
        <w:rPr>
          <w:rFonts w:ascii="Calibri" w:hAnsi="Calibri" w:cs="Calibri"/>
          <w:lang w:val="en-US"/>
        </w:rPr>
        <w:t>A</w:t>
      </w:r>
      <w:r w:rsidRPr="00F569AE">
        <w:rPr>
          <w:rFonts w:ascii="Calibri" w:hAnsi="Calibri" w:cs="Calibri"/>
          <w:lang w:val="en-US"/>
        </w:rPr>
        <w:t xml:space="preserve"> </w:t>
      </w:r>
      <w:r w:rsidR="003668C2" w:rsidRPr="00F569AE">
        <w:rPr>
          <w:rFonts w:ascii="Calibri" w:hAnsi="Calibri" w:cs="Calibri"/>
          <w:b/>
          <w:i/>
          <w:lang w:val="en-US"/>
        </w:rPr>
        <w:t>critical systemic achievement</w:t>
      </w:r>
      <w:r w:rsidR="003668C2" w:rsidRPr="00F569AE">
        <w:rPr>
          <w:rFonts w:ascii="Calibri" w:hAnsi="Calibri" w:cs="Calibri"/>
          <w:lang w:val="en-US"/>
        </w:rPr>
        <w:t xml:space="preserve"> of this project was broadening avenues for citizens’ participation in local decision-making. This was achieved through enhancing the E-Citizens platform (developed within the first cycle of the project) and supplementing the web E-Citizen with the mobile application to allow broader reach of citizens. Also, through digitalizing the Citizens satisfaction survey (CSS) – one of the functionalities under the E-Citizens platform to ensure feedback mechanism for the LGs - the partner LGs received additional instrument to measure their performance and to strengthen their accountability. As a novel tool, the CSS would need to be strengthened further to ensure wider reach, especially reaching citizens in the remote areas under the jurisdiction of each municipality. The LG’s accountability was further strengthened through introducing digital communication channel with citizens, whereby each concern or comment raised by a citizen was subject to mandatory response from the LGs. </w:t>
      </w:r>
    </w:p>
    <w:p w14:paraId="67F89BC6" w14:textId="77777777" w:rsidR="003668C2" w:rsidRPr="00F569AE" w:rsidRDefault="003668C2" w:rsidP="003668C2">
      <w:pPr>
        <w:pStyle w:val="p1"/>
        <w:spacing w:line="276" w:lineRule="auto"/>
        <w:jc w:val="both"/>
        <w:rPr>
          <w:rFonts w:ascii="Calibri" w:hAnsi="Calibri" w:cs="Calibri"/>
          <w:sz w:val="24"/>
          <w:szCs w:val="24"/>
        </w:rPr>
      </w:pPr>
    </w:p>
    <w:p w14:paraId="477CD96A" w14:textId="5766CFDB" w:rsidR="003668C2" w:rsidRPr="00F569AE" w:rsidRDefault="003668C2" w:rsidP="003668C2">
      <w:pPr>
        <w:pStyle w:val="p1"/>
        <w:spacing w:line="276" w:lineRule="auto"/>
        <w:jc w:val="both"/>
      </w:pPr>
      <w:r w:rsidRPr="00F569AE">
        <w:rPr>
          <w:rFonts w:ascii="Calibri" w:hAnsi="Calibri" w:cs="Calibri"/>
          <w:sz w:val="24"/>
          <w:szCs w:val="24"/>
        </w:rPr>
        <w:t xml:space="preserve">Another </w:t>
      </w:r>
      <w:r w:rsidRPr="00F569AE">
        <w:rPr>
          <w:rFonts w:ascii="Calibri" w:hAnsi="Calibri" w:cs="Calibri"/>
          <w:b/>
          <w:i/>
          <w:sz w:val="24"/>
          <w:szCs w:val="24"/>
        </w:rPr>
        <w:t>major systemic achievement</w:t>
      </w:r>
      <w:r w:rsidRPr="00F569AE">
        <w:rPr>
          <w:rFonts w:ascii="Calibri" w:hAnsi="Calibri" w:cs="Calibri"/>
          <w:sz w:val="24"/>
          <w:szCs w:val="24"/>
        </w:rPr>
        <w:t xml:space="preserve"> of the project </w:t>
      </w:r>
      <w:r w:rsidR="000C4D79">
        <w:rPr>
          <w:rFonts w:ascii="Calibri" w:hAnsi="Calibri" w:cs="Calibri"/>
          <w:sz w:val="24"/>
          <w:szCs w:val="24"/>
        </w:rPr>
        <w:t>was significantly</w:t>
      </w:r>
      <w:r w:rsidRPr="00F569AE">
        <w:rPr>
          <w:rFonts w:ascii="Calibri" w:hAnsi="Calibri" w:cs="Calibri"/>
          <w:sz w:val="24"/>
          <w:szCs w:val="24"/>
        </w:rPr>
        <w:t xml:space="preserve"> improved relationships between the partner LGs and WUCs. The quality of water services provision by the LGs depends </w:t>
      </w:r>
      <w:r w:rsidR="000C4D79">
        <w:rPr>
          <w:rFonts w:ascii="Calibri" w:hAnsi="Calibri" w:cs="Calibri"/>
          <w:sz w:val="24"/>
          <w:szCs w:val="24"/>
        </w:rPr>
        <w:t>not least</w:t>
      </w:r>
      <w:r w:rsidRPr="00F569AE">
        <w:rPr>
          <w:rFonts w:ascii="Calibri" w:hAnsi="Calibri" w:cs="Calibri"/>
          <w:sz w:val="24"/>
          <w:szCs w:val="24"/>
        </w:rPr>
        <w:t xml:space="preserve"> on </w:t>
      </w:r>
      <w:r w:rsidR="00EE5920">
        <w:rPr>
          <w:rFonts w:ascii="Calibri" w:hAnsi="Calibri" w:cs="Calibri"/>
          <w:sz w:val="24"/>
          <w:szCs w:val="24"/>
        </w:rPr>
        <w:t>the quality of the</w:t>
      </w:r>
      <w:r w:rsidRPr="00F569AE">
        <w:rPr>
          <w:rFonts w:ascii="Calibri" w:hAnsi="Calibri" w:cs="Calibri"/>
          <w:sz w:val="24"/>
          <w:szCs w:val="24"/>
        </w:rPr>
        <w:t xml:space="preserve"> structured </w:t>
      </w:r>
      <w:r w:rsidR="00EE5920">
        <w:rPr>
          <w:rFonts w:ascii="Calibri" w:hAnsi="Calibri" w:cs="Calibri"/>
          <w:sz w:val="24"/>
          <w:szCs w:val="24"/>
        </w:rPr>
        <w:t xml:space="preserve">relationships between the LGs </w:t>
      </w:r>
      <w:r w:rsidR="000C4D79">
        <w:rPr>
          <w:rFonts w:ascii="Calibri" w:hAnsi="Calibri" w:cs="Calibri"/>
          <w:sz w:val="24"/>
          <w:szCs w:val="24"/>
        </w:rPr>
        <w:t xml:space="preserve">and </w:t>
      </w:r>
      <w:r w:rsidRPr="00F569AE">
        <w:rPr>
          <w:rFonts w:ascii="Calibri" w:hAnsi="Calibri" w:cs="Calibri"/>
          <w:sz w:val="24"/>
          <w:szCs w:val="24"/>
        </w:rPr>
        <w:t xml:space="preserve">the WUCs. Introducing the PSAs allowed to delineate responsibilities, establish transparent mechanisms for oversight, and provide targeted subsidies to those most at risk of exclusion, </w:t>
      </w:r>
      <w:r w:rsidRPr="00F569AE">
        <w:rPr>
          <w:rFonts w:ascii="Calibri" w:hAnsi="Calibri" w:cs="Calibri"/>
          <w:sz w:val="24"/>
          <w:szCs w:val="24"/>
        </w:rPr>
        <w:lastRenderedPageBreak/>
        <w:t>creating thereby foundation for equitable access and long-term sustainability in the water sector. This structured relationship not only enhances service delivery but also foster</w:t>
      </w:r>
      <w:r w:rsidR="00EE5920">
        <w:rPr>
          <w:rFonts w:ascii="Calibri" w:hAnsi="Calibri" w:cs="Calibri"/>
          <w:sz w:val="24"/>
          <w:szCs w:val="24"/>
        </w:rPr>
        <w:t>ed</w:t>
      </w:r>
      <w:r w:rsidRPr="00F569AE">
        <w:rPr>
          <w:rFonts w:ascii="Calibri" w:hAnsi="Calibri" w:cs="Calibri"/>
          <w:sz w:val="24"/>
          <w:szCs w:val="24"/>
        </w:rPr>
        <w:t xml:space="preserve"> mutual trust and coordination between the partner LGs and utility companies.</w:t>
      </w:r>
      <w:r w:rsidRPr="00F569AE">
        <w:t xml:space="preserve"> </w:t>
      </w:r>
    </w:p>
    <w:p w14:paraId="1BAD9339" w14:textId="77777777" w:rsidR="003668C2" w:rsidRPr="00F569AE" w:rsidRDefault="003668C2" w:rsidP="003668C2">
      <w:pPr>
        <w:pStyle w:val="p1"/>
        <w:spacing w:line="276" w:lineRule="auto"/>
        <w:jc w:val="both"/>
        <w:rPr>
          <w:rFonts w:ascii="Calibri" w:hAnsi="Calibri" w:cs="Calibri"/>
          <w:sz w:val="24"/>
          <w:szCs w:val="24"/>
        </w:rPr>
      </w:pPr>
    </w:p>
    <w:p w14:paraId="6CF5B1C5" w14:textId="10E7F542" w:rsidR="003668C2" w:rsidRPr="00F569AE" w:rsidRDefault="000C4D79" w:rsidP="003668C2">
      <w:pPr>
        <w:pStyle w:val="p1"/>
        <w:spacing w:line="276" w:lineRule="auto"/>
        <w:jc w:val="both"/>
        <w:rPr>
          <w:rFonts w:ascii="Calibri" w:hAnsi="Calibri" w:cs="Calibri"/>
          <w:sz w:val="24"/>
          <w:szCs w:val="24"/>
        </w:rPr>
      </w:pPr>
      <w:r>
        <w:rPr>
          <w:rFonts w:ascii="Calibri" w:hAnsi="Calibri" w:cs="Calibri"/>
          <w:sz w:val="24"/>
          <w:szCs w:val="24"/>
        </w:rPr>
        <w:t>Figure 2</w:t>
      </w:r>
      <w:r w:rsidR="003668C2" w:rsidRPr="00F569AE">
        <w:rPr>
          <w:rFonts w:ascii="Calibri" w:hAnsi="Calibri" w:cs="Calibri"/>
          <w:sz w:val="24"/>
          <w:szCs w:val="24"/>
        </w:rPr>
        <w:t xml:space="preserve"> below illustrates the major achievements of the project as indicated by the partner LGs, whereby the three major responses include: (i) citizens participation (14%), (ii) improved capacities of the LGs (33%), and (iii) improved capacities of the WUCs (25). </w:t>
      </w:r>
    </w:p>
    <w:p w14:paraId="7A14DC34" w14:textId="77777777" w:rsidR="00EE5920" w:rsidRPr="00F569AE" w:rsidRDefault="00EE5920" w:rsidP="003668C2">
      <w:pPr>
        <w:pStyle w:val="p1"/>
        <w:spacing w:line="276" w:lineRule="auto"/>
        <w:jc w:val="both"/>
        <w:rPr>
          <w:rFonts w:ascii="Calibri" w:hAnsi="Calibri" w:cs="Calibri"/>
          <w:sz w:val="24"/>
          <w:szCs w:val="24"/>
        </w:rPr>
      </w:pPr>
    </w:p>
    <w:p w14:paraId="44ED6F68" w14:textId="698ACFDE" w:rsidR="003668C2" w:rsidRPr="000C4D79" w:rsidRDefault="000C4D79" w:rsidP="003668C2">
      <w:pPr>
        <w:pStyle w:val="p1"/>
        <w:spacing w:line="276" w:lineRule="auto"/>
        <w:jc w:val="both"/>
        <w:rPr>
          <w:rFonts w:ascii="Calibri" w:hAnsi="Calibri" w:cs="Calibri"/>
          <w:b/>
          <w:sz w:val="24"/>
          <w:szCs w:val="24"/>
        </w:rPr>
      </w:pPr>
      <w:r w:rsidRPr="000C4D79">
        <w:rPr>
          <w:rFonts w:ascii="Calibri" w:hAnsi="Calibri" w:cs="Calibri"/>
          <w:b/>
          <w:sz w:val="24"/>
          <w:szCs w:val="24"/>
        </w:rPr>
        <w:t>Figure 2:</w:t>
      </w:r>
      <w:r w:rsidR="003668C2" w:rsidRPr="000C4D79">
        <w:rPr>
          <w:rFonts w:ascii="Calibri" w:hAnsi="Calibri" w:cs="Calibri"/>
          <w:b/>
          <w:sz w:val="24"/>
          <w:szCs w:val="24"/>
        </w:rPr>
        <w:t xml:space="preserve"> The major achievements of the project indicated by the LGs</w:t>
      </w:r>
    </w:p>
    <w:p w14:paraId="63D7CF95" w14:textId="77777777" w:rsidR="003668C2" w:rsidRPr="00F569AE" w:rsidRDefault="003668C2" w:rsidP="003668C2">
      <w:pPr>
        <w:pStyle w:val="ListParagraph"/>
        <w:ind w:left="0"/>
        <w:jc w:val="center"/>
        <w:rPr>
          <w:rFonts w:ascii="Calibri" w:hAnsi="Calibri" w:cs="Calibri"/>
          <w:b/>
          <w:color w:val="000000"/>
          <w:u w:val="single"/>
        </w:rPr>
      </w:pPr>
      <w:r w:rsidRPr="00F569AE">
        <w:rPr>
          <w:noProof/>
          <w:color w:val="000000"/>
        </w:rPr>
        <w:drawing>
          <wp:inline distT="0" distB="0" distL="0" distR="0" wp14:anchorId="1E7DC623" wp14:editId="5A26DED7">
            <wp:extent cx="5559287" cy="2047461"/>
            <wp:effectExtent l="0" t="0" r="16510" b="10160"/>
            <wp:docPr id="2089022393"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6943690F" w14:textId="77777777" w:rsidR="003668C2" w:rsidRPr="00F569AE" w:rsidRDefault="003668C2" w:rsidP="003668C2">
      <w:pPr>
        <w:pStyle w:val="p1"/>
        <w:spacing w:line="276" w:lineRule="auto"/>
        <w:jc w:val="both"/>
        <w:rPr>
          <w:rFonts w:ascii="Calibri" w:hAnsi="Calibri" w:cs="Calibri"/>
          <w:sz w:val="24"/>
          <w:szCs w:val="24"/>
        </w:rPr>
      </w:pPr>
    </w:p>
    <w:p w14:paraId="5A224DCC" w14:textId="77777777" w:rsidR="003668C2" w:rsidRPr="00F569AE" w:rsidRDefault="003668C2" w:rsidP="003668C2">
      <w:pPr>
        <w:pStyle w:val="p1"/>
        <w:spacing w:line="276" w:lineRule="auto"/>
        <w:jc w:val="both"/>
        <w:rPr>
          <w:rFonts w:ascii="Calibri" w:hAnsi="Calibri" w:cs="Calibri"/>
          <w:sz w:val="24"/>
          <w:szCs w:val="24"/>
        </w:rPr>
      </w:pPr>
    </w:p>
    <w:p w14:paraId="710F73C8" w14:textId="453E785D" w:rsidR="003668C2" w:rsidRPr="00F569AE" w:rsidRDefault="003668C2" w:rsidP="003668C2">
      <w:pPr>
        <w:tabs>
          <w:tab w:val="left" w:pos="1971"/>
        </w:tabs>
        <w:spacing w:line="276" w:lineRule="auto"/>
        <w:jc w:val="both"/>
        <w:rPr>
          <w:rFonts w:ascii="Calibri" w:hAnsi="Calibri" w:cs="Calibri"/>
          <w:lang w:val="en-US"/>
        </w:rPr>
      </w:pPr>
      <w:r w:rsidRPr="00F569AE">
        <w:rPr>
          <w:rFonts w:ascii="Calibri" w:hAnsi="Calibri" w:cs="Calibri"/>
          <w:lang w:val="en-US"/>
        </w:rPr>
        <w:t xml:space="preserve">Generating critical mass of capabilities in the partner LGs has resulted in improved effectiveness and efficiency of their operations as indicated in </w:t>
      </w:r>
      <w:r w:rsidR="00345F1D">
        <w:rPr>
          <w:rFonts w:ascii="Calibri" w:hAnsi="Calibri" w:cs="Calibri"/>
          <w:lang w:val="en-US"/>
        </w:rPr>
        <w:t>Figure 3</w:t>
      </w:r>
      <w:r w:rsidRPr="00F569AE">
        <w:rPr>
          <w:rFonts w:ascii="Calibri" w:hAnsi="Calibri" w:cs="Calibri"/>
          <w:lang w:val="en-US"/>
        </w:rPr>
        <w:t xml:space="preserve"> below </w:t>
      </w:r>
      <w:r w:rsidR="00EE5920">
        <w:rPr>
          <w:rFonts w:ascii="Calibri" w:hAnsi="Calibri" w:cs="Calibri"/>
          <w:lang w:val="en-US"/>
        </w:rPr>
        <w:t>about</w:t>
      </w:r>
      <w:r w:rsidRPr="00F569AE">
        <w:rPr>
          <w:rFonts w:ascii="Calibri" w:hAnsi="Calibri" w:cs="Calibri"/>
          <w:lang w:val="en-US"/>
        </w:rPr>
        <w:t xml:space="preserve"> annual progress among the partner LGs measured along the effectiveness and efficiency criteria (Field D in the E-Citizen platform). </w:t>
      </w:r>
    </w:p>
    <w:p w14:paraId="6BCD8BE3" w14:textId="77777777" w:rsidR="00D075CF" w:rsidRPr="00F569AE" w:rsidRDefault="00D075CF" w:rsidP="003668C2">
      <w:pPr>
        <w:tabs>
          <w:tab w:val="left" w:pos="1971"/>
        </w:tabs>
        <w:jc w:val="both"/>
        <w:rPr>
          <w:rFonts w:ascii="Calibri" w:hAnsi="Calibri" w:cs="Calibri"/>
          <w:b/>
          <w:lang w:val="en-US"/>
        </w:rPr>
      </w:pPr>
    </w:p>
    <w:p w14:paraId="53351D04" w14:textId="77777777" w:rsidR="003668C2" w:rsidRPr="00F569AE" w:rsidRDefault="003668C2" w:rsidP="003668C2">
      <w:pPr>
        <w:tabs>
          <w:tab w:val="left" w:pos="1971"/>
        </w:tabs>
        <w:jc w:val="both"/>
        <w:rPr>
          <w:rFonts w:ascii="Calibri" w:hAnsi="Calibri" w:cs="Calibri"/>
          <w:b/>
          <w:lang w:val="en-US"/>
        </w:rPr>
      </w:pPr>
      <w:r w:rsidRPr="00F569AE">
        <w:rPr>
          <w:rFonts w:ascii="Calibri" w:hAnsi="Calibri" w:cs="Calibri"/>
          <w:b/>
          <w:lang w:val="en-US"/>
        </w:rPr>
        <w:t>Figure 3: Field D - effectiveness and efficiency of LG's performance</w:t>
      </w:r>
    </w:p>
    <w:p w14:paraId="37A71492" w14:textId="77777777" w:rsidR="003668C2" w:rsidRPr="00F569AE" w:rsidRDefault="003668C2" w:rsidP="003668C2">
      <w:pPr>
        <w:tabs>
          <w:tab w:val="left" w:pos="1971"/>
        </w:tabs>
        <w:jc w:val="both"/>
        <w:rPr>
          <w:rFonts w:ascii="Calibri" w:hAnsi="Calibri" w:cs="Calibri"/>
          <w:lang w:val="en-US"/>
        </w:rPr>
      </w:pPr>
      <w:r w:rsidRPr="00F569AE">
        <w:rPr>
          <w:rFonts w:ascii="Candara" w:hAnsi="Candara"/>
          <w:noProof/>
          <w:lang w:val="en-US"/>
        </w:rPr>
        <w:drawing>
          <wp:inline distT="0" distB="0" distL="0" distR="0" wp14:anchorId="203FCBCE" wp14:editId="4A7A4E50">
            <wp:extent cx="5727700" cy="2698652"/>
            <wp:effectExtent l="0" t="0" r="12700" b="6985"/>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1FCCF105" w14:textId="77777777" w:rsidR="003668C2" w:rsidRPr="00F569AE" w:rsidRDefault="003668C2" w:rsidP="003668C2">
      <w:pPr>
        <w:spacing w:line="276" w:lineRule="auto"/>
        <w:jc w:val="both"/>
        <w:rPr>
          <w:rFonts w:ascii="Calibri" w:hAnsi="Calibri" w:cs="Calibri"/>
          <w:lang w:val="en-US"/>
        </w:rPr>
      </w:pPr>
    </w:p>
    <w:p w14:paraId="14470757" w14:textId="77777777" w:rsidR="003668C2" w:rsidRPr="00F569AE" w:rsidRDefault="003668C2" w:rsidP="003668C2">
      <w:pPr>
        <w:spacing w:line="276" w:lineRule="auto"/>
        <w:jc w:val="both"/>
        <w:rPr>
          <w:rFonts w:ascii="Calibri" w:hAnsi="Calibri" w:cs="Calibri"/>
          <w:lang w:val="en-US"/>
        </w:rPr>
      </w:pPr>
    </w:p>
    <w:p w14:paraId="03F142C4" w14:textId="77777777" w:rsidR="003668C2" w:rsidRPr="00F569AE" w:rsidRDefault="003668C2" w:rsidP="003668C2">
      <w:pPr>
        <w:pStyle w:val="p1"/>
        <w:spacing w:line="276" w:lineRule="auto"/>
        <w:jc w:val="both"/>
        <w:rPr>
          <w:rFonts w:ascii="Calibri" w:hAnsi="Calibri" w:cs="Calibri"/>
          <w:color w:val="auto"/>
          <w:sz w:val="24"/>
          <w:szCs w:val="24"/>
        </w:rPr>
      </w:pPr>
      <w:r w:rsidRPr="00F569AE">
        <w:rPr>
          <w:rFonts w:ascii="Calibri" w:hAnsi="Calibri" w:cs="Calibri"/>
          <w:b/>
          <w:i/>
          <w:color w:val="auto"/>
          <w:sz w:val="24"/>
          <w:szCs w:val="24"/>
        </w:rPr>
        <w:lastRenderedPageBreak/>
        <w:t xml:space="preserve">Progress towards Outcome 3: </w:t>
      </w:r>
      <w:r w:rsidRPr="00F569AE">
        <w:rPr>
          <w:rFonts w:ascii="Calibri" w:hAnsi="Calibri" w:cs="Calibri"/>
          <w:i/>
          <w:color w:val="auto"/>
          <w:sz w:val="24"/>
          <w:szCs w:val="24"/>
        </w:rPr>
        <w:t>Citizens, including the most vulnerable, benefit from improved water supply and wastewater management services provided in a more efficient, accountable, and sustainable manner.</w:t>
      </w:r>
    </w:p>
    <w:p w14:paraId="599B087B" w14:textId="03F5E095" w:rsidR="003668C2" w:rsidRPr="00D075CF" w:rsidRDefault="00D45042" w:rsidP="00D075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lang w:val="en-US"/>
        </w:rPr>
      </w:pPr>
      <w:r w:rsidRPr="00D075CF">
        <w:rPr>
          <w:rFonts w:ascii="Calibri" w:hAnsi="Calibri" w:cs="Calibri"/>
          <w:b/>
          <w:bCs/>
          <w:i/>
          <w:iCs/>
          <w:lang w:val="en-US"/>
        </w:rPr>
        <w:t>Brief overview of progress vis-à-vis indicators:</w:t>
      </w:r>
    </w:p>
    <w:tbl>
      <w:tblPr>
        <w:tblW w:w="9209" w:type="dxa"/>
        <w:tblLayout w:type="fixed"/>
        <w:tblLook w:val="04A0" w:firstRow="1" w:lastRow="0" w:firstColumn="1" w:lastColumn="0" w:noHBand="0" w:noVBand="1"/>
      </w:tblPr>
      <w:tblGrid>
        <w:gridCol w:w="1838"/>
        <w:gridCol w:w="3827"/>
        <w:gridCol w:w="1276"/>
        <w:gridCol w:w="992"/>
        <w:gridCol w:w="1276"/>
      </w:tblGrid>
      <w:tr w:rsidR="00D45042" w:rsidRPr="00D42106" w14:paraId="72F8BB4B" w14:textId="77777777" w:rsidTr="00347595">
        <w:trPr>
          <w:trHeight w:val="289"/>
        </w:trPr>
        <w:tc>
          <w:tcPr>
            <w:tcW w:w="1838" w:type="dxa"/>
            <w:vMerge w:val="restart"/>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33279E65" w14:textId="77777777" w:rsidR="00D45042" w:rsidRPr="00D42106" w:rsidRDefault="00D45042" w:rsidP="00347595">
            <w:pPr>
              <w:rPr>
                <w:rFonts w:ascii="Calibri" w:hAnsi="Calibri" w:cs="Calibri"/>
                <w:b/>
                <w:sz w:val="18"/>
                <w:szCs w:val="18"/>
                <w:lang w:eastAsia="sr-Latn-BA"/>
              </w:rPr>
            </w:pPr>
            <w:r w:rsidRPr="00D42106">
              <w:rPr>
                <w:rFonts w:ascii="Calibri" w:hAnsi="Calibri" w:cs="Calibri"/>
                <w:b/>
                <w:sz w:val="18"/>
                <w:szCs w:val="18"/>
                <w:lang w:eastAsia="sr-Latn-BA"/>
              </w:rPr>
              <w:t>Outcomes</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C1E4F5" w:themeFill="accent1" w:themeFillTint="33"/>
            <w:vAlign w:val="center"/>
            <w:hideMark/>
          </w:tcPr>
          <w:p w14:paraId="11F4459C" w14:textId="77777777" w:rsidR="00D45042" w:rsidRPr="00D42106" w:rsidRDefault="00D45042" w:rsidP="00347595">
            <w:pPr>
              <w:rPr>
                <w:rFonts w:ascii="Calibri" w:hAnsi="Calibri" w:cs="Calibri"/>
                <w:b/>
                <w:sz w:val="18"/>
                <w:szCs w:val="18"/>
                <w:lang w:eastAsia="sr-Latn-BA"/>
              </w:rPr>
            </w:pPr>
            <w:r w:rsidRPr="00D42106">
              <w:rPr>
                <w:rFonts w:ascii="Calibri" w:hAnsi="Calibri" w:cs="Calibri"/>
                <w:b/>
                <w:sz w:val="18"/>
                <w:szCs w:val="18"/>
                <w:lang w:eastAsia="sr-Latn-BA"/>
              </w:rPr>
              <w:t>Outcome indicators</w:t>
            </w:r>
          </w:p>
        </w:tc>
        <w:tc>
          <w:tcPr>
            <w:tcW w:w="1276" w:type="dxa"/>
            <w:tcBorders>
              <w:top w:val="single" w:sz="4" w:space="0" w:color="auto"/>
              <w:left w:val="nil"/>
              <w:bottom w:val="single" w:sz="4" w:space="0" w:color="auto"/>
              <w:right w:val="single" w:sz="8" w:space="0" w:color="000000"/>
            </w:tcBorders>
            <w:shd w:val="clear" w:color="auto" w:fill="C1E4F5" w:themeFill="accent1" w:themeFillTint="33"/>
            <w:noWrap/>
            <w:vAlign w:val="bottom"/>
            <w:hideMark/>
          </w:tcPr>
          <w:p w14:paraId="631F3EFF" w14:textId="77777777" w:rsidR="00D45042" w:rsidRPr="00D42106" w:rsidRDefault="00D45042" w:rsidP="00347595">
            <w:pPr>
              <w:jc w:val="center"/>
              <w:rPr>
                <w:rFonts w:ascii="Calibri" w:hAnsi="Calibri" w:cs="Calibri"/>
                <w:b/>
                <w:sz w:val="18"/>
                <w:szCs w:val="18"/>
                <w:lang w:eastAsia="sr-Latn-BA"/>
              </w:rPr>
            </w:pPr>
            <w:r w:rsidRPr="00D42106">
              <w:rPr>
                <w:rFonts w:ascii="Calibri" w:hAnsi="Calibri" w:cs="Calibri"/>
                <w:b/>
                <w:sz w:val="18"/>
                <w:szCs w:val="18"/>
                <w:lang w:eastAsia="sr-Latn-BA"/>
              </w:rPr>
              <w:t>Baseline</w:t>
            </w:r>
          </w:p>
        </w:tc>
        <w:tc>
          <w:tcPr>
            <w:tcW w:w="992" w:type="dxa"/>
            <w:tcBorders>
              <w:top w:val="single" w:sz="4" w:space="0" w:color="auto"/>
              <w:left w:val="nil"/>
              <w:bottom w:val="single" w:sz="4" w:space="0" w:color="auto"/>
              <w:right w:val="nil"/>
            </w:tcBorders>
            <w:shd w:val="clear" w:color="auto" w:fill="C1E4F5" w:themeFill="accent1" w:themeFillTint="33"/>
            <w:vAlign w:val="center"/>
          </w:tcPr>
          <w:p w14:paraId="40C0A7DC" w14:textId="77777777" w:rsidR="00D45042" w:rsidRPr="00D42106" w:rsidRDefault="00D45042" w:rsidP="00347595">
            <w:pPr>
              <w:jc w:val="center"/>
              <w:rPr>
                <w:rFonts w:ascii="Calibri" w:hAnsi="Calibri" w:cs="Calibri"/>
                <w:b/>
                <w:sz w:val="18"/>
                <w:szCs w:val="18"/>
                <w:lang w:eastAsia="sr-Latn-BA"/>
              </w:rPr>
            </w:pPr>
          </w:p>
        </w:tc>
        <w:tc>
          <w:tcPr>
            <w:tcW w:w="1276" w:type="dxa"/>
            <w:tcBorders>
              <w:top w:val="single" w:sz="4" w:space="0" w:color="auto"/>
              <w:left w:val="nil"/>
              <w:bottom w:val="single" w:sz="4" w:space="0" w:color="auto"/>
              <w:right w:val="single" w:sz="4" w:space="0" w:color="auto"/>
            </w:tcBorders>
            <w:shd w:val="clear" w:color="auto" w:fill="C1E4F5" w:themeFill="accent1" w:themeFillTint="33"/>
            <w:vAlign w:val="center"/>
          </w:tcPr>
          <w:p w14:paraId="39F479FD" w14:textId="77777777" w:rsidR="00D45042" w:rsidRPr="00D42106" w:rsidRDefault="00D45042" w:rsidP="00347595">
            <w:pPr>
              <w:jc w:val="center"/>
              <w:rPr>
                <w:rFonts w:ascii="Calibri" w:hAnsi="Calibri" w:cs="Calibri"/>
                <w:b/>
                <w:sz w:val="18"/>
                <w:szCs w:val="18"/>
                <w:lang w:eastAsia="sr-Latn-BA"/>
              </w:rPr>
            </w:pPr>
          </w:p>
        </w:tc>
      </w:tr>
      <w:tr w:rsidR="00D45042" w:rsidRPr="00D42106" w14:paraId="50BA983F" w14:textId="77777777" w:rsidTr="00347595">
        <w:trPr>
          <w:trHeight w:val="289"/>
        </w:trPr>
        <w:tc>
          <w:tcPr>
            <w:tcW w:w="1838" w:type="dxa"/>
            <w:vMerge/>
            <w:tcBorders>
              <w:top w:val="single" w:sz="8" w:space="0" w:color="auto"/>
              <w:left w:val="single" w:sz="4" w:space="0" w:color="auto"/>
              <w:bottom w:val="single" w:sz="4" w:space="0" w:color="auto"/>
              <w:right w:val="single" w:sz="4" w:space="0" w:color="auto"/>
            </w:tcBorders>
            <w:shd w:val="clear" w:color="auto" w:fill="C1E4F5" w:themeFill="accent1" w:themeFillTint="33"/>
            <w:vAlign w:val="center"/>
            <w:hideMark/>
          </w:tcPr>
          <w:p w14:paraId="4B362B06" w14:textId="77777777" w:rsidR="00D45042" w:rsidRPr="00D42106" w:rsidRDefault="00D45042" w:rsidP="00347595">
            <w:pPr>
              <w:rPr>
                <w:rFonts w:ascii="Calibri" w:hAnsi="Calibri" w:cs="Calibri"/>
                <w:b/>
                <w:sz w:val="18"/>
                <w:szCs w:val="18"/>
                <w:lang w:eastAsia="sr-Latn-BA"/>
              </w:rPr>
            </w:pPr>
          </w:p>
        </w:tc>
        <w:tc>
          <w:tcPr>
            <w:tcW w:w="3827" w:type="dxa"/>
            <w:vMerge/>
            <w:tcBorders>
              <w:top w:val="single" w:sz="8" w:space="0" w:color="auto"/>
              <w:left w:val="single" w:sz="4" w:space="0" w:color="auto"/>
              <w:bottom w:val="single" w:sz="4" w:space="0" w:color="auto"/>
              <w:right w:val="single" w:sz="4" w:space="0" w:color="auto"/>
            </w:tcBorders>
            <w:shd w:val="clear" w:color="auto" w:fill="C1E4F5" w:themeFill="accent1" w:themeFillTint="33"/>
            <w:vAlign w:val="center"/>
            <w:hideMark/>
          </w:tcPr>
          <w:p w14:paraId="781D6BE7" w14:textId="77777777" w:rsidR="00D45042" w:rsidRPr="00D42106" w:rsidRDefault="00D45042" w:rsidP="00347595">
            <w:pPr>
              <w:rPr>
                <w:rFonts w:ascii="Calibri" w:hAnsi="Calibri" w:cs="Calibri"/>
                <w:b/>
                <w:sz w:val="18"/>
                <w:szCs w:val="18"/>
                <w:lang w:eastAsia="sr-Latn-BA"/>
              </w:rPr>
            </w:pPr>
          </w:p>
        </w:tc>
        <w:tc>
          <w:tcPr>
            <w:tcW w:w="1276" w:type="dxa"/>
            <w:tcBorders>
              <w:top w:val="nil"/>
              <w:left w:val="nil"/>
              <w:bottom w:val="single" w:sz="4" w:space="0" w:color="auto"/>
              <w:right w:val="single" w:sz="4" w:space="0" w:color="auto"/>
            </w:tcBorders>
            <w:shd w:val="clear" w:color="auto" w:fill="C1E4F5" w:themeFill="accent1" w:themeFillTint="33"/>
            <w:noWrap/>
            <w:vAlign w:val="bottom"/>
            <w:hideMark/>
          </w:tcPr>
          <w:p w14:paraId="1BC17E3F" w14:textId="77777777" w:rsidR="00D45042" w:rsidRPr="00D42106" w:rsidRDefault="00D45042" w:rsidP="00347595">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Value </w:t>
            </w:r>
          </w:p>
        </w:tc>
        <w:tc>
          <w:tcPr>
            <w:tcW w:w="992" w:type="dxa"/>
            <w:tcBorders>
              <w:top w:val="nil"/>
              <w:left w:val="single" w:sz="8" w:space="0" w:color="auto"/>
              <w:bottom w:val="single" w:sz="4" w:space="0" w:color="auto"/>
              <w:right w:val="single" w:sz="8" w:space="0" w:color="auto"/>
            </w:tcBorders>
            <w:shd w:val="clear" w:color="auto" w:fill="C1E4F5" w:themeFill="accent1" w:themeFillTint="33"/>
            <w:vAlign w:val="center"/>
          </w:tcPr>
          <w:p w14:paraId="6914FDFE" w14:textId="77777777" w:rsidR="00D45042" w:rsidRPr="00D42106" w:rsidRDefault="00D45042" w:rsidP="00347595">
            <w:pPr>
              <w:jc w:val="center"/>
              <w:rPr>
                <w:rFonts w:ascii="Calibri" w:hAnsi="Calibri" w:cs="Calibri"/>
                <w:b/>
                <w:sz w:val="18"/>
                <w:szCs w:val="18"/>
                <w:lang w:eastAsia="sr-Latn-BA"/>
              </w:rPr>
            </w:pPr>
          </w:p>
        </w:tc>
        <w:tc>
          <w:tcPr>
            <w:tcW w:w="1276" w:type="dxa"/>
            <w:tcBorders>
              <w:top w:val="nil"/>
              <w:left w:val="nil"/>
              <w:bottom w:val="single" w:sz="4" w:space="0" w:color="auto"/>
              <w:right w:val="single" w:sz="4" w:space="0" w:color="auto"/>
            </w:tcBorders>
            <w:shd w:val="clear" w:color="auto" w:fill="C1E4F5" w:themeFill="accent1" w:themeFillTint="33"/>
            <w:vAlign w:val="center"/>
          </w:tcPr>
          <w:p w14:paraId="6560E192" w14:textId="77777777" w:rsidR="00D45042" w:rsidRPr="00D42106" w:rsidRDefault="00D45042" w:rsidP="00347595">
            <w:pPr>
              <w:jc w:val="center"/>
              <w:rPr>
                <w:rFonts w:ascii="Calibri" w:hAnsi="Calibri" w:cs="Calibri"/>
                <w:b/>
                <w:sz w:val="18"/>
                <w:szCs w:val="18"/>
                <w:lang w:eastAsia="sr-Latn-BA"/>
              </w:rPr>
            </w:pPr>
          </w:p>
        </w:tc>
      </w:tr>
      <w:tr w:rsidR="00D45042" w:rsidRPr="00D42106" w14:paraId="5658E6F2" w14:textId="77777777" w:rsidTr="00347595">
        <w:trPr>
          <w:trHeight w:val="289"/>
        </w:trPr>
        <w:tc>
          <w:tcPr>
            <w:tcW w:w="1838" w:type="dxa"/>
            <w:vMerge w:val="restart"/>
            <w:tcBorders>
              <w:top w:val="single" w:sz="4" w:space="0" w:color="auto"/>
              <w:left w:val="single" w:sz="4" w:space="0" w:color="auto"/>
              <w:bottom w:val="single" w:sz="4" w:space="0" w:color="auto"/>
              <w:right w:val="single" w:sz="4" w:space="0" w:color="000000"/>
            </w:tcBorders>
            <w:shd w:val="clear" w:color="auto" w:fill="F2F2F2" w:themeFill="background1" w:themeFillShade="F2"/>
            <w:vAlign w:val="center"/>
            <w:hideMark/>
          </w:tcPr>
          <w:p w14:paraId="216F8C8B" w14:textId="77777777" w:rsidR="00D45042" w:rsidRPr="00D42106" w:rsidRDefault="00D45042" w:rsidP="00347595">
            <w:pPr>
              <w:rPr>
                <w:rFonts w:ascii="Calibri" w:hAnsi="Calibri" w:cs="Calibri"/>
                <w:b/>
                <w:sz w:val="18"/>
                <w:szCs w:val="18"/>
                <w:lang w:eastAsia="sr-Latn-BA"/>
              </w:rPr>
            </w:pPr>
            <w:r w:rsidRPr="00D42106">
              <w:rPr>
                <w:rFonts w:ascii="Calibri" w:hAnsi="Calibri" w:cs="Calibri"/>
                <w:b/>
                <w:sz w:val="18"/>
                <w:szCs w:val="18"/>
                <w:lang w:eastAsia="sr-Latn-BA"/>
              </w:rPr>
              <w:t>Outcome 3: Citizens, particularly the most vulnerable, benefit from improved water supply and wastewater management services, provided in a more efficient, accountable and sustainable manner.</w:t>
            </w:r>
          </w:p>
        </w:tc>
        <w:tc>
          <w:tcPr>
            <w:tcW w:w="382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F6F7A4D" w14:textId="77777777" w:rsidR="00D45042" w:rsidRPr="00D42106" w:rsidRDefault="00D45042" w:rsidP="00347595">
            <w:pPr>
              <w:jc w:val="both"/>
              <w:rPr>
                <w:rFonts w:ascii="Calibri" w:hAnsi="Calibri" w:cs="Calibri"/>
                <w:i/>
                <w:sz w:val="18"/>
                <w:szCs w:val="18"/>
                <w:lang w:eastAsia="sr-Latn-BA"/>
              </w:rPr>
            </w:pPr>
            <w:r w:rsidRPr="00D42106">
              <w:rPr>
                <w:rFonts w:ascii="Calibri" w:hAnsi="Calibri" w:cs="Calibri"/>
                <w:i/>
                <w:sz w:val="18"/>
                <w:szCs w:val="18"/>
                <w:lang w:eastAsia="sr-Latn-BA"/>
              </w:rPr>
              <w:t># of people using safely managed drinking water services.</w:t>
            </w:r>
          </w:p>
        </w:tc>
        <w:tc>
          <w:tcPr>
            <w:tcW w:w="1276" w:type="dxa"/>
            <w:tcBorders>
              <w:top w:val="single" w:sz="4" w:space="0" w:color="auto"/>
              <w:left w:val="nil"/>
              <w:bottom w:val="single" w:sz="4" w:space="0" w:color="auto"/>
              <w:right w:val="single" w:sz="4" w:space="0" w:color="auto"/>
            </w:tcBorders>
            <w:noWrap/>
            <w:vAlign w:val="center"/>
            <w:hideMark/>
          </w:tcPr>
          <w:p w14:paraId="02B3B298"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N/A</w:t>
            </w:r>
          </w:p>
        </w:tc>
        <w:tc>
          <w:tcPr>
            <w:tcW w:w="992" w:type="dxa"/>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14:paraId="42D723CC"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100,000 (at least)</w:t>
            </w:r>
          </w:p>
        </w:tc>
        <w:tc>
          <w:tcPr>
            <w:tcW w:w="1276" w:type="dxa"/>
            <w:tcBorders>
              <w:top w:val="single" w:sz="4" w:space="0" w:color="auto"/>
              <w:left w:val="nil"/>
              <w:bottom w:val="single" w:sz="4" w:space="0" w:color="auto"/>
              <w:right w:val="single" w:sz="4" w:space="0" w:color="auto"/>
            </w:tcBorders>
            <w:shd w:val="clear" w:color="auto" w:fill="D9F2D0" w:themeFill="accent6" w:themeFillTint="33"/>
            <w:vAlign w:val="center"/>
          </w:tcPr>
          <w:p w14:paraId="528513E4"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782,080</w:t>
            </w:r>
          </w:p>
        </w:tc>
      </w:tr>
      <w:tr w:rsidR="00D45042" w:rsidRPr="00D42106" w14:paraId="43B8B237" w14:textId="77777777" w:rsidTr="00347595">
        <w:trPr>
          <w:trHeight w:val="475"/>
        </w:trPr>
        <w:tc>
          <w:tcPr>
            <w:tcW w:w="1838" w:type="dxa"/>
            <w:vMerge/>
            <w:tcBorders>
              <w:top w:val="single" w:sz="4" w:space="0" w:color="auto"/>
              <w:left w:val="single" w:sz="4" w:space="0" w:color="auto"/>
              <w:bottom w:val="nil"/>
              <w:right w:val="single" w:sz="4" w:space="0" w:color="000000"/>
            </w:tcBorders>
            <w:shd w:val="clear" w:color="auto" w:fill="F2F2F2" w:themeFill="background1" w:themeFillShade="F2"/>
            <w:vAlign w:val="center"/>
            <w:hideMark/>
          </w:tcPr>
          <w:p w14:paraId="2BA0B8F1" w14:textId="77777777" w:rsidR="00D45042" w:rsidRPr="00D42106" w:rsidRDefault="00D45042" w:rsidP="00347595">
            <w:pPr>
              <w:rPr>
                <w:rFonts w:ascii="Calibri" w:hAnsi="Calibri" w:cs="Calibri"/>
                <w:b/>
                <w:sz w:val="18"/>
                <w:szCs w:val="18"/>
                <w:lang w:eastAsia="sr-Latn-BA"/>
              </w:rPr>
            </w:pPr>
          </w:p>
        </w:tc>
        <w:tc>
          <w:tcPr>
            <w:tcW w:w="3827" w:type="dxa"/>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FE3C606" w14:textId="77777777" w:rsidR="00D45042" w:rsidRPr="00D42106" w:rsidRDefault="00D45042" w:rsidP="00347595">
            <w:pPr>
              <w:jc w:val="both"/>
              <w:rPr>
                <w:rFonts w:ascii="Calibri" w:hAnsi="Calibri" w:cs="Calibri"/>
                <w:i/>
                <w:sz w:val="18"/>
                <w:szCs w:val="18"/>
                <w:lang w:eastAsia="sr-Latn-BA"/>
              </w:rPr>
            </w:pPr>
            <w:hyperlink r:id="rId75" w:anchor="RANGE!#REF!" w:history="1">
              <w:r w:rsidRPr="00D42106">
                <w:rPr>
                  <w:rFonts w:ascii="Calibri" w:hAnsi="Calibri" w:cs="Calibri"/>
                  <w:i/>
                  <w:sz w:val="18"/>
                  <w:szCs w:val="18"/>
                  <w:lang w:eastAsia="sr-Latn-BA"/>
                </w:rPr>
                <w:t>% of local governments with adequate governance arrangements and frameworks to enable effective and sustainable water services.</w:t>
              </w:r>
            </w:hyperlink>
          </w:p>
        </w:tc>
        <w:tc>
          <w:tcPr>
            <w:tcW w:w="1276" w:type="dxa"/>
            <w:tcBorders>
              <w:top w:val="single" w:sz="4" w:space="0" w:color="auto"/>
              <w:left w:val="nil"/>
              <w:bottom w:val="single" w:sz="4" w:space="0" w:color="auto"/>
              <w:right w:val="single" w:sz="4" w:space="0" w:color="auto"/>
            </w:tcBorders>
            <w:noWrap/>
            <w:vAlign w:val="center"/>
            <w:hideMark/>
          </w:tcPr>
          <w:p w14:paraId="7030B12A"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5-10%</w:t>
            </w:r>
          </w:p>
        </w:tc>
        <w:tc>
          <w:tcPr>
            <w:tcW w:w="992" w:type="dxa"/>
            <w:tcBorders>
              <w:top w:val="single" w:sz="4" w:space="0" w:color="auto"/>
              <w:left w:val="single" w:sz="8" w:space="0" w:color="auto"/>
              <w:bottom w:val="single" w:sz="4" w:space="0" w:color="auto"/>
              <w:right w:val="single" w:sz="8" w:space="0" w:color="auto"/>
            </w:tcBorders>
            <w:shd w:val="clear" w:color="auto" w:fill="D9D9D9" w:themeFill="background1" w:themeFillShade="D9"/>
            <w:vAlign w:val="center"/>
          </w:tcPr>
          <w:p w14:paraId="1709820F"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25%</w:t>
            </w:r>
          </w:p>
        </w:tc>
        <w:tc>
          <w:tcPr>
            <w:tcW w:w="1276" w:type="dxa"/>
            <w:tcBorders>
              <w:top w:val="single" w:sz="4" w:space="0" w:color="auto"/>
              <w:left w:val="nil"/>
              <w:bottom w:val="single" w:sz="4" w:space="0" w:color="auto"/>
              <w:right w:val="single" w:sz="4" w:space="0" w:color="auto"/>
            </w:tcBorders>
            <w:shd w:val="clear" w:color="auto" w:fill="D9F2D0" w:themeFill="accent6" w:themeFillTint="33"/>
            <w:vAlign w:val="center"/>
          </w:tcPr>
          <w:p w14:paraId="62CF3F35"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25%</w:t>
            </w:r>
          </w:p>
        </w:tc>
      </w:tr>
      <w:tr w:rsidR="00D45042" w:rsidRPr="00D42106" w14:paraId="6A2E0425" w14:textId="77777777" w:rsidTr="00347595">
        <w:trPr>
          <w:trHeight w:val="721"/>
        </w:trPr>
        <w:tc>
          <w:tcPr>
            <w:tcW w:w="1838" w:type="dxa"/>
            <w:vMerge/>
            <w:tcBorders>
              <w:top w:val="single" w:sz="4" w:space="0" w:color="auto"/>
              <w:left w:val="single" w:sz="4" w:space="0" w:color="auto"/>
              <w:bottom w:val="single" w:sz="4" w:space="0" w:color="auto"/>
              <w:right w:val="single" w:sz="4" w:space="0" w:color="000000"/>
            </w:tcBorders>
            <w:shd w:val="clear" w:color="auto" w:fill="F2F2F2" w:themeFill="background1" w:themeFillShade="F2"/>
            <w:vAlign w:val="center"/>
            <w:hideMark/>
          </w:tcPr>
          <w:p w14:paraId="1F99B948" w14:textId="77777777" w:rsidR="00D45042" w:rsidRPr="00D42106" w:rsidRDefault="00D45042" w:rsidP="00347595">
            <w:pPr>
              <w:rPr>
                <w:rFonts w:ascii="Calibri" w:hAnsi="Calibri" w:cs="Calibri"/>
                <w:b/>
                <w:sz w:val="18"/>
                <w:szCs w:val="18"/>
                <w:lang w:eastAsia="sr-Latn-BA"/>
              </w:rPr>
            </w:pPr>
          </w:p>
        </w:tc>
        <w:tc>
          <w:tcPr>
            <w:tcW w:w="3827" w:type="dxa"/>
            <w:tcBorders>
              <w:top w:val="nil"/>
              <w:left w:val="nil"/>
              <w:bottom w:val="single" w:sz="4" w:space="0" w:color="auto"/>
              <w:right w:val="single" w:sz="4" w:space="0" w:color="auto"/>
            </w:tcBorders>
            <w:shd w:val="clear" w:color="auto" w:fill="F2F2F2" w:themeFill="background1" w:themeFillShade="F2"/>
            <w:vAlign w:val="center"/>
            <w:hideMark/>
          </w:tcPr>
          <w:p w14:paraId="6765B5B4" w14:textId="77777777" w:rsidR="00D45042" w:rsidRPr="00D42106" w:rsidRDefault="00D45042" w:rsidP="00347595">
            <w:pPr>
              <w:jc w:val="both"/>
              <w:rPr>
                <w:rFonts w:ascii="Calibri" w:hAnsi="Calibri" w:cs="Calibri"/>
                <w:i/>
                <w:sz w:val="18"/>
                <w:szCs w:val="18"/>
                <w:lang w:eastAsia="sr-Latn-BA"/>
              </w:rPr>
            </w:pPr>
            <w:r w:rsidRPr="00D42106">
              <w:rPr>
                <w:rFonts w:ascii="Calibri" w:hAnsi="Calibri" w:cs="Calibri"/>
                <w:i/>
                <w:sz w:val="18"/>
                <w:szCs w:val="18"/>
                <w:lang w:eastAsia="sr-Latn-BA"/>
              </w:rPr>
              <w:t>% of partner local governments who have introduced subsidy system for vulnerable citizens for water supply and wastewater management services.</w:t>
            </w:r>
          </w:p>
        </w:tc>
        <w:tc>
          <w:tcPr>
            <w:tcW w:w="1276" w:type="dxa"/>
            <w:tcBorders>
              <w:top w:val="nil"/>
              <w:left w:val="nil"/>
              <w:bottom w:val="single" w:sz="4" w:space="0" w:color="auto"/>
              <w:right w:val="single" w:sz="4" w:space="0" w:color="auto"/>
            </w:tcBorders>
            <w:noWrap/>
            <w:vAlign w:val="center"/>
            <w:hideMark/>
          </w:tcPr>
          <w:p w14:paraId="43F89D39"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11%</w:t>
            </w:r>
          </w:p>
        </w:tc>
        <w:tc>
          <w:tcPr>
            <w:tcW w:w="992"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33B45D96"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75%</w:t>
            </w:r>
          </w:p>
        </w:tc>
        <w:tc>
          <w:tcPr>
            <w:tcW w:w="1276" w:type="dxa"/>
            <w:tcBorders>
              <w:top w:val="nil"/>
              <w:left w:val="nil"/>
              <w:bottom w:val="single" w:sz="4" w:space="0" w:color="auto"/>
              <w:right w:val="single" w:sz="4" w:space="0" w:color="auto"/>
            </w:tcBorders>
            <w:shd w:val="clear" w:color="auto" w:fill="D9F2D0" w:themeFill="accent6" w:themeFillTint="33"/>
            <w:vAlign w:val="center"/>
          </w:tcPr>
          <w:p w14:paraId="29772114"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 xml:space="preserve">82% </w:t>
            </w:r>
          </w:p>
          <w:p w14:paraId="5A3CD115" w14:textId="77777777" w:rsidR="00D45042" w:rsidRPr="00D42106" w:rsidRDefault="00D45042" w:rsidP="00347595">
            <w:pPr>
              <w:jc w:val="center"/>
              <w:rPr>
                <w:rFonts w:ascii="Calibri" w:hAnsi="Calibri" w:cs="Calibri"/>
                <w:sz w:val="18"/>
                <w:szCs w:val="18"/>
                <w:lang w:eastAsia="sr-Latn-BA"/>
              </w:rPr>
            </w:pPr>
            <w:r w:rsidRPr="00D42106">
              <w:rPr>
                <w:rFonts w:ascii="Calibri" w:hAnsi="Calibri" w:cs="Calibri"/>
                <w:sz w:val="18"/>
                <w:szCs w:val="18"/>
                <w:lang w:eastAsia="sr-Latn-BA"/>
              </w:rPr>
              <w:t>(25 out of 29 partner LGs)</w:t>
            </w:r>
          </w:p>
        </w:tc>
      </w:tr>
    </w:tbl>
    <w:p w14:paraId="49217DA9" w14:textId="77777777" w:rsidR="00293B59" w:rsidRPr="00293B59" w:rsidRDefault="00293B59" w:rsidP="00293B5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r w:rsidRPr="00293B59">
        <w:rPr>
          <w:rFonts w:ascii="Calibri" w:hAnsi="Calibri" w:cs="Calibri"/>
          <w:b/>
          <w:bCs/>
          <w:i/>
          <w:iCs/>
          <w:sz w:val="20"/>
          <w:szCs w:val="20"/>
          <w:lang w:val="en-US"/>
        </w:rPr>
        <w:t>Legends:</w:t>
      </w:r>
    </w:p>
    <w:tbl>
      <w:tblPr>
        <w:tblStyle w:val="TableGrid"/>
        <w:tblW w:w="0" w:type="auto"/>
        <w:tblLook w:val="04A0" w:firstRow="1" w:lastRow="0" w:firstColumn="1" w:lastColumn="0" w:noHBand="0" w:noVBand="1"/>
      </w:tblPr>
      <w:tblGrid>
        <w:gridCol w:w="1555"/>
        <w:gridCol w:w="567"/>
      </w:tblGrid>
      <w:tr w:rsidR="00293B59" w:rsidRPr="00293B59" w14:paraId="42884DF5" w14:textId="77777777" w:rsidTr="00347595">
        <w:tc>
          <w:tcPr>
            <w:tcW w:w="1555" w:type="dxa"/>
          </w:tcPr>
          <w:p w14:paraId="24DE9E7A" w14:textId="77777777" w:rsidR="00293B59" w:rsidRPr="00293B59" w:rsidRDefault="00293B59" w:rsidP="003475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r w:rsidRPr="00293B59">
              <w:rPr>
                <w:rFonts w:ascii="Calibri" w:hAnsi="Calibri" w:cs="Calibri"/>
                <w:b/>
                <w:bCs/>
                <w:i/>
                <w:iCs/>
                <w:sz w:val="20"/>
                <w:szCs w:val="20"/>
                <w:lang w:val="en-US"/>
              </w:rPr>
              <w:t>Achieved</w:t>
            </w:r>
          </w:p>
        </w:tc>
        <w:tc>
          <w:tcPr>
            <w:tcW w:w="567" w:type="dxa"/>
            <w:shd w:val="clear" w:color="auto" w:fill="D9F2D0" w:themeFill="accent6" w:themeFillTint="33"/>
          </w:tcPr>
          <w:p w14:paraId="0B727F3F" w14:textId="77777777" w:rsidR="00293B59" w:rsidRPr="00293B59" w:rsidRDefault="00293B59" w:rsidP="003475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Calibri" w:hAnsi="Calibri" w:cs="Calibri"/>
                <w:b/>
                <w:bCs/>
                <w:i/>
                <w:iCs/>
                <w:sz w:val="20"/>
                <w:szCs w:val="20"/>
                <w:lang w:val="en-US"/>
              </w:rPr>
            </w:pPr>
          </w:p>
        </w:tc>
      </w:tr>
    </w:tbl>
    <w:p w14:paraId="16016ED3" w14:textId="77777777" w:rsidR="00D45042" w:rsidRPr="00F569AE" w:rsidRDefault="00D45042" w:rsidP="003668C2">
      <w:pPr>
        <w:spacing w:line="276" w:lineRule="auto"/>
        <w:jc w:val="both"/>
        <w:rPr>
          <w:rFonts w:ascii="Calibri" w:hAnsi="Calibri" w:cs="Calibri"/>
          <w:lang w:val="en-US"/>
        </w:rPr>
      </w:pPr>
    </w:p>
    <w:p w14:paraId="2BA14820" w14:textId="77777777" w:rsidR="003668C2" w:rsidRDefault="003668C2" w:rsidP="003668C2">
      <w:pPr>
        <w:spacing w:line="276" w:lineRule="auto"/>
        <w:jc w:val="both"/>
        <w:rPr>
          <w:rFonts w:ascii="Calibri" w:hAnsi="Calibri" w:cs="Calibri"/>
          <w:lang w:val="en-US"/>
        </w:rPr>
      </w:pPr>
      <w:r w:rsidRPr="00F569AE">
        <w:rPr>
          <w:rFonts w:ascii="Calibri" w:hAnsi="Calibri" w:cs="Calibri"/>
          <w:lang w:val="en-US"/>
        </w:rPr>
        <w:t xml:space="preserve">All WUCs valued the importance of the project: 83% of the surveyed WUCs gave highest ranking to the importance of the project, measured on 0-5 scale, while the remaining 17% ranked the project importance as 4. As a result of improved water service provision, the project achieved the following important results: (i) 82% (25 out of 29 partner LGs) have introduced subsidy system for vulnerable citizens for water supply and wastewater management services versus targeted 75%; and 782,080 people were using safely managed drinking water services, significantly exceeding the initially targeted 100000 people. </w:t>
      </w:r>
    </w:p>
    <w:p w14:paraId="644EDEA7" w14:textId="77777777" w:rsidR="001F5342" w:rsidRDefault="001F5342" w:rsidP="003668C2">
      <w:pPr>
        <w:spacing w:line="276" w:lineRule="auto"/>
        <w:jc w:val="both"/>
        <w:rPr>
          <w:rFonts w:ascii="Calibri" w:hAnsi="Calibri" w:cs="Calibri"/>
          <w:lang w:val="en-US"/>
        </w:rPr>
      </w:pPr>
    </w:p>
    <w:p w14:paraId="5A191B47" w14:textId="5F8308FB" w:rsidR="001F5342" w:rsidRPr="00D075CF" w:rsidRDefault="001F5342" w:rsidP="00D075CF">
      <w:pPr>
        <w:pStyle w:val="p1"/>
        <w:spacing w:line="276" w:lineRule="auto"/>
        <w:jc w:val="both"/>
        <w:rPr>
          <w:rFonts w:ascii="Calibri" w:hAnsi="Calibri" w:cs="Calibri"/>
          <w:sz w:val="24"/>
          <w:szCs w:val="24"/>
        </w:rPr>
      </w:pPr>
      <w:r w:rsidRPr="00F569AE">
        <w:rPr>
          <w:rFonts w:ascii="Calibri" w:hAnsi="Calibri" w:cs="Calibri"/>
          <w:sz w:val="24"/>
          <w:szCs w:val="24"/>
        </w:rPr>
        <w:t xml:space="preserve">One of the </w:t>
      </w:r>
      <w:r w:rsidRPr="00F569AE">
        <w:rPr>
          <w:rFonts w:ascii="Calibri" w:hAnsi="Calibri" w:cs="Calibri"/>
          <w:b/>
          <w:i/>
          <w:sz w:val="24"/>
          <w:szCs w:val="24"/>
        </w:rPr>
        <w:t>major systemic achievements</w:t>
      </w:r>
      <w:r w:rsidRPr="00F569AE">
        <w:rPr>
          <w:rFonts w:ascii="Calibri" w:hAnsi="Calibri" w:cs="Calibri"/>
          <w:sz w:val="24"/>
          <w:szCs w:val="24"/>
        </w:rPr>
        <w:t xml:space="preserve"> of the project was to broaden repositorium of capacities and tools acquired by the partner LGs to improve the effectiveness and efficiency of their work and deliver public services using results-based approach. More specifically, PSAs, integrity plans, </w:t>
      </w:r>
      <w:r>
        <w:rPr>
          <w:rFonts w:ascii="Calibri" w:hAnsi="Calibri" w:cs="Calibri"/>
          <w:sz w:val="24"/>
          <w:szCs w:val="24"/>
        </w:rPr>
        <w:t>e</w:t>
      </w:r>
      <w:r w:rsidRPr="00F569AE">
        <w:rPr>
          <w:rFonts w:ascii="Calibri" w:hAnsi="Calibri" w:cs="Calibri"/>
          <w:sz w:val="24"/>
          <w:szCs w:val="24"/>
        </w:rPr>
        <w:t xml:space="preserve">-Citizens – these instruments were widely adopted by the partner LGs and </w:t>
      </w:r>
      <w:r>
        <w:rPr>
          <w:rFonts w:ascii="Calibri" w:hAnsi="Calibri" w:cs="Calibri"/>
          <w:sz w:val="24"/>
          <w:szCs w:val="24"/>
        </w:rPr>
        <w:t xml:space="preserve">have </w:t>
      </w:r>
      <w:r w:rsidRPr="00F569AE">
        <w:rPr>
          <w:rFonts w:ascii="Calibri" w:hAnsi="Calibri" w:cs="Calibri"/>
          <w:sz w:val="24"/>
          <w:szCs w:val="24"/>
        </w:rPr>
        <w:t xml:space="preserve">become part of their working routine. </w:t>
      </w:r>
    </w:p>
    <w:p w14:paraId="6558CD9D" w14:textId="77777777" w:rsidR="003668C2" w:rsidRPr="00F569AE" w:rsidRDefault="003668C2" w:rsidP="003668C2">
      <w:pPr>
        <w:spacing w:line="276" w:lineRule="auto"/>
        <w:jc w:val="both"/>
        <w:rPr>
          <w:rFonts w:ascii="Calibri" w:hAnsi="Calibri" w:cs="Calibri"/>
          <w:lang w:val="en-US"/>
        </w:rPr>
      </w:pPr>
    </w:p>
    <w:p w14:paraId="1AD4DFA5" w14:textId="5C613FA8"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 xml:space="preserve">One of the </w:t>
      </w:r>
      <w:r w:rsidRPr="00F569AE">
        <w:rPr>
          <w:rFonts w:ascii="Calibri" w:hAnsi="Calibri" w:cs="Calibri"/>
          <w:b/>
          <w:i/>
          <w:lang w:val="en-US"/>
        </w:rPr>
        <w:t>major systemic achievements</w:t>
      </w:r>
      <w:r w:rsidRPr="00F569AE">
        <w:rPr>
          <w:rFonts w:ascii="Calibri" w:hAnsi="Calibri" w:cs="Calibri"/>
          <w:lang w:val="en-US"/>
        </w:rPr>
        <w:t xml:space="preserve"> of the project was to significantly improve financial and managerial capabilities of the WUCs. This was achieved </w:t>
      </w:r>
      <w:r w:rsidRPr="00F569AE">
        <w:rPr>
          <w:rFonts w:ascii="Calibri" w:hAnsi="Calibri" w:cs="Calibri"/>
          <w:i/>
          <w:lang w:val="en-US"/>
        </w:rPr>
        <w:t xml:space="preserve">inter alia </w:t>
      </w:r>
      <w:r w:rsidRPr="00F569AE">
        <w:rPr>
          <w:rFonts w:ascii="Calibri" w:hAnsi="Calibri" w:cs="Calibri"/>
          <w:lang w:val="en-US"/>
        </w:rPr>
        <w:t xml:space="preserve">through (i) intensive capacity development, (ii) introduction of various tools, methodologies, plans, and (iii) support with the institutionalization of many of them, specifically, the PSAs, water tariff methodology, staff optimization planning, etc. More specifically, 96% of the partner LGs and WUCs signed the PSAs, which included standardized water tariff methodology to regulate relationships and accountability between them in a more structured way, which had no precedent in BiH. The project introduced water subsidy mechanisms through the PSAs to allow </w:t>
      </w:r>
      <w:r w:rsidR="00EE5920">
        <w:rPr>
          <w:rFonts w:ascii="Calibri" w:hAnsi="Calibri" w:cs="Calibri"/>
          <w:lang w:val="en-US"/>
        </w:rPr>
        <w:t>various categories of the</w:t>
      </w:r>
      <w:r w:rsidRPr="00F569AE">
        <w:rPr>
          <w:rFonts w:ascii="Calibri" w:hAnsi="Calibri" w:cs="Calibri"/>
          <w:lang w:val="en-US"/>
        </w:rPr>
        <w:t xml:space="preserve"> most vulnerable population (defined on individual basis from municipality to municipality</w:t>
      </w:r>
      <w:r w:rsidR="000A43FE">
        <w:rPr>
          <w:rFonts w:ascii="Calibri" w:hAnsi="Calibri" w:cs="Calibri"/>
          <w:lang w:val="en-US"/>
        </w:rPr>
        <w:t xml:space="preserve"> in cooperation with the municipal </w:t>
      </w:r>
      <w:r w:rsidR="000A43FE" w:rsidRPr="00F569AE">
        <w:rPr>
          <w:rFonts w:ascii="Calibri" w:hAnsi="Calibri" w:cs="Calibri"/>
          <w:lang w:val="en-US"/>
        </w:rPr>
        <w:t>Centre for Social Work</w:t>
      </w:r>
      <w:r w:rsidRPr="00F569AE">
        <w:rPr>
          <w:rFonts w:ascii="Calibri" w:hAnsi="Calibri" w:cs="Calibri"/>
          <w:lang w:val="en-US"/>
        </w:rPr>
        <w:t xml:space="preserve">) </w:t>
      </w:r>
      <w:r w:rsidR="00EE5920">
        <w:rPr>
          <w:rFonts w:ascii="Calibri" w:hAnsi="Calibri" w:cs="Calibri"/>
          <w:lang w:val="en-US"/>
        </w:rPr>
        <w:t>to</w:t>
      </w:r>
      <w:r w:rsidRPr="00F569AE">
        <w:rPr>
          <w:rFonts w:ascii="Calibri" w:hAnsi="Calibri" w:cs="Calibri"/>
          <w:lang w:val="en-US"/>
        </w:rPr>
        <w:t xml:space="preserve"> </w:t>
      </w:r>
      <w:r w:rsidRPr="00F569AE">
        <w:rPr>
          <w:rFonts w:ascii="Calibri" w:hAnsi="Calibri" w:cs="Calibri"/>
          <w:lang w:val="en-US"/>
        </w:rPr>
        <w:lastRenderedPageBreak/>
        <w:t xml:space="preserve">benefit from the drinking water under new price regime. </w:t>
      </w:r>
      <w:r w:rsidR="00345F1D">
        <w:rPr>
          <w:rFonts w:ascii="Calibri" w:hAnsi="Calibri" w:cs="Calibri"/>
          <w:lang w:val="en-US"/>
        </w:rPr>
        <w:t>Figure 4</w:t>
      </w:r>
      <w:r w:rsidRPr="00F569AE">
        <w:rPr>
          <w:rFonts w:ascii="Calibri" w:hAnsi="Calibri" w:cs="Calibri"/>
          <w:lang w:val="en-US"/>
        </w:rPr>
        <w:t xml:space="preserve"> below provide</w:t>
      </w:r>
      <w:r w:rsidR="00345F1D">
        <w:rPr>
          <w:rFonts w:ascii="Calibri" w:hAnsi="Calibri" w:cs="Calibri"/>
          <w:lang w:val="en-US"/>
        </w:rPr>
        <w:t>s</w:t>
      </w:r>
      <w:r w:rsidRPr="00F569AE">
        <w:rPr>
          <w:rFonts w:ascii="Calibri" w:hAnsi="Calibri" w:cs="Calibri"/>
          <w:lang w:val="en-US"/>
        </w:rPr>
        <w:t xml:space="preserve"> an overview of the major achievements of the project from the WUCs’ perspective.</w:t>
      </w:r>
    </w:p>
    <w:p w14:paraId="07F2687F" w14:textId="77777777" w:rsidR="00E5500F" w:rsidRPr="00F569AE" w:rsidRDefault="00E5500F" w:rsidP="003668C2">
      <w:pPr>
        <w:pStyle w:val="p1"/>
        <w:spacing w:line="276" w:lineRule="auto"/>
        <w:jc w:val="both"/>
        <w:rPr>
          <w:rFonts w:ascii="Calibri" w:hAnsi="Calibri" w:cs="Calibri"/>
          <w:sz w:val="24"/>
          <w:szCs w:val="24"/>
        </w:rPr>
      </w:pPr>
    </w:p>
    <w:p w14:paraId="38209C97" w14:textId="13C8F0A5" w:rsidR="003668C2" w:rsidRPr="00345F1D" w:rsidRDefault="00345F1D" w:rsidP="003668C2">
      <w:pPr>
        <w:pStyle w:val="p1"/>
        <w:spacing w:line="276" w:lineRule="auto"/>
        <w:jc w:val="both"/>
        <w:rPr>
          <w:rFonts w:ascii="Calibri" w:hAnsi="Calibri" w:cs="Calibri"/>
          <w:b/>
          <w:sz w:val="24"/>
          <w:szCs w:val="24"/>
        </w:rPr>
      </w:pPr>
      <w:r w:rsidRPr="00345F1D">
        <w:rPr>
          <w:rFonts w:ascii="Calibri" w:hAnsi="Calibri" w:cs="Calibri"/>
          <w:b/>
          <w:sz w:val="24"/>
          <w:szCs w:val="24"/>
        </w:rPr>
        <w:t>Figure 4</w:t>
      </w:r>
      <w:r w:rsidR="008E5A9B">
        <w:rPr>
          <w:rFonts w:ascii="Calibri" w:hAnsi="Calibri" w:cs="Calibri"/>
          <w:b/>
          <w:sz w:val="24"/>
          <w:szCs w:val="24"/>
        </w:rPr>
        <w:t>:</w:t>
      </w:r>
      <w:r w:rsidR="003668C2" w:rsidRPr="00345F1D">
        <w:rPr>
          <w:rFonts w:ascii="Calibri" w:hAnsi="Calibri" w:cs="Calibri"/>
          <w:b/>
          <w:sz w:val="24"/>
          <w:szCs w:val="24"/>
        </w:rPr>
        <w:t xml:space="preserve"> Major achievements of the project indicated by the WUCs</w:t>
      </w:r>
    </w:p>
    <w:p w14:paraId="562415FC" w14:textId="77777777" w:rsidR="003668C2" w:rsidRPr="00F569AE" w:rsidRDefault="003668C2" w:rsidP="003668C2">
      <w:pPr>
        <w:pStyle w:val="p1"/>
        <w:spacing w:line="276" w:lineRule="auto"/>
        <w:jc w:val="both"/>
        <w:rPr>
          <w:rFonts w:ascii="Calibri" w:hAnsi="Calibri" w:cs="Calibri"/>
          <w:sz w:val="24"/>
          <w:szCs w:val="24"/>
        </w:rPr>
      </w:pPr>
      <w:r w:rsidRPr="00F569AE">
        <w:rPr>
          <w:rFonts w:ascii="Calibri" w:hAnsi="Calibri" w:cs="Calibri"/>
          <w:noProof/>
        </w:rPr>
        <w:drawing>
          <wp:inline distT="0" distB="0" distL="0" distR="0" wp14:anchorId="511B40E8" wp14:editId="1D95E910">
            <wp:extent cx="5731510" cy="2950526"/>
            <wp:effectExtent l="0" t="0" r="8890" b="8890"/>
            <wp:docPr id="1150933298" name="Chart 11">
              <a:extLst xmlns:a="http://schemas.openxmlformats.org/drawingml/2006/main">
                <a:ext uri="{FF2B5EF4-FFF2-40B4-BE49-F238E27FC236}">
                  <a16:creationId xmlns:a16="http://schemas.microsoft.com/office/drawing/2014/main" id="{6D9EBCB7-9481-439B-8938-67AB4944A7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72401B03" w14:textId="77777777" w:rsidR="003668C2" w:rsidRPr="00F569AE" w:rsidRDefault="003668C2" w:rsidP="003668C2">
      <w:pPr>
        <w:spacing w:line="276" w:lineRule="auto"/>
        <w:jc w:val="both"/>
        <w:rPr>
          <w:rFonts w:ascii="Calibri" w:hAnsi="Calibri" w:cs="Calibri"/>
          <w:i/>
          <w:lang w:val="en-US"/>
        </w:rPr>
      </w:pPr>
    </w:p>
    <w:p w14:paraId="20592FDD" w14:textId="6B3D8693" w:rsidR="003668C2" w:rsidRPr="00F569AE" w:rsidRDefault="00EE5920" w:rsidP="003668C2">
      <w:pPr>
        <w:spacing w:line="276" w:lineRule="auto"/>
        <w:jc w:val="both"/>
        <w:rPr>
          <w:rFonts w:ascii="Calibri" w:hAnsi="Calibri" w:cs="Calibri"/>
          <w:lang w:val="en-US"/>
        </w:rPr>
      </w:pPr>
      <w:r>
        <w:rPr>
          <w:rFonts w:ascii="Calibri" w:hAnsi="Calibri" w:cs="Calibri"/>
          <w:lang w:val="en-US"/>
        </w:rPr>
        <w:t>Figure 5</w:t>
      </w:r>
      <w:r w:rsidRPr="00F569AE">
        <w:rPr>
          <w:rFonts w:ascii="Calibri" w:hAnsi="Calibri" w:cs="Calibri"/>
          <w:lang w:val="en-US"/>
        </w:rPr>
        <w:t xml:space="preserve"> below </w:t>
      </w:r>
      <w:r>
        <w:rPr>
          <w:rFonts w:ascii="Calibri" w:hAnsi="Calibri" w:cs="Calibri"/>
          <w:lang w:val="en-US"/>
        </w:rPr>
        <w:t>indicates</w:t>
      </w:r>
      <w:r w:rsidR="003668C2" w:rsidRPr="00F569AE">
        <w:rPr>
          <w:rFonts w:ascii="Calibri" w:hAnsi="Calibri" w:cs="Calibri"/>
          <w:lang w:val="en-US"/>
        </w:rPr>
        <w:t xml:space="preserve"> </w:t>
      </w:r>
      <w:r>
        <w:rPr>
          <w:rFonts w:ascii="Calibri" w:hAnsi="Calibri" w:cs="Calibri"/>
          <w:lang w:val="en-US"/>
        </w:rPr>
        <w:t>a</w:t>
      </w:r>
      <w:r w:rsidR="003668C2" w:rsidRPr="00F569AE">
        <w:rPr>
          <w:rFonts w:ascii="Calibri" w:hAnsi="Calibri" w:cs="Calibri"/>
          <w:lang w:val="en-US"/>
        </w:rPr>
        <w:t xml:space="preserve"> wide range of technical assistance received </w:t>
      </w:r>
      <w:r>
        <w:rPr>
          <w:rFonts w:ascii="Calibri" w:hAnsi="Calibri" w:cs="Calibri"/>
          <w:lang w:val="en-US"/>
        </w:rPr>
        <w:t xml:space="preserve">by the </w:t>
      </w:r>
      <w:r w:rsidRPr="00F569AE">
        <w:rPr>
          <w:rFonts w:ascii="Calibri" w:hAnsi="Calibri" w:cs="Calibri"/>
          <w:lang w:val="en-US"/>
        </w:rPr>
        <w:t xml:space="preserve">WUCs </w:t>
      </w:r>
      <w:r w:rsidR="003668C2" w:rsidRPr="00F569AE">
        <w:rPr>
          <w:rFonts w:ascii="Calibri" w:hAnsi="Calibri" w:cs="Calibri"/>
          <w:lang w:val="en-US"/>
        </w:rPr>
        <w:t xml:space="preserve">from the project. It includes very technical support related to GIS, DMA zones, water tariff and price calculation but also support on planning and management, non-revenue water management, enhancing digital engagement with consumers, and promotion of energy efficient operations, administrative support, education and new knowledge, etc. </w:t>
      </w:r>
    </w:p>
    <w:p w14:paraId="0CEAF4F6" w14:textId="77777777" w:rsidR="00EE5920" w:rsidRPr="00F569AE" w:rsidRDefault="00EE5920" w:rsidP="003668C2">
      <w:pPr>
        <w:spacing w:line="276" w:lineRule="auto"/>
        <w:jc w:val="both"/>
        <w:rPr>
          <w:rFonts w:ascii="Calibri" w:hAnsi="Calibri" w:cs="Calibri"/>
          <w:lang w:val="en-US"/>
        </w:rPr>
      </w:pPr>
    </w:p>
    <w:p w14:paraId="17291788" w14:textId="5EADBFB5" w:rsidR="003668C2" w:rsidRPr="008E5A9B" w:rsidRDefault="008E5A9B" w:rsidP="003668C2">
      <w:pPr>
        <w:spacing w:line="276" w:lineRule="auto"/>
        <w:jc w:val="both"/>
        <w:rPr>
          <w:rFonts w:ascii="Calibri" w:hAnsi="Calibri" w:cs="Calibri"/>
          <w:b/>
          <w:lang w:val="en-US"/>
        </w:rPr>
      </w:pPr>
      <w:r w:rsidRPr="008E5A9B">
        <w:rPr>
          <w:rFonts w:ascii="Calibri" w:hAnsi="Calibri" w:cs="Calibri"/>
          <w:b/>
          <w:lang w:val="en-US"/>
        </w:rPr>
        <w:t>Figure 5:</w:t>
      </w:r>
      <w:r w:rsidR="003668C2" w:rsidRPr="008E5A9B">
        <w:rPr>
          <w:rFonts w:ascii="Calibri" w:hAnsi="Calibri" w:cs="Calibri"/>
          <w:b/>
          <w:lang w:val="en-US"/>
        </w:rPr>
        <w:t xml:space="preserve"> Support provided by the project to WUCs</w:t>
      </w:r>
    </w:p>
    <w:p w14:paraId="1E787714" w14:textId="77777777" w:rsidR="003668C2" w:rsidRPr="00F569AE" w:rsidRDefault="003668C2" w:rsidP="003668C2">
      <w:pPr>
        <w:spacing w:line="276" w:lineRule="auto"/>
        <w:jc w:val="both"/>
        <w:rPr>
          <w:rFonts w:ascii="Calibri" w:hAnsi="Calibri" w:cs="Calibri"/>
          <w:lang w:val="en-US"/>
        </w:rPr>
      </w:pPr>
      <w:r w:rsidRPr="00F569AE">
        <w:rPr>
          <w:rFonts w:ascii="Calibri" w:hAnsi="Calibri" w:cs="Calibri"/>
          <w:noProof/>
          <w:lang w:val="en-US"/>
        </w:rPr>
        <w:drawing>
          <wp:inline distT="0" distB="0" distL="0" distR="0" wp14:anchorId="1B1ACA0E" wp14:editId="6DC63A3F">
            <wp:extent cx="5731510" cy="2846824"/>
            <wp:effectExtent l="0" t="0" r="8890" b="10795"/>
            <wp:docPr id="210614401" name="Chart 15">
              <a:extLst xmlns:a="http://schemas.openxmlformats.org/drawingml/2006/main">
                <a:ext uri="{FF2B5EF4-FFF2-40B4-BE49-F238E27FC236}">
                  <a16:creationId xmlns:a16="http://schemas.microsoft.com/office/drawing/2014/main" id="{DDCAD8D2-E298-4C48-96F2-9C9E479793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0E7CF65D" w14:textId="77777777" w:rsidR="003668C2" w:rsidRPr="00F569AE" w:rsidRDefault="003668C2" w:rsidP="003668C2">
      <w:pPr>
        <w:spacing w:line="276" w:lineRule="auto"/>
        <w:jc w:val="both"/>
        <w:rPr>
          <w:rFonts w:ascii="Calibri" w:hAnsi="Calibri" w:cs="Calibri"/>
          <w:lang w:val="en-US"/>
        </w:rPr>
      </w:pPr>
    </w:p>
    <w:p w14:paraId="6B03F4D2" w14:textId="5572EBD5"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lastRenderedPageBreak/>
        <w:t xml:space="preserve">The project placed a strong emphasis on the management of non-revenue water (NRW), aiming to reduce water losses within the system. Despite the efforts, the NRW remained very high at the level of 60% versus the project targeted 12%. This could largely be explained by the quality of drinking water infrastructure; absence of direct financial incentives; uncounted assets or confused asset ownership and weak legal practices associated with property transfer; lack or outdated standards for the water infrastructure in BiH. These </w:t>
      </w:r>
      <w:r w:rsidR="009001FD">
        <w:rPr>
          <w:rFonts w:ascii="Calibri" w:hAnsi="Calibri" w:cs="Calibri"/>
          <w:lang w:val="en-US"/>
        </w:rPr>
        <w:t>limitations</w:t>
      </w:r>
      <w:r w:rsidRPr="00F569AE">
        <w:rPr>
          <w:rFonts w:ascii="Calibri" w:hAnsi="Calibri" w:cs="Calibri"/>
          <w:lang w:val="en-US"/>
        </w:rPr>
        <w:t xml:space="preserve"> highlight the importance of thorough attention to systemic bottlenecks related to water infrastructure</w:t>
      </w:r>
      <w:r w:rsidR="009001FD">
        <w:rPr>
          <w:rFonts w:ascii="Calibri" w:hAnsi="Calibri" w:cs="Calibri"/>
          <w:lang w:val="en-US"/>
        </w:rPr>
        <w:t xml:space="preserve"> to improve</w:t>
      </w:r>
      <w:r w:rsidR="009001FD" w:rsidRPr="00F569AE">
        <w:rPr>
          <w:rFonts w:ascii="Calibri" w:hAnsi="Calibri" w:cs="Calibri"/>
          <w:lang w:val="en-US"/>
        </w:rPr>
        <w:t xml:space="preserve"> effective planning, maintenance, and risk assessment in water sector and ultimately, the level of NRW in BiH</w:t>
      </w:r>
    </w:p>
    <w:p w14:paraId="11D40E7C" w14:textId="77777777" w:rsidR="003668C2" w:rsidRPr="00F569AE" w:rsidRDefault="003668C2" w:rsidP="003668C2">
      <w:pPr>
        <w:spacing w:line="276" w:lineRule="auto"/>
        <w:jc w:val="both"/>
        <w:rPr>
          <w:rFonts w:ascii="Calibri" w:hAnsi="Calibri" w:cs="Calibri"/>
          <w:lang w:val="en-US"/>
        </w:rPr>
      </w:pPr>
    </w:p>
    <w:p w14:paraId="0F3C57A2" w14:textId="623F03CE"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 xml:space="preserve">The project joint efforts with the partner municipalities </w:t>
      </w:r>
      <w:r w:rsidR="00917B6F">
        <w:rPr>
          <w:rFonts w:ascii="Calibri" w:hAnsi="Calibri" w:cs="Calibri"/>
          <w:lang w:val="en-US"/>
        </w:rPr>
        <w:t>to introduce two</w:t>
      </w:r>
      <w:r w:rsidRPr="00F569AE">
        <w:rPr>
          <w:rFonts w:ascii="Calibri" w:hAnsi="Calibri" w:cs="Calibri"/>
          <w:lang w:val="en-US"/>
        </w:rPr>
        <w:t xml:space="preserve"> grant schemes </w:t>
      </w:r>
      <w:r w:rsidR="00917B6F">
        <w:rPr>
          <w:rFonts w:ascii="Calibri" w:hAnsi="Calibri" w:cs="Calibri"/>
          <w:lang w:val="en-US"/>
        </w:rPr>
        <w:t xml:space="preserve">for </w:t>
      </w:r>
      <w:r w:rsidR="00917B6F" w:rsidRPr="00AC3D1C">
        <w:rPr>
          <w:rFonts w:ascii="Calibri" w:hAnsi="Calibri" w:cs="Calibri"/>
          <w:b/>
          <w:i/>
          <w:lang w:val="en-US"/>
        </w:rPr>
        <w:t>municipal water infrastructure improvement</w:t>
      </w:r>
      <w:r w:rsidR="00917B6F">
        <w:rPr>
          <w:rFonts w:ascii="Calibri" w:hAnsi="Calibri" w:cs="Calibri"/>
          <w:lang w:val="en-US"/>
        </w:rPr>
        <w:t xml:space="preserve">, </w:t>
      </w:r>
      <w:r w:rsidRPr="00F569AE">
        <w:rPr>
          <w:rFonts w:ascii="Calibri" w:hAnsi="Calibri" w:cs="Calibri"/>
          <w:lang w:val="en-US"/>
        </w:rPr>
        <w:t xml:space="preserve">e.g. reconstruction, construction, renovation. The evaluation team analyzed the reports on the completion of the infrastructure work and visited four sites to observe the results. The reports confirmed that the quality oversight that took place at the time of the completion of the construction works was deemed acceptable by the stakeholders engaged. Overall, the quality of construction observed at two sites were satisfactory, while two other locations, namely, the municipalities of Ilijaš and Tešanj, exhibited issues warranted further attention. While still in the warranty period, two out of four construction sites raised serious concerns. Ensuring a thorough quality inspection at the conclusion of the warranty period would be essential to secure that all contractually agreed quality standards have been met, and any outstanding issues were promptly addressed. </w:t>
      </w:r>
    </w:p>
    <w:p w14:paraId="18FA9841" w14:textId="77777777" w:rsidR="003668C2" w:rsidRPr="00F569AE" w:rsidRDefault="003668C2" w:rsidP="003668C2">
      <w:pPr>
        <w:spacing w:line="276" w:lineRule="auto"/>
        <w:jc w:val="both"/>
        <w:rPr>
          <w:rFonts w:ascii="Calibri" w:hAnsi="Calibri" w:cs="Calibri"/>
          <w:lang w:val="en-US"/>
        </w:rPr>
      </w:pPr>
    </w:p>
    <w:p w14:paraId="60AFA424" w14:textId="68E4A99E" w:rsidR="003668C2" w:rsidRPr="00F569AE" w:rsidRDefault="00917B6F" w:rsidP="003668C2">
      <w:pPr>
        <w:spacing w:line="276" w:lineRule="auto"/>
        <w:jc w:val="both"/>
        <w:rPr>
          <w:rFonts w:ascii="Calibri" w:hAnsi="Calibri" w:cs="Calibri"/>
          <w:lang w:val="en-US"/>
        </w:rPr>
      </w:pPr>
      <w:r>
        <w:rPr>
          <w:rFonts w:ascii="Calibri" w:hAnsi="Calibri" w:cs="Calibri"/>
          <w:lang w:val="en-US"/>
        </w:rPr>
        <w:t>The project design entails</w:t>
      </w:r>
      <w:r w:rsidR="003668C2" w:rsidRPr="00F569AE">
        <w:rPr>
          <w:rFonts w:ascii="Calibri" w:hAnsi="Calibri" w:cs="Calibri"/>
          <w:lang w:val="en-US"/>
        </w:rPr>
        <w:t xml:space="preserve"> cleaning priority river sections from plastic and other waste, with the aim of safeguarding the quality and accessibility of drinking water. </w:t>
      </w:r>
      <w:r>
        <w:rPr>
          <w:rFonts w:ascii="Calibri" w:hAnsi="Calibri" w:cs="Calibri"/>
          <w:lang w:val="en-US"/>
        </w:rPr>
        <w:t>T</w:t>
      </w:r>
      <w:r w:rsidR="003668C2" w:rsidRPr="00F569AE">
        <w:rPr>
          <w:rFonts w:ascii="Calibri" w:hAnsi="Calibri" w:cs="Calibri"/>
          <w:lang w:val="en-US"/>
        </w:rPr>
        <w:t xml:space="preserve">hese activities had not commenced yet but planned to be completed before the closure of the project. In anticipation, </w:t>
      </w:r>
      <w:r>
        <w:rPr>
          <w:rFonts w:ascii="Calibri" w:hAnsi="Calibri" w:cs="Calibri"/>
          <w:lang w:val="en-US"/>
        </w:rPr>
        <w:t xml:space="preserve">some </w:t>
      </w:r>
      <w:r w:rsidR="003668C2" w:rsidRPr="00F569AE">
        <w:rPr>
          <w:rFonts w:ascii="Calibri" w:hAnsi="Calibri" w:cs="Calibri"/>
          <w:lang w:val="en-US"/>
        </w:rPr>
        <w:t>preparatory measures were implemented, including the development of a rapid disaster and climate risk and impact screening instrument based on Climate, Environment, and Disaster Risk Reduction Integration Guidance (CEDRIG)</w:t>
      </w:r>
      <w:r w:rsidR="003668C2" w:rsidRPr="00F569AE">
        <w:rPr>
          <w:vertAlign w:val="superscript"/>
          <w:lang w:val="en-US"/>
        </w:rPr>
        <w:footnoteReference w:id="47"/>
      </w:r>
      <w:r w:rsidR="003668C2" w:rsidRPr="00F569AE">
        <w:rPr>
          <w:rFonts w:ascii="Calibri" w:hAnsi="Calibri" w:cs="Calibri"/>
          <w:lang w:val="en-US"/>
        </w:rPr>
        <w:t>, which holds potential for broader application across the country in future efforts. it is important to keep exploring risks and building scenarios along various time horizons.</w:t>
      </w:r>
    </w:p>
    <w:p w14:paraId="4D38F190" w14:textId="77777777" w:rsidR="003668C2" w:rsidRPr="00F569AE" w:rsidRDefault="003668C2" w:rsidP="003668C2">
      <w:pPr>
        <w:pStyle w:val="p1"/>
        <w:spacing w:line="276" w:lineRule="auto"/>
        <w:jc w:val="both"/>
        <w:rPr>
          <w:rFonts w:ascii="Calibri" w:hAnsi="Calibri" w:cs="Calibri"/>
          <w:sz w:val="24"/>
          <w:szCs w:val="24"/>
        </w:rPr>
      </w:pPr>
    </w:p>
    <w:p w14:paraId="1C97FE27" w14:textId="77777777" w:rsidR="003668C2" w:rsidRPr="00F569AE" w:rsidRDefault="003668C2" w:rsidP="003668C2">
      <w:pPr>
        <w:pStyle w:val="p1"/>
        <w:spacing w:line="276" w:lineRule="auto"/>
        <w:jc w:val="both"/>
        <w:rPr>
          <w:rFonts w:ascii="Calibri" w:hAnsi="Calibri" w:cs="Calibri"/>
          <w:sz w:val="24"/>
          <w:szCs w:val="24"/>
        </w:rPr>
      </w:pPr>
      <w:r w:rsidRPr="00F569AE">
        <w:rPr>
          <w:rFonts w:ascii="Calibri" w:hAnsi="Calibri" w:cs="Calibri"/>
          <w:i/>
          <w:sz w:val="24"/>
          <w:szCs w:val="24"/>
        </w:rPr>
        <w:t>7. To what extend the project demonstrated innovative lenses throughout its implementation?</w:t>
      </w:r>
    </w:p>
    <w:p w14:paraId="0DFDD3AC" w14:textId="07D8C1C2"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 xml:space="preserve">The project enabled the development and adoption of a diverse array of innovative solutions—such as frameworks, methodologies, and tools—throughout its implementation. In this regard, it stood out as a </w:t>
      </w:r>
      <w:r w:rsidRPr="00F569AE">
        <w:rPr>
          <w:rFonts w:ascii="Calibri" w:hAnsi="Calibri" w:cs="Calibri"/>
          <w:b/>
          <w:i/>
          <w:lang w:val="en-US"/>
        </w:rPr>
        <w:t>truly innovative initiative</w:t>
      </w:r>
      <w:r w:rsidRPr="00F569AE">
        <w:rPr>
          <w:rFonts w:ascii="Calibri" w:hAnsi="Calibri" w:cs="Calibri"/>
          <w:lang w:val="en-US"/>
        </w:rPr>
        <w:t xml:space="preserve">, advancing the modernization of the water sector in BiH. The innovation of the project was not merely in the number of the solutions introduced, but more in solutions being interrelated and directly responding to </w:t>
      </w:r>
      <w:r w:rsidR="00917B6F">
        <w:rPr>
          <w:rFonts w:ascii="Calibri" w:hAnsi="Calibri" w:cs="Calibri"/>
          <w:lang w:val="en-US"/>
        </w:rPr>
        <w:t xml:space="preserve">the </w:t>
      </w:r>
      <w:r w:rsidRPr="00F569AE">
        <w:rPr>
          <w:rFonts w:ascii="Calibri" w:hAnsi="Calibri" w:cs="Calibri"/>
          <w:lang w:val="en-US"/>
        </w:rPr>
        <w:t xml:space="preserve">systemic </w:t>
      </w:r>
      <w:r w:rsidR="00917B6F">
        <w:rPr>
          <w:rFonts w:ascii="Calibri" w:hAnsi="Calibri" w:cs="Calibri"/>
          <w:lang w:val="en-US"/>
        </w:rPr>
        <w:t>bottlenecks</w:t>
      </w:r>
      <w:r w:rsidRPr="00F569AE">
        <w:rPr>
          <w:rFonts w:ascii="Calibri" w:hAnsi="Calibri" w:cs="Calibri"/>
          <w:lang w:val="en-US"/>
        </w:rPr>
        <w:t xml:space="preserve"> in water and local governance sectors. Most of the solutions developed </w:t>
      </w:r>
      <w:r w:rsidRPr="00F569AE">
        <w:rPr>
          <w:rFonts w:ascii="Calibri" w:hAnsi="Calibri" w:cs="Calibri"/>
          <w:lang w:val="en-US"/>
        </w:rPr>
        <w:lastRenderedPageBreak/>
        <w:t xml:space="preserve">within or with support of this project were first of its kind in BiH, e.g. </w:t>
      </w:r>
      <w:r w:rsidR="001F5342">
        <w:rPr>
          <w:rFonts w:ascii="Calibri" w:hAnsi="Calibri" w:cs="Calibri"/>
          <w:lang w:val="en-US"/>
        </w:rPr>
        <w:t>e</w:t>
      </w:r>
      <w:r w:rsidRPr="00F569AE">
        <w:rPr>
          <w:rFonts w:ascii="Calibri" w:hAnsi="Calibri" w:cs="Calibri"/>
          <w:lang w:val="en-US"/>
        </w:rPr>
        <w:t>s, CAF4LGs, water tariff methodology, PSAs in water sector, subsidy to vulnerable population, etc.</w:t>
      </w:r>
    </w:p>
    <w:p w14:paraId="5DAE151F" w14:textId="77777777" w:rsidR="003668C2" w:rsidRPr="00F569AE" w:rsidRDefault="003668C2" w:rsidP="003668C2">
      <w:pPr>
        <w:spacing w:line="276" w:lineRule="auto"/>
        <w:jc w:val="both"/>
        <w:rPr>
          <w:rFonts w:ascii="Calibri" w:hAnsi="Calibri" w:cs="Calibri"/>
          <w:lang w:val="en-US"/>
        </w:rPr>
      </w:pPr>
    </w:p>
    <w:p w14:paraId="7A6D2378" w14:textId="2042B316"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 xml:space="preserve">For any innovation to be fully understood and effectively replicated or scaled up, it is essential to support it with a robust environment that fosters learning, collaborative knowledge creation and development, as well as active dissemination of insights and best practices. The imperative to generate </w:t>
      </w:r>
      <w:r w:rsidR="00917B6F">
        <w:rPr>
          <w:rFonts w:ascii="Calibri" w:hAnsi="Calibri" w:cs="Calibri"/>
          <w:lang w:val="en-US"/>
        </w:rPr>
        <w:t>knowledge</w:t>
      </w:r>
      <w:r w:rsidRPr="00F569AE">
        <w:rPr>
          <w:rFonts w:ascii="Calibri" w:hAnsi="Calibri" w:cs="Calibri"/>
          <w:lang w:val="en-US"/>
        </w:rPr>
        <w:t xml:space="preserve"> and systematically learn from the project's innovation has remained a cornerstone for its sustained relevance and continued evolution. Recognizing this, the project team made efforts to cultivate a culture of reflection and continuous improvement within and between the partner LGs. Two major conferences were convened among the partner LGs, serving as platforms for mutual exchange, experience-sharing, and collective problem-solving. These larger gatherings were further complemented by a series of targeted events - both at the regional level and within individual LG - designed to foster peer learning and deepen practical understanding among stakeholders. </w:t>
      </w:r>
    </w:p>
    <w:p w14:paraId="47F6B14C" w14:textId="77777777" w:rsidR="003668C2" w:rsidRPr="00F569AE" w:rsidRDefault="003668C2" w:rsidP="003668C2">
      <w:pPr>
        <w:spacing w:line="276" w:lineRule="auto"/>
        <w:jc w:val="both"/>
        <w:rPr>
          <w:rFonts w:ascii="Calibri" w:hAnsi="Calibri" w:cs="Calibri"/>
          <w:b/>
          <w:i/>
          <w:lang w:val="en-US"/>
        </w:rPr>
      </w:pPr>
    </w:p>
    <w:p w14:paraId="5DFC9071" w14:textId="14923D02"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The innovative solutions piloted through the project have generated a wealth of experience and learning, much of which could be revealed only when the system dynamic pattern could be observed. Closer to the completion of the project, the patters on system dynamics in water and local governance systems have become more observable and therefore, could be unearthed and analyzed. It remained, therefore, essential to maintain a deliberate focus on analytical function within the project for learning and deriving actionable insights</w:t>
      </w:r>
      <w:r w:rsidR="00917B6F">
        <w:rPr>
          <w:rFonts w:ascii="Calibri" w:hAnsi="Calibri" w:cs="Calibri"/>
          <w:lang w:val="en-US"/>
        </w:rPr>
        <w:t>. Stronger monitoring function (with retrospective perspective) combined with risk thinking (with forward-looking perspective) could benefit analytical function within the project - b</w:t>
      </w:r>
      <w:r w:rsidRPr="00F569AE">
        <w:rPr>
          <w:rFonts w:ascii="Calibri" w:hAnsi="Calibri" w:cs="Calibri"/>
          <w:lang w:val="en-US"/>
        </w:rPr>
        <w:t>y systematically leveraging these tools, the project can better identify patterns, anticipate challenges, and inform future decision-making. Strengthening this approach would help ensur</w:t>
      </w:r>
      <w:r w:rsidR="00917B6F">
        <w:rPr>
          <w:rFonts w:ascii="Calibri" w:hAnsi="Calibri" w:cs="Calibri"/>
          <w:lang w:val="en-US"/>
        </w:rPr>
        <w:t>ing</w:t>
      </w:r>
      <w:r w:rsidRPr="00F569AE">
        <w:rPr>
          <w:rFonts w:ascii="Calibri" w:hAnsi="Calibri" w:cs="Calibri"/>
          <w:lang w:val="en-US"/>
        </w:rPr>
        <w:t xml:space="preserve"> that valuable insights were not overlooked and that adaptive strategies would be grounded in robust evidence and proactive risk thinking.</w:t>
      </w:r>
    </w:p>
    <w:p w14:paraId="3D3E251B" w14:textId="77777777" w:rsidR="003668C2" w:rsidRPr="00F569AE" w:rsidRDefault="003668C2" w:rsidP="003668C2">
      <w:pPr>
        <w:spacing w:line="276" w:lineRule="auto"/>
        <w:jc w:val="both"/>
        <w:rPr>
          <w:rFonts w:ascii="Calibri" w:hAnsi="Calibri" w:cs="Calibri"/>
          <w:lang w:val="en-US"/>
        </w:rPr>
      </w:pPr>
    </w:p>
    <w:p w14:paraId="14223F6C" w14:textId="77777777" w:rsidR="003668C2" w:rsidRPr="00F569AE" w:rsidRDefault="003668C2" w:rsidP="003668C2">
      <w:pPr>
        <w:rPr>
          <w:lang w:val="en-US"/>
        </w:rPr>
      </w:pPr>
    </w:p>
    <w:p w14:paraId="00E7D812" w14:textId="77777777" w:rsidR="003668C2" w:rsidRPr="00F569AE" w:rsidRDefault="003668C2" w:rsidP="003668C2">
      <w:pPr>
        <w:spacing w:line="276" w:lineRule="auto"/>
        <w:jc w:val="both"/>
        <w:rPr>
          <w:rFonts w:ascii="Calibri" w:hAnsi="Calibri" w:cs="Calibri"/>
          <w:i/>
          <w:color w:val="000000"/>
          <w:lang w:val="en-US"/>
        </w:rPr>
      </w:pPr>
      <w:r w:rsidRPr="00F569AE">
        <w:rPr>
          <w:rFonts w:ascii="Calibri" w:hAnsi="Calibri" w:cs="Calibri"/>
          <w:i/>
          <w:color w:val="000000"/>
          <w:lang w:val="en-US"/>
        </w:rPr>
        <w:t>8. To what extent coordination and cooperation across various (implementing) partners was fostered and capitalized throughout the project implementation?</w:t>
      </w:r>
    </w:p>
    <w:p w14:paraId="5879ABF9" w14:textId="77777777" w:rsidR="00433FCE" w:rsidRDefault="003668C2" w:rsidP="003668C2">
      <w:pPr>
        <w:spacing w:line="276" w:lineRule="auto"/>
        <w:jc w:val="both"/>
        <w:rPr>
          <w:rFonts w:ascii="Calibri" w:hAnsi="Calibri" w:cs="Calibri"/>
          <w:lang w:val="en-US"/>
        </w:rPr>
      </w:pPr>
      <w:r w:rsidRPr="00F569AE">
        <w:rPr>
          <w:rFonts w:ascii="Calibri" w:hAnsi="Calibri" w:cs="Calibri"/>
          <w:lang w:val="en-US"/>
        </w:rPr>
        <w:t xml:space="preserve">UNDP BiH was the implementing partner of the project. The project implementation was carried through engaging with all its stakeholders, namely, with LGs, with state and entity authorities, with donors and international partners, WUCs and water professional associations, and project contractors. </w:t>
      </w:r>
    </w:p>
    <w:p w14:paraId="3235AB45" w14:textId="77777777" w:rsidR="00433FCE" w:rsidRDefault="00433FCE" w:rsidP="003668C2">
      <w:pPr>
        <w:spacing w:line="276" w:lineRule="auto"/>
        <w:jc w:val="both"/>
        <w:rPr>
          <w:rFonts w:ascii="Calibri" w:hAnsi="Calibri" w:cs="Calibri"/>
          <w:lang w:val="en-US"/>
        </w:rPr>
      </w:pPr>
    </w:p>
    <w:p w14:paraId="5958E91A" w14:textId="64873629"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 xml:space="preserve">The project established </w:t>
      </w:r>
      <w:r w:rsidRPr="00F569AE">
        <w:rPr>
          <w:rFonts w:ascii="Calibri" w:hAnsi="Calibri" w:cs="Calibri"/>
          <w:b/>
          <w:i/>
          <w:lang w:val="en-US"/>
        </w:rPr>
        <w:t>highly successful partnerships</w:t>
      </w:r>
      <w:r w:rsidRPr="00F569AE">
        <w:rPr>
          <w:rFonts w:ascii="Calibri" w:hAnsi="Calibri" w:cs="Calibri"/>
          <w:lang w:val="en-US"/>
        </w:rPr>
        <w:t xml:space="preserve"> </w:t>
      </w:r>
      <w:r w:rsidRPr="00F569AE">
        <w:rPr>
          <w:rFonts w:ascii="Calibri" w:hAnsi="Calibri" w:cs="Calibri"/>
          <w:b/>
          <w:i/>
          <w:lang w:val="en-US"/>
        </w:rPr>
        <w:t>with all partner LGs, WUCs,</w:t>
      </w:r>
      <w:r w:rsidRPr="00F569AE">
        <w:rPr>
          <w:rFonts w:ascii="Calibri" w:hAnsi="Calibri" w:cs="Calibri"/>
          <w:lang w:val="en-US"/>
        </w:rPr>
        <w:t xml:space="preserve"> </w:t>
      </w:r>
      <w:r w:rsidRPr="00F569AE">
        <w:rPr>
          <w:rFonts w:ascii="Calibri" w:hAnsi="Calibri" w:cs="Calibri"/>
          <w:b/>
          <w:i/>
          <w:lang w:val="en-US"/>
        </w:rPr>
        <w:t>state and entity authorities</w:t>
      </w:r>
      <w:r w:rsidRPr="00F569AE">
        <w:rPr>
          <w:rFonts w:ascii="Calibri" w:hAnsi="Calibri" w:cs="Calibri"/>
          <w:lang w:val="en-US"/>
        </w:rPr>
        <w:t xml:space="preserve"> based on trust and mutual respect. This allowed project to facilitate responsiveness of the stakeholders to jointly shape and implement project activities and overcome challenges in a constructive way. </w:t>
      </w:r>
      <w:r w:rsidRPr="00F569AE">
        <w:rPr>
          <w:rFonts w:ascii="Calibri" w:hAnsi="Calibri" w:cs="Calibri"/>
          <w:b/>
          <w:i/>
          <w:lang w:val="en-US"/>
        </w:rPr>
        <w:t>Highly cooperative relationships were established within Water Alliance</w:t>
      </w:r>
      <w:r w:rsidRPr="00F569AE">
        <w:rPr>
          <w:rFonts w:ascii="Calibri" w:hAnsi="Calibri" w:cs="Calibri"/>
          <w:lang w:val="en-US"/>
        </w:rPr>
        <w:t xml:space="preserve"> as confirmed by several its members, providing thereby </w:t>
      </w:r>
      <w:r w:rsidRPr="00F569AE">
        <w:rPr>
          <w:rFonts w:ascii="Calibri" w:hAnsi="Calibri" w:cs="Calibri"/>
          <w:lang w:val="en-US"/>
        </w:rPr>
        <w:lastRenderedPageBreak/>
        <w:t>solid foundation for sector-wide discussions and strategic priority setting for water sector modernization. As the only strategic platform to coordinate efforts in the water sector in BiH, the WA maintained collaborative spirit of its members and enhanced cross-intervention alignment, when feasible. For instance, the case of Czech embassy providing funding for water infrastructure development to ‘MEG municipalities’ was an example of value added of the WA from the perspective of donor alignment and harmonization, contributing to</w:t>
      </w:r>
      <w:r w:rsidR="00433FCE">
        <w:rPr>
          <w:rFonts w:ascii="Calibri" w:hAnsi="Calibri" w:cs="Calibri"/>
          <w:lang w:val="en-US"/>
        </w:rPr>
        <w:t xml:space="preserve"> the</w:t>
      </w:r>
      <w:r w:rsidRPr="00F569AE">
        <w:rPr>
          <w:rFonts w:ascii="Calibri" w:hAnsi="Calibri" w:cs="Calibri"/>
          <w:lang w:val="en-US"/>
        </w:rPr>
        <w:t xml:space="preserve"> improvement of the water sector in BiH. Another example was related to engagement with the World Bank to design national wide benchmarking system for data-driven monitoring and reporting on EU Water Directive.</w:t>
      </w:r>
    </w:p>
    <w:p w14:paraId="42F37DFC" w14:textId="77777777" w:rsidR="003668C2" w:rsidRPr="00F569AE" w:rsidRDefault="003668C2" w:rsidP="003668C2">
      <w:pPr>
        <w:spacing w:line="276" w:lineRule="auto"/>
        <w:jc w:val="both"/>
        <w:rPr>
          <w:rFonts w:ascii="Calibri" w:hAnsi="Calibri" w:cs="Calibri"/>
          <w:lang w:val="en-US"/>
        </w:rPr>
      </w:pPr>
    </w:p>
    <w:p w14:paraId="1235154D" w14:textId="0571F82E" w:rsidR="003668C2" w:rsidRPr="00F569AE" w:rsidRDefault="003668C2" w:rsidP="003668C2">
      <w:pPr>
        <w:spacing w:line="276" w:lineRule="auto"/>
        <w:jc w:val="both"/>
        <w:rPr>
          <w:rFonts w:ascii="Calibri" w:hAnsi="Calibri" w:cs="Calibri"/>
          <w:lang w:val="en-US"/>
        </w:rPr>
      </w:pPr>
      <w:r w:rsidRPr="00F569AE">
        <w:rPr>
          <w:rFonts w:ascii="Calibri" w:hAnsi="Calibri" w:cs="Calibri"/>
          <w:b/>
          <w:i/>
          <w:lang w:val="en-US"/>
        </w:rPr>
        <w:t>Coordination and cooperation with the project sub-contractors were largely productive</w:t>
      </w:r>
      <w:r w:rsidRPr="00F569AE">
        <w:rPr>
          <w:rFonts w:ascii="Calibri" w:hAnsi="Calibri" w:cs="Calibri"/>
          <w:lang w:val="en-US"/>
        </w:rPr>
        <w:t>; however, significant room for improvement remained. Hence, the Outcome 2 focused on improving the LGs’ performance was implemented through a consortium of three local companies, an approach that enriched the project's technical expertise and expanded the pool of human resources available to support the partner LGs. By drawing on the diverse backgrounds and insights of these specialized firms, the project created a more responsive and knowledge-rich environment, ultimately enhancing the quality and impact of its technical assistance. This, however, required strong oversight from the project team. Still, despite these advantages, several challenges emerged. Coordination and communication among consortium members, the project team, and the LGs were at times unclear, redundant, and occasionally fragmented. These ambiguities increased the "noise" during implementation and hindered smooth collaboration.</w:t>
      </w:r>
      <w:r w:rsidR="006C2A56">
        <w:rPr>
          <w:rFonts w:ascii="Calibri" w:hAnsi="Calibri" w:cs="Calibri"/>
          <w:lang w:val="en-US"/>
        </w:rPr>
        <w:t xml:space="preserve"> It contributed to </w:t>
      </w:r>
      <w:r w:rsidR="00D075CF">
        <w:rPr>
          <w:rFonts w:ascii="Calibri" w:hAnsi="Calibri" w:cs="Calibri"/>
          <w:lang w:val="en-US"/>
        </w:rPr>
        <w:t xml:space="preserve">some </w:t>
      </w:r>
      <w:r w:rsidR="006C2A56">
        <w:rPr>
          <w:rFonts w:ascii="Calibri" w:hAnsi="Calibri" w:cs="Calibri"/>
          <w:lang w:val="en-US"/>
        </w:rPr>
        <w:t xml:space="preserve">obscured understanding of the way forward impacting thereby the degree of effectiveness of the specific operational tasks: e.g. organization of training, </w:t>
      </w:r>
      <w:r w:rsidR="00E60CE2">
        <w:rPr>
          <w:rFonts w:ascii="Calibri" w:hAnsi="Calibri" w:cs="Calibri"/>
          <w:lang w:val="en-US"/>
        </w:rPr>
        <w:t xml:space="preserve">preparation of knowledge products, </w:t>
      </w:r>
      <w:r w:rsidR="006C2A56">
        <w:rPr>
          <w:rFonts w:ascii="Calibri" w:hAnsi="Calibri" w:cs="Calibri"/>
          <w:lang w:val="en-US"/>
        </w:rPr>
        <w:t xml:space="preserve">responding to questions to clarify certain aspects of the </w:t>
      </w:r>
      <w:r w:rsidR="00E60CE2">
        <w:rPr>
          <w:rFonts w:ascii="Calibri" w:hAnsi="Calibri" w:cs="Calibri"/>
          <w:lang w:val="en-US"/>
        </w:rPr>
        <w:t>new tools, and such.</w:t>
      </w:r>
      <w:r w:rsidRPr="00F569AE">
        <w:rPr>
          <w:rFonts w:ascii="Calibri" w:hAnsi="Calibri" w:cs="Calibri"/>
          <w:lang w:val="en-US"/>
        </w:rPr>
        <w:t xml:space="preserve"> It became clear that a more structured coordination framework was needed, one that clearly defines roles, responsibilities, and communication channels among the key stakeholders: (i) the project team, (ii) the consortium partners, and (iii) the LGs.</w:t>
      </w:r>
    </w:p>
    <w:p w14:paraId="197EDBE7" w14:textId="77777777" w:rsidR="003668C2" w:rsidRPr="00F569AE" w:rsidRDefault="003668C2" w:rsidP="003668C2">
      <w:pPr>
        <w:spacing w:line="276" w:lineRule="auto"/>
        <w:jc w:val="both"/>
        <w:rPr>
          <w:rFonts w:ascii="Calibri" w:hAnsi="Calibri" w:cs="Calibri"/>
          <w:lang w:val="en-US"/>
        </w:rPr>
      </w:pPr>
    </w:p>
    <w:p w14:paraId="32C6F7D9" w14:textId="77777777"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To address this, it is necessary to increase effectiveness of regular coordination meetings, ensure effective system to share documentation protocols, and clear mandate for the designated points of contact. These measures would reduce overlaps, improve clarity, and transform potential conflicts into productive synergies. They would also allow for a more effective distribution of oversight and leadership functions within the partnership. By addressing these coordination gaps, future initiatives could better harness the collective strengths of all involved, thereby improving both the effectiveness and sustainability of collaboration.</w:t>
      </w:r>
    </w:p>
    <w:p w14:paraId="161F0BE3" w14:textId="77777777" w:rsidR="003668C2" w:rsidRPr="00F569AE" w:rsidRDefault="003668C2" w:rsidP="003668C2">
      <w:pPr>
        <w:spacing w:line="276" w:lineRule="auto"/>
        <w:rPr>
          <w:rFonts w:ascii="Calibri" w:eastAsiaTheme="majorEastAsia" w:hAnsi="Calibri" w:cs="Calibri"/>
          <w:color w:val="0F4761" w:themeColor="accent1" w:themeShade="BF"/>
          <w:lang w:val="en-US"/>
        </w:rPr>
      </w:pPr>
    </w:p>
    <w:p w14:paraId="4017C4F4" w14:textId="77777777" w:rsidR="003668C2" w:rsidRPr="00F569AE" w:rsidRDefault="003668C2" w:rsidP="003668C2">
      <w:pPr>
        <w:spacing w:line="276" w:lineRule="auto"/>
        <w:jc w:val="both"/>
        <w:rPr>
          <w:rFonts w:ascii="Calibri" w:hAnsi="Calibri" w:cs="Calibri"/>
          <w:i/>
          <w:color w:val="000000"/>
          <w:lang w:val="en-US"/>
        </w:rPr>
      </w:pPr>
      <w:r w:rsidRPr="00F569AE">
        <w:rPr>
          <w:rFonts w:ascii="Calibri" w:hAnsi="Calibri" w:cs="Calibri"/>
          <w:i/>
          <w:color w:val="000000"/>
          <w:lang w:val="en-US"/>
        </w:rPr>
        <w:t>9. To what extent project demonstrated adaptive management throughout its implementation?</w:t>
      </w:r>
    </w:p>
    <w:p w14:paraId="6AEB9509" w14:textId="7A07BBAA"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lastRenderedPageBreak/>
        <w:t xml:space="preserve">The project demonstrated </w:t>
      </w:r>
      <w:r w:rsidRPr="00F569AE">
        <w:rPr>
          <w:rFonts w:ascii="Calibri" w:hAnsi="Calibri" w:cs="Calibri"/>
          <w:b/>
          <w:i/>
          <w:lang w:val="en-US"/>
        </w:rPr>
        <w:t>various degree of adaptive management</w:t>
      </w:r>
      <w:r w:rsidRPr="00F569AE">
        <w:rPr>
          <w:rFonts w:ascii="Calibri" w:hAnsi="Calibri" w:cs="Calibri"/>
          <w:lang w:val="en-US"/>
        </w:rPr>
        <w:t xml:space="preserve"> throughout its implementation. As it was indicated earlier, the strategic context including major systemic bottlenecks of the project remained largely persistent, leaving no room for any strategic changes of the course of the project implementation</w:t>
      </w:r>
      <w:r w:rsidR="00E60CE2">
        <w:rPr>
          <w:rFonts w:ascii="Calibri" w:hAnsi="Calibri" w:cs="Calibri"/>
          <w:lang w:val="en-US"/>
        </w:rPr>
        <w:t xml:space="preserve"> to effectively achieve its expected results</w:t>
      </w:r>
      <w:r w:rsidRPr="00F569AE">
        <w:rPr>
          <w:rFonts w:ascii="Calibri" w:hAnsi="Calibri" w:cs="Calibri"/>
          <w:lang w:val="en-US"/>
        </w:rPr>
        <w:t xml:space="preserve">. </w:t>
      </w:r>
    </w:p>
    <w:p w14:paraId="1AF1AC3A" w14:textId="77777777" w:rsidR="003668C2" w:rsidRPr="00F569AE" w:rsidRDefault="003668C2" w:rsidP="003668C2">
      <w:pPr>
        <w:spacing w:line="276" w:lineRule="auto"/>
        <w:jc w:val="both"/>
        <w:rPr>
          <w:rFonts w:ascii="Calibri" w:hAnsi="Calibri" w:cs="Calibri"/>
          <w:lang w:val="en-US"/>
        </w:rPr>
      </w:pPr>
    </w:p>
    <w:p w14:paraId="4468F274" w14:textId="52D1122B"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The avenues for the project to demonstrate adaptive and agile management remained at the operational level</w:t>
      </w:r>
      <w:r w:rsidR="00E60CE2">
        <w:rPr>
          <w:rFonts w:ascii="Calibri" w:hAnsi="Calibri" w:cs="Calibri"/>
          <w:lang w:val="en-US"/>
        </w:rPr>
        <w:t xml:space="preserve"> to achieve its expected results</w:t>
      </w:r>
      <w:r w:rsidRPr="00F569AE">
        <w:rPr>
          <w:rFonts w:ascii="Calibri" w:hAnsi="Calibri" w:cs="Calibri"/>
          <w:lang w:val="en-US"/>
        </w:rPr>
        <w:t xml:space="preserve"> around planning, coordinating, and implementing day-to-day operations, whereby the evaluation revealed both the strengths and limitations of the project’s response capacity. Hence, for example, the project demonstrated adaptive management when replacing less relevant GLG frameworks with the CAF-based approach, demonstrating thereby agility in response to evolving normative context, since both entities start advocating for the use of the CAF model. </w:t>
      </w:r>
    </w:p>
    <w:p w14:paraId="092A2DA0" w14:textId="77777777" w:rsidR="003668C2" w:rsidRPr="00F569AE" w:rsidRDefault="003668C2" w:rsidP="003668C2">
      <w:pPr>
        <w:spacing w:line="276" w:lineRule="auto"/>
        <w:jc w:val="both"/>
        <w:rPr>
          <w:rFonts w:ascii="Calibri" w:hAnsi="Calibri" w:cs="Calibri"/>
          <w:lang w:val="en-US"/>
        </w:rPr>
      </w:pPr>
    </w:p>
    <w:p w14:paraId="322512AA" w14:textId="5C028F2D"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While dealing with highly complex governance system in BiH, in FBiH and RS and with a very large number of stakeholders at various levels, including partners from UNDP, donors, beneficiaries – all with their interests, expectations, often conflicting agendas</w:t>
      </w:r>
      <w:r w:rsidR="00E07ECB">
        <w:rPr>
          <w:rFonts w:ascii="Calibri" w:hAnsi="Calibri" w:cs="Calibri"/>
          <w:lang w:val="en-US"/>
        </w:rPr>
        <w:t>,</w:t>
      </w:r>
      <w:r w:rsidRPr="00F569AE">
        <w:rPr>
          <w:rFonts w:ascii="Calibri" w:hAnsi="Calibri" w:cs="Calibri"/>
          <w:lang w:val="en-US"/>
        </w:rPr>
        <w:t xml:space="preserve"> and </w:t>
      </w:r>
      <w:r w:rsidR="00E07ECB">
        <w:rPr>
          <w:rFonts w:ascii="Calibri" w:hAnsi="Calibri" w:cs="Calibri"/>
          <w:lang w:val="en-US"/>
        </w:rPr>
        <w:t xml:space="preserve">different levels of </w:t>
      </w:r>
      <w:r w:rsidRPr="00F569AE">
        <w:rPr>
          <w:rFonts w:ascii="Calibri" w:hAnsi="Calibri" w:cs="Calibri"/>
          <w:lang w:val="en-US"/>
        </w:rPr>
        <w:t xml:space="preserve">capacities – demanded an exceptional degree of </w:t>
      </w:r>
      <w:r w:rsidR="00E07ECB">
        <w:rPr>
          <w:rFonts w:ascii="Calibri" w:hAnsi="Calibri" w:cs="Calibri"/>
          <w:lang w:val="en-US"/>
        </w:rPr>
        <w:t>balancing act</w:t>
      </w:r>
      <w:r w:rsidRPr="00F569AE">
        <w:rPr>
          <w:rFonts w:ascii="Calibri" w:hAnsi="Calibri" w:cs="Calibri"/>
          <w:lang w:val="en-US"/>
        </w:rPr>
        <w:t>. Navigating these diverse priorities required nuanced negotiation and strategic compromise to achieve consensus and maintain progress toward shared objectives</w:t>
      </w:r>
      <w:r w:rsidR="00E60CE2">
        <w:rPr>
          <w:rFonts w:ascii="Calibri" w:hAnsi="Calibri" w:cs="Calibri"/>
          <w:lang w:val="en-US"/>
        </w:rPr>
        <w:t>, reaching thereby the project results</w:t>
      </w:r>
      <w:r w:rsidRPr="00F569AE">
        <w:rPr>
          <w:rFonts w:ascii="Calibri" w:hAnsi="Calibri" w:cs="Calibri"/>
          <w:lang w:val="en-US"/>
        </w:rPr>
        <w:t>. At this level, hugely adaptive efforts were invested by the project management</w:t>
      </w:r>
      <w:r w:rsidR="00E60CE2">
        <w:rPr>
          <w:rFonts w:ascii="Calibri" w:hAnsi="Calibri" w:cs="Calibri"/>
          <w:lang w:val="en-US"/>
        </w:rPr>
        <w:t xml:space="preserve"> to ensure effectiveness of its implementation</w:t>
      </w:r>
      <w:r w:rsidRPr="00F569AE">
        <w:rPr>
          <w:rFonts w:ascii="Calibri" w:hAnsi="Calibri" w:cs="Calibri"/>
          <w:lang w:val="en-US"/>
        </w:rPr>
        <w:t>.</w:t>
      </w:r>
    </w:p>
    <w:p w14:paraId="5349DECB" w14:textId="77777777" w:rsidR="003668C2" w:rsidRPr="00F569AE" w:rsidRDefault="003668C2" w:rsidP="003668C2">
      <w:pPr>
        <w:spacing w:line="276" w:lineRule="auto"/>
        <w:jc w:val="both"/>
        <w:rPr>
          <w:rFonts w:ascii="Calibri" w:hAnsi="Calibri" w:cs="Calibri"/>
          <w:lang w:val="en-US"/>
        </w:rPr>
      </w:pPr>
    </w:p>
    <w:p w14:paraId="53F5062F" w14:textId="77777777" w:rsidR="003668C2" w:rsidRPr="00F569AE" w:rsidRDefault="003668C2" w:rsidP="003668C2">
      <w:pPr>
        <w:spacing w:line="276" w:lineRule="auto"/>
        <w:jc w:val="both"/>
        <w:rPr>
          <w:rFonts w:ascii="Calibri" w:hAnsi="Calibri" w:cs="Calibri"/>
          <w:lang w:val="en-US"/>
        </w:rPr>
      </w:pPr>
      <w:r w:rsidRPr="00F569AE">
        <w:rPr>
          <w:rFonts w:ascii="Calibri" w:hAnsi="Calibri" w:cs="Calibri"/>
          <w:lang w:val="en-US"/>
        </w:rPr>
        <w:t xml:space="preserve">Adaptive management within the project was also expected to be closely connected with the upfront management of the project complexities and, hence, with the strategic planning and proactive management of external stakeholders’ expectations, particularly those of donors. The balance between operational and strategic planning could be further improved with explicit focus on the importance of maintaining continuous alignment with the donors’ objectives, timelines, and reporting requirements.  </w:t>
      </w:r>
    </w:p>
    <w:p w14:paraId="79FB1D40" w14:textId="77777777" w:rsidR="003668C2" w:rsidRPr="00F569AE" w:rsidRDefault="003668C2" w:rsidP="003668C2">
      <w:pPr>
        <w:rPr>
          <w:lang w:val="en-US"/>
        </w:rPr>
      </w:pPr>
    </w:p>
    <w:p w14:paraId="19783D84" w14:textId="36DB1717" w:rsidR="003668C2" w:rsidRDefault="003668C2" w:rsidP="003668C2">
      <w:pPr>
        <w:spacing w:line="276" w:lineRule="auto"/>
        <w:jc w:val="both"/>
        <w:rPr>
          <w:rFonts w:ascii="Calibri" w:hAnsi="Calibri" w:cs="Calibri"/>
          <w:lang w:val="en-US"/>
        </w:rPr>
      </w:pPr>
      <w:r w:rsidRPr="00F569AE">
        <w:rPr>
          <w:rFonts w:ascii="Calibri" w:hAnsi="Calibri" w:cs="Calibri"/>
          <w:lang w:val="en-US"/>
        </w:rPr>
        <w:t>To fully realize the potential of adaptive management</w:t>
      </w:r>
      <w:r w:rsidR="00E60CE2">
        <w:rPr>
          <w:rFonts w:ascii="Calibri" w:hAnsi="Calibri" w:cs="Calibri"/>
          <w:lang w:val="en-US"/>
        </w:rPr>
        <w:t xml:space="preserve"> for </w:t>
      </w:r>
      <w:r w:rsidR="00D02176">
        <w:rPr>
          <w:rFonts w:ascii="Calibri" w:hAnsi="Calibri" w:cs="Calibri"/>
          <w:lang w:val="en-US"/>
        </w:rPr>
        <w:t xml:space="preserve">the </w:t>
      </w:r>
      <w:r w:rsidR="00E60CE2">
        <w:rPr>
          <w:rFonts w:ascii="Calibri" w:hAnsi="Calibri" w:cs="Calibri"/>
          <w:lang w:val="en-US"/>
        </w:rPr>
        <w:t>effectiveness of the project implementation</w:t>
      </w:r>
      <w:r w:rsidRPr="00F569AE">
        <w:rPr>
          <w:rFonts w:ascii="Calibri" w:hAnsi="Calibri" w:cs="Calibri"/>
          <w:lang w:val="en-US"/>
        </w:rPr>
        <w:t xml:space="preserve">, not only was flexibility in day-to-day operations required, but also a culture and structure that prioritize iterative learning, embracing uncertainty, and honest appraisal of both achievements and shortcomings. This expectation highlighted a need for the Project Board to assume a more active and visible position in guiding the project’s strategic direction, oversight, and adaptive management.  Stronger engagement of the Project Board was critical not only to fostered accountability mechanisms but also to ensure that vital insights on project dynamics were promptly raised, reflected, and translated into shared operational picture. </w:t>
      </w:r>
    </w:p>
    <w:p w14:paraId="58FFA27A" w14:textId="77777777" w:rsidR="000F68F0" w:rsidRDefault="000F68F0" w:rsidP="003668C2">
      <w:pPr>
        <w:spacing w:line="276" w:lineRule="auto"/>
        <w:jc w:val="both"/>
        <w:rPr>
          <w:rFonts w:ascii="Calibri" w:hAnsi="Calibri" w:cs="Calibri"/>
          <w:lang w:val="en-US"/>
        </w:rPr>
      </w:pPr>
    </w:p>
    <w:p w14:paraId="6BB145FC" w14:textId="77777777" w:rsidR="00314E38" w:rsidRDefault="00314E38" w:rsidP="003668C2">
      <w:pPr>
        <w:spacing w:line="276" w:lineRule="auto"/>
        <w:jc w:val="both"/>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314E38" w14:paraId="0DF3F56E" w14:textId="77777777" w:rsidTr="00314E38">
        <w:tc>
          <w:tcPr>
            <w:tcW w:w="9010" w:type="dxa"/>
            <w:shd w:val="clear" w:color="auto" w:fill="F2F2F2" w:themeFill="background1" w:themeFillShade="F2"/>
          </w:tcPr>
          <w:p w14:paraId="661F6689" w14:textId="5085B62A" w:rsidR="00314E38" w:rsidRDefault="00314E38" w:rsidP="003668C2">
            <w:pPr>
              <w:spacing w:line="276" w:lineRule="auto"/>
              <w:jc w:val="both"/>
              <w:rPr>
                <w:rFonts w:ascii="Calibri" w:hAnsi="Calibri" w:cs="Calibri"/>
                <w:b/>
                <w:i/>
                <w:lang w:val="en-US"/>
              </w:rPr>
            </w:pPr>
            <w:r w:rsidRPr="00314E38">
              <w:rPr>
                <w:rFonts w:ascii="Calibri" w:hAnsi="Calibri" w:cs="Calibri"/>
                <w:b/>
                <w:i/>
                <w:lang w:val="en-US"/>
              </w:rPr>
              <w:lastRenderedPageBreak/>
              <w:t>Additional note on systems analysis</w:t>
            </w:r>
          </w:p>
          <w:p w14:paraId="6ED1EC28" w14:textId="77777777" w:rsidR="00F369DD" w:rsidRDefault="00F369DD" w:rsidP="003668C2">
            <w:pPr>
              <w:spacing w:line="276" w:lineRule="auto"/>
              <w:jc w:val="both"/>
              <w:rPr>
                <w:rFonts w:ascii="Calibri" w:hAnsi="Calibri" w:cs="Calibri"/>
                <w:b/>
                <w:i/>
                <w:lang w:val="en-US"/>
              </w:rPr>
            </w:pPr>
          </w:p>
          <w:tbl>
            <w:tblPr>
              <w:tblStyle w:val="TableGrid"/>
              <w:tblW w:w="0" w:type="auto"/>
              <w:tblLayout w:type="fixed"/>
              <w:tblLook w:val="04A0" w:firstRow="1" w:lastRow="0" w:firstColumn="1" w:lastColumn="0" w:noHBand="0" w:noVBand="1"/>
            </w:tblPr>
            <w:tblGrid>
              <w:gridCol w:w="4652"/>
              <w:gridCol w:w="846"/>
              <w:gridCol w:w="2489"/>
              <w:gridCol w:w="797"/>
            </w:tblGrid>
            <w:tr w:rsidR="00F369DD" w:rsidRPr="00244684" w14:paraId="7AC1E2E9" w14:textId="77777777" w:rsidTr="000F68F0">
              <w:tc>
                <w:tcPr>
                  <w:tcW w:w="4652" w:type="dxa"/>
                </w:tcPr>
                <w:p w14:paraId="5810D367" w14:textId="77777777" w:rsidR="00F369DD" w:rsidRPr="00244684" w:rsidRDefault="00F369DD" w:rsidP="00F369DD">
                  <w:pPr>
                    <w:rPr>
                      <w:rFonts w:ascii="Calibri" w:hAnsi="Calibri" w:cs="Calibri"/>
                      <w:b/>
                      <w:bCs/>
                      <w:i/>
                      <w:iCs/>
                      <w:sz w:val="18"/>
                      <w:szCs w:val="18"/>
                      <w:lang w:val="en-US"/>
                    </w:rPr>
                  </w:pPr>
                  <w:r w:rsidRPr="00244684">
                    <w:rPr>
                      <w:rFonts w:ascii="Calibri" w:hAnsi="Calibri" w:cs="Calibri"/>
                      <w:b/>
                      <w:bCs/>
                      <w:i/>
                      <w:iCs/>
                      <w:sz w:val="18"/>
                      <w:szCs w:val="18"/>
                      <w:lang w:val="en-US"/>
                    </w:rPr>
                    <w:t>System analysis: Key elements of the Water service system in BiH at its governance level</w:t>
                  </w:r>
                </w:p>
              </w:tc>
              <w:tc>
                <w:tcPr>
                  <w:tcW w:w="846" w:type="dxa"/>
                </w:tcPr>
                <w:p w14:paraId="188B005F" w14:textId="77777777" w:rsidR="00F369DD" w:rsidRPr="00244684" w:rsidRDefault="00F369DD" w:rsidP="00F369DD">
                  <w:pPr>
                    <w:rPr>
                      <w:rFonts w:ascii="Calibri" w:hAnsi="Calibri" w:cs="Calibri"/>
                      <w:b/>
                      <w:bCs/>
                      <w:i/>
                      <w:iCs/>
                      <w:sz w:val="18"/>
                      <w:szCs w:val="18"/>
                      <w:lang w:val="en-US"/>
                    </w:rPr>
                  </w:pPr>
                  <w:r>
                    <w:rPr>
                      <w:rFonts w:ascii="Calibri" w:hAnsi="Calibri" w:cs="Calibri"/>
                      <w:b/>
                      <w:bCs/>
                      <w:i/>
                      <w:iCs/>
                      <w:sz w:val="18"/>
                      <w:szCs w:val="18"/>
                      <w:lang w:val="en-US"/>
                    </w:rPr>
                    <w:t>System change</w:t>
                  </w:r>
                </w:p>
              </w:tc>
              <w:tc>
                <w:tcPr>
                  <w:tcW w:w="2489" w:type="dxa"/>
                </w:tcPr>
                <w:p w14:paraId="2799E9D8" w14:textId="77777777" w:rsidR="00F369DD" w:rsidRPr="00244684" w:rsidRDefault="00F369DD" w:rsidP="00F369DD">
                  <w:pPr>
                    <w:spacing w:line="276" w:lineRule="auto"/>
                    <w:rPr>
                      <w:rFonts w:ascii="Calibri" w:hAnsi="Calibri" w:cs="Calibri"/>
                      <w:b/>
                      <w:bCs/>
                      <w:i/>
                      <w:iCs/>
                      <w:sz w:val="18"/>
                      <w:szCs w:val="18"/>
                      <w:lang w:val="en-US"/>
                    </w:rPr>
                  </w:pPr>
                  <w:r w:rsidRPr="00244684">
                    <w:rPr>
                      <w:rFonts w:ascii="Calibri" w:hAnsi="Calibri" w:cs="Calibri"/>
                      <w:b/>
                      <w:bCs/>
                      <w:i/>
                      <w:iCs/>
                      <w:sz w:val="18"/>
                      <w:szCs w:val="18"/>
                      <w:lang w:val="en-US"/>
                    </w:rPr>
                    <w:t>System analysis: Key elements of the Water service system in BiH at its infrastructure level</w:t>
                  </w:r>
                </w:p>
                <w:p w14:paraId="56ACD930" w14:textId="77777777" w:rsidR="00F369DD" w:rsidRPr="00244684" w:rsidRDefault="00F369DD" w:rsidP="00F369DD">
                  <w:pPr>
                    <w:rPr>
                      <w:rFonts w:ascii="Calibri" w:hAnsi="Calibri" w:cs="Calibri"/>
                      <w:b/>
                      <w:bCs/>
                      <w:i/>
                      <w:iCs/>
                      <w:sz w:val="18"/>
                      <w:szCs w:val="18"/>
                      <w:lang w:val="en-US"/>
                    </w:rPr>
                  </w:pPr>
                </w:p>
              </w:tc>
              <w:tc>
                <w:tcPr>
                  <w:tcW w:w="797" w:type="dxa"/>
                </w:tcPr>
                <w:p w14:paraId="4014D87C" w14:textId="77777777" w:rsidR="00F369DD" w:rsidRPr="00244684" w:rsidRDefault="00F369DD" w:rsidP="00F369DD">
                  <w:pPr>
                    <w:rPr>
                      <w:rFonts w:ascii="Calibri" w:hAnsi="Calibri" w:cs="Calibri"/>
                      <w:b/>
                      <w:bCs/>
                      <w:i/>
                      <w:iCs/>
                      <w:sz w:val="18"/>
                      <w:szCs w:val="18"/>
                      <w:lang w:val="en-US"/>
                    </w:rPr>
                  </w:pPr>
                  <w:r>
                    <w:rPr>
                      <w:rFonts w:ascii="Calibri" w:hAnsi="Calibri" w:cs="Calibri"/>
                      <w:b/>
                      <w:bCs/>
                      <w:i/>
                      <w:iCs/>
                      <w:sz w:val="18"/>
                      <w:szCs w:val="18"/>
                      <w:lang w:val="en-US"/>
                    </w:rPr>
                    <w:t>System change</w:t>
                  </w:r>
                </w:p>
              </w:tc>
            </w:tr>
            <w:tr w:rsidR="00F369DD" w:rsidRPr="00244684" w14:paraId="6E1E4935" w14:textId="77777777" w:rsidTr="000F68F0">
              <w:tc>
                <w:tcPr>
                  <w:tcW w:w="4652" w:type="dxa"/>
                </w:tcPr>
                <w:p w14:paraId="7B2B0AFD" w14:textId="77777777" w:rsidR="00F369DD" w:rsidRPr="00244684" w:rsidRDefault="00F369DD" w:rsidP="00F369DD">
                  <w:pPr>
                    <w:spacing w:line="276" w:lineRule="auto"/>
                    <w:rPr>
                      <w:rFonts w:ascii="Calibri" w:hAnsi="Calibri" w:cs="Calibri"/>
                      <w:sz w:val="18"/>
                      <w:szCs w:val="18"/>
                      <w:lang w:val="en-US"/>
                    </w:rPr>
                  </w:pPr>
                  <w:r w:rsidRPr="00244684">
                    <w:rPr>
                      <w:rFonts w:ascii="Calibri" w:hAnsi="Calibri" w:cs="Calibri"/>
                      <w:sz w:val="18"/>
                      <w:szCs w:val="18"/>
                      <w:lang w:val="en-US"/>
                    </w:rPr>
                    <w:t>1: Absence of water service regulatory framework in BiH</w:t>
                  </w:r>
                </w:p>
              </w:tc>
              <w:tc>
                <w:tcPr>
                  <w:tcW w:w="846" w:type="dxa"/>
                  <w:shd w:val="clear" w:color="auto" w:fill="D9F2D0" w:themeFill="accent6" w:themeFillTint="33"/>
                </w:tcPr>
                <w:p w14:paraId="3D517FF9" w14:textId="77777777" w:rsidR="00F369DD" w:rsidRPr="00244684" w:rsidRDefault="00F369DD" w:rsidP="00F369DD">
                  <w:pPr>
                    <w:rPr>
                      <w:rFonts w:ascii="Calibri" w:hAnsi="Calibri" w:cs="Calibri"/>
                      <w:sz w:val="18"/>
                      <w:szCs w:val="18"/>
                      <w:lang w:val="en-US"/>
                    </w:rPr>
                  </w:pPr>
                </w:p>
              </w:tc>
              <w:tc>
                <w:tcPr>
                  <w:tcW w:w="2489" w:type="dxa"/>
                </w:tcPr>
                <w:p w14:paraId="7AA75B3B" w14:textId="77777777" w:rsidR="00F369DD" w:rsidRPr="00244684" w:rsidRDefault="00F369DD" w:rsidP="00F369DD">
                  <w:pPr>
                    <w:spacing w:line="276" w:lineRule="auto"/>
                    <w:rPr>
                      <w:rFonts w:ascii="Calibri" w:hAnsi="Calibri" w:cs="Calibri"/>
                      <w:color w:val="000000" w:themeColor="text1"/>
                      <w:sz w:val="18"/>
                      <w:szCs w:val="18"/>
                      <w:lang w:val="en-US"/>
                    </w:rPr>
                  </w:pPr>
                  <w:r w:rsidRPr="00244684">
                    <w:rPr>
                      <w:rFonts w:ascii="Calibri" w:hAnsi="Calibri" w:cs="Calibri"/>
                      <w:color w:val="000000" w:themeColor="text1"/>
                      <w:sz w:val="18"/>
                      <w:szCs w:val="18"/>
                      <w:lang w:val="en-US"/>
                    </w:rPr>
                    <w:t>1: Asset ownership and weak (legal) practices associated with property transfer / entrustment of the assets from LGs to WUs for operation and maintenance.</w:t>
                  </w:r>
                </w:p>
              </w:tc>
              <w:tc>
                <w:tcPr>
                  <w:tcW w:w="797" w:type="dxa"/>
                  <w:shd w:val="clear" w:color="auto" w:fill="FAE2D5" w:themeFill="accent2" w:themeFillTint="33"/>
                </w:tcPr>
                <w:p w14:paraId="0163D63B" w14:textId="77777777" w:rsidR="00F369DD" w:rsidRPr="00244684" w:rsidRDefault="00F369DD" w:rsidP="00F369DD">
                  <w:pPr>
                    <w:rPr>
                      <w:rFonts w:ascii="Calibri" w:hAnsi="Calibri" w:cs="Calibri"/>
                      <w:sz w:val="18"/>
                      <w:szCs w:val="18"/>
                      <w:lang w:val="en-US"/>
                    </w:rPr>
                  </w:pPr>
                </w:p>
              </w:tc>
            </w:tr>
            <w:tr w:rsidR="00F369DD" w:rsidRPr="00244684" w14:paraId="61CFDB90" w14:textId="77777777" w:rsidTr="000F68F0">
              <w:tc>
                <w:tcPr>
                  <w:tcW w:w="4652" w:type="dxa"/>
                </w:tcPr>
                <w:p w14:paraId="1AEB63CE" w14:textId="77777777" w:rsidR="00F369DD" w:rsidRPr="00244684" w:rsidRDefault="00F369DD" w:rsidP="00F369DD">
                  <w:pPr>
                    <w:spacing w:line="276" w:lineRule="auto"/>
                    <w:rPr>
                      <w:rFonts w:ascii="Calibri" w:hAnsi="Calibri" w:cs="Calibri"/>
                      <w:sz w:val="18"/>
                      <w:szCs w:val="18"/>
                      <w:lang w:val="en-US"/>
                    </w:rPr>
                  </w:pPr>
                  <w:r w:rsidRPr="00244684">
                    <w:rPr>
                      <w:rFonts w:ascii="Calibri" w:hAnsi="Calibri" w:cs="Calibri"/>
                      <w:sz w:val="18"/>
                      <w:szCs w:val="18"/>
                      <w:lang w:val="en-US"/>
                    </w:rPr>
                    <w:t>2: Absence of proper tariff methodology and sustainable tariff setting</w:t>
                  </w:r>
                </w:p>
              </w:tc>
              <w:tc>
                <w:tcPr>
                  <w:tcW w:w="846" w:type="dxa"/>
                  <w:shd w:val="clear" w:color="auto" w:fill="D9F2D0" w:themeFill="accent6" w:themeFillTint="33"/>
                </w:tcPr>
                <w:p w14:paraId="536083EA" w14:textId="77777777" w:rsidR="00F369DD" w:rsidRPr="00244684" w:rsidRDefault="00F369DD" w:rsidP="00F369DD">
                  <w:pPr>
                    <w:rPr>
                      <w:rFonts w:ascii="Calibri" w:hAnsi="Calibri" w:cs="Calibri"/>
                      <w:sz w:val="18"/>
                      <w:szCs w:val="18"/>
                      <w:lang w:val="en-US"/>
                    </w:rPr>
                  </w:pPr>
                </w:p>
              </w:tc>
              <w:tc>
                <w:tcPr>
                  <w:tcW w:w="2489" w:type="dxa"/>
                </w:tcPr>
                <w:p w14:paraId="38B19D0C" w14:textId="77777777" w:rsidR="00F369DD" w:rsidRPr="00244684" w:rsidRDefault="00F369DD" w:rsidP="00F369DD">
                  <w:pPr>
                    <w:spacing w:line="276" w:lineRule="auto"/>
                    <w:rPr>
                      <w:rFonts w:ascii="Calibri" w:hAnsi="Calibri" w:cs="Calibri"/>
                      <w:color w:val="000000" w:themeColor="text1"/>
                      <w:sz w:val="18"/>
                      <w:szCs w:val="18"/>
                      <w:lang w:val="en-US"/>
                    </w:rPr>
                  </w:pPr>
                  <w:r w:rsidRPr="00244684">
                    <w:rPr>
                      <w:rFonts w:ascii="Calibri" w:hAnsi="Calibri" w:cs="Calibri"/>
                      <w:color w:val="000000" w:themeColor="text1"/>
                      <w:sz w:val="18"/>
                      <w:szCs w:val="18"/>
                      <w:lang w:val="en-US"/>
                    </w:rPr>
                    <w:t xml:space="preserve">2: Safety of drinking water (drinking water quality) / </w:t>
                  </w:r>
                  <w:r w:rsidRPr="00244684">
                    <w:rPr>
                      <w:rFonts w:ascii="Calibri" w:hAnsi="Calibri" w:cs="Calibri"/>
                      <w:color w:val="000000" w:themeColor="text1"/>
                      <w:kern w:val="2"/>
                      <w:sz w:val="18"/>
                      <w:szCs w:val="18"/>
                      <w:lang w:val="en-US"/>
                    </w:rPr>
                    <w:t>Drinking water protection zones established (at least physically at the water sources), disinfection automated, periodic monitoring of the water quality by the autonomous institution (direct responsibility of the LGs defined by the Water Law)</w:t>
                  </w:r>
                </w:p>
              </w:tc>
              <w:tc>
                <w:tcPr>
                  <w:tcW w:w="797" w:type="dxa"/>
                </w:tcPr>
                <w:p w14:paraId="10E2A490" w14:textId="77777777" w:rsidR="00F369DD" w:rsidRPr="00244684" w:rsidRDefault="00F369DD" w:rsidP="00F369DD">
                  <w:pPr>
                    <w:rPr>
                      <w:rFonts w:ascii="Calibri" w:hAnsi="Calibri" w:cs="Calibri"/>
                      <w:sz w:val="18"/>
                      <w:szCs w:val="18"/>
                      <w:lang w:val="en-US"/>
                    </w:rPr>
                  </w:pPr>
                </w:p>
              </w:tc>
            </w:tr>
            <w:tr w:rsidR="00F369DD" w:rsidRPr="00244684" w14:paraId="52675E82" w14:textId="77777777" w:rsidTr="000F68F0">
              <w:tc>
                <w:tcPr>
                  <w:tcW w:w="4652" w:type="dxa"/>
                </w:tcPr>
                <w:p w14:paraId="7E270670" w14:textId="77777777" w:rsidR="00F369DD" w:rsidRPr="00244684" w:rsidRDefault="00F369DD" w:rsidP="00F369DD">
                  <w:pPr>
                    <w:spacing w:line="276" w:lineRule="auto"/>
                    <w:rPr>
                      <w:rFonts w:ascii="Calibri" w:hAnsi="Calibri" w:cs="Calibri"/>
                      <w:sz w:val="18"/>
                      <w:szCs w:val="18"/>
                      <w:lang w:val="en-US"/>
                    </w:rPr>
                  </w:pPr>
                  <w:r w:rsidRPr="00244684">
                    <w:rPr>
                      <w:rFonts w:ascii="Calibri" w:hAnsi="Calibri" w:cs="Calibri"/>
                      <w:sz w:val="18"/>
                      <w:szCs w:val="18"/>
                      <w:lang w:val="en-US"/>
                    </w:rPr>
                    <w:t xml:space="preserve">3: Too low tariff level insufficient to cover operational and maintenance costs </w:t>
                  </w:r>
                </w:p>
              </w:tc>
              <w:tc>
                <w:tcPr>
                  <w:tcW w:w="846" w:type="dxa"/>
                  <w:shd w:val="clear" w:color="auto" w:fill="D9F2D0" w:themeFill="accent6" w:themeFillTint="33"/>
                </w:tcPr>
                <w:p w14:paraId="3A2F02CE" w14:textId="77777777" w:rsidR="00F369DD" w:rsidRPr="00244684" w:rsidRDefault="00F369DD" w:rsidP="00F369DD">
                  <w:pPr>
                    <w:rPr>
                      <w:rFonts w:ascii="Calibri" w:hAnsi="Calibri" w:cs="Calibri"/>
                      <w:sz w:val="18"/>
                      <w:szCs w:val="18"/>
                      <w:lang w:val="en-US"/>
                    </w:rPr>
                  </w:pPr>
                </w:p>
              </w:tc>
              <w:tc>
                <w:tcPr>
                  <w:tcW w:w="2489" w:type="dxa"/>
                </w:tcPr>
                <w:p w14:paraId="388B65F0" w14:textId="77777777" w:rsidR="00F369DD" w:rsidRPr="00244684" w:rsidRDefault="00F369DD" w:rsidP="00F369DD">
                  <w:pPr>
                    <w:spacing w:line="276" w:lineRule="auto"/>
                    <w:rPr>
                      <w:rFonts w:ascii="Calibri" w:hAnsi="Calibri" w:cs="Calibri"/>
                      <w:color w:val="000000" w:themeColor="text1"/>
                      <w:sz w:val="18"/>
                      <w:szCs w:val="18"/>
                      <w:lang w:val="en-US"/>
                    </w:rPr>
                  </w:pPr>
                  <w:r w:rsidRPr="00244684">
                    <w:rPr>
                      <w:rFonts w:ascii="Calibri" w:hAnsi="Calibri" w:cs="Calibri"/>
                      <w:color w:val="000000" w:themeColor="text1"/>
                      <w:sz w:val="18"/>
                      <w:szCs w:val="18"/>
                      <w:lang w:val="en-US"/>
                    </w:rPr>
                    <w:t>3: Security of drinking water (drinking water accessibility)</w:t>
                  </w:r>
                </w:p>
                <w:p w14:paraId="56D27E81" w14:textId="77777777" w:rsidR="00F369DD" w:rsidRPr="00244684" w:rsidRDefault="00F369DD" w:rsidP="00F369DD">
                  <w:pPr>
                    <w:rPr>
                      <w:rFonts w:ascii="Calibri" w:hAnsi="Calibri" w:cs="Calibri"/>
                      <w:sz w:val="18"/>
                      <w:szCs w:val="18"/>
                      <w:lang w:val="en-US"/>
                    </w:rPr>
                  </w:pPr>
                </w:p>
              </w:tc>
              <w:tc>
                <w:tcPr>
                  <w:tcW w:w="797" w:type="dxa"/>
                </w:tcPr>
                <w:p w14:paraId="644BFE4B" w14:textId="77777777" w:rsidR="00F369DD" w:rsidRPr="00244684" w:rsidRDefault="00F369DD" w:rsidP="00F369DD">
                  <w:pPr>
                    <w:rPr>
                      <w:rFonts w:ascii="Calibri" w:hAnsi="Calibri" w:cs="Calibri"/>
                      <w:sz w:val="18"/>
                      <w:szCs w:val="18"/>
                      <w:lang w:val="en-US"/>
                    </w:rPr>
                  </w:pPr>
                </w:p>
              </w:tc>
            </w:tr>
            <w:tr w:rsidR="00F369DD" w:rsidRPr="00244684" w14:paraId="3A854254" w14:textId="77777777" w:rsidTr="000F68F0">
              <w:tc>
                <w:tcPr>
                  <w:tcW w:w="4652" w:type="dxa"/>
                </w:tcPr>
                <w:p w14:paraId="62A18434" w14:textId="77777777" w:rsidR="00F369DD" w:rsidRPr="00244684" w:rsidRDefault="00F369DD" w:rsidP="00F369DD">
                  <w:pPr>
                    <w:spacing w:line="276" w:lineRule="auto"/>
                    <w:rPr>
                      <w:rFonts w:ascii="Calibri" w:hAnsi="Calibri" w:cs="Calibri"/>
                      <w:sz w:val="18"/>
                      <w:szCs w:val="18"/>
                      <w:lang w:val="en-US"/>
                    </w:rPr>
                  </w:pPr>
                  <w:r w:rsidRPr="00244684">
                    <w:rPr>
                      <w:rFonts w:ascii="Calibri" w:hAnsi="Calibri" w:cs="Calibri"/>
                      <w:sz w:val="18"/>
                      <w:szCs w:val="18"/>
                      <w:lang w:val="en-US"/>
                    </w:rPr>
                    <w:t xml:space="preserve">4: </w:t>
                  </w:r>
                  <w:r w:rsidRPr="00244684">
                    <w:rPr>
                      <w:rFonts w:ascii="Calibri" w:hAnsi="Calibri" w:cs="Calibri"/>
                      <w:kern w:val="2"/>
                      <w:sz w:val="18"/>
                      <w:szCs w:val="18"/>
                      <w:lang w:val="en-US"/>
                    </w:rPr>
                    <w:t>Inadequate organization and systematization of working places of the WUCs in relation to Full Time Equivalent standard</w:t>
                  </w:r>
                  <w:r w:rsidRPr="00244684">
                    <w:rPr>
                      <w:rFonts w:ascii="Calibri" w:hAnsi="Calibri" w:cs="Calibri"/>
                      <w:sz w:val="18"/>
                      <w:szCs w:val="18"/>
                      <w:lang w:val="en-US"/>
                    </w:rPr>
                    <w:t xml:space="preserve"> </w:t>
                  </w:r>
                </w:p>
              </w:tc>
              <w:tc>
                <w:tcPr>
                  <w:tcW w:w="846" w:type="dxa"/>
                  <w:shd w:val="clear" w:color="auto" w:fill="D9F2D0" w:themeFill="accent6" w:themeFillTint="33"/>
                </w:tcPr>
                <w:p w14:paraId="6959BD11" w14:textId="77777777" w:rsidR="00F369DD" w:rsidRPr="00244684" w:rsidRDefault="00F369DD" w:rsidP="00F369DD">
                  <w:pPr>
                    <w:rPr>
                      <w:rFonts w:ascii="Calibri" w:hAnsi="Calibri" w:cs="Calibri"/>
                      <w:sz w:val="18"/>
                      <w:szCs w:val="18"/>
                      <w:lang w:val="en-US"/>
                    </w:rPr>
                  </w:pPr>
                </w:p>
              </w:tc>
              <w:tc>
                <w:tcPr>
                  <w:tcW w:w="2489" w:type="dxa"/>
                </w:tcPr>
                <w:p w14:paraId="32B730E2" w14:textId="77777777" w:rsidR="00F369DD" w:rsidRPr="00244684" w:rsidRDefault="00F369DD" w:rsidP="00F369DD">
                  <w:pPr>
                    <w:spacing w:line="276" w:lineRule="auto"/>
                    <w:rPr>
                      <w:rFonts w:ascii="Calibri" w:hAnsi="Calibri" w:cs="Calibri"/>
                      <w:color w:val="000000" w:themeColor="text1"/>
                      <w:sz w:val="18"/>
                      <w:szCs w:val="18"/>
                      <w:lang w:val="en-US"/>
                    </w:rPr>
                  </w:pPr>
                  <w:r w:rsidRPr="00244684">
                    <w:rPr>
                      <w:rFonts w:ascii="Calibri" w:hAnsi="Calibri" w:cs="Calibri"/>
                      <w:color w:val="000000" w:themeColor="text1"/>
                      <w:sz w:val="18"/>
                      <w:szCs w:val="18"/>
                      <w:lang w:val="en-US"/>
                    </w:rPr>
                    <w:t xml:space="preserve">4: Quality of infrastructure </w:t>
                  </w:r>
                </w:p>
                <w:p w14:paraId="38DB23AC" w14:textId="77777777" w:rsidR="00F369DD" w:rsidRPr="00244684" w:rsidRDefault="00F369DD" w:rsidP="00F369DD">
                  <w:pPr>
                    <w:rPr>
                      <w:rFonts w:ascii="Calibri" w:hAnsi="Calibri" w:cs="Calibri"/>
                      <w:sz w:val="18"/>
                      <w:szCs w:val="18"/>
                      <w:lang w:val="en-US"/>
                    </w:rPr>
                  </w:pPr>
                </w:p>
              </w:tc>
              <w:tc>
                <w:tcPr>
                  <w:tcW w:w="797" w:type="dxa"/>
                  <w:shd w:val="clear" w:color="auto" w:fill="FAE2D5" w:themeFill="accent2" w:themeFillTint="33"/>
                </w:tcPr>
                <w:p w14:paraId="49F44198" w14:textId="77777777" w:rsidR="00F369DD" w:rsidRPr="00244684" w:rsidRDefault="00F369DD" w:rsidP="00F369DD">
                  <w:pPr>
                    <w:rPr>
                      <w:rFonts w:ascii="Calibri" w:hAnsi="Calibri" w:cs="Calibri"/>
                      <w:sz w:val="18"/>
                      <w:szCs w:val="18"/>
                      <w:lang w:val="en-US"/>
                    </w:rPr>
                  </w:pPr>
                </w:p>
              </w:tc>
            </w:tr>
            <w:tr w:rsidR="00F369DD" w:rsidRPr="00244684" w14:paraId="3EAC1084" w14:textId="77777777" w:rsidTr="000F68F0">
              <w:tc>
                <w:tcPr>
                  <w:tcW w:w="4652" w:type="dxa"/>
                </w:tcPr>
                <w:p w14:paraId="254E6FC0" w14:textId="77777777" w:rsidR="00F369DD" w:rsidRPr="00244684" w:rsidRDefault="00F369DD" w:rsidP="00F369DD">
                  <w:pPr>
                    <w:spacing w:line="276" w:lineRule="auto"/>
                    <w:rPr>
                      <w:rFonts w:ascii="Calibri" w:hAnsi="Calibri" w:cs="Calibri"/>
                      <w:sz w:val="18"/>
                      <w:szCs w:val="18"/>
                      <w:lang w:val="en-US"/>
                    </w:rPr>
                  </w:pPr>
                  <w:r w:rsidRPr="00244684">
                    <w:rPr>
                      <w:rFonts w:ascii="Calibri" w:hAnsi="Calibri" w:cs="Calibri"/>
                      <w:sz w:val="18"/>
                      <w:szCs w:val="18"/>
                      <w:lang w:val="en-US"/>
                    </w:rPr>
                    <w:t>5: High sensitivity of water service tariff for political (populist) reasons in the absence of direct subventions for social/vulnerable categories</w:t>
                  </w:r>
                </w:p>
              </w:tc>
              <w:tc>
                <w:tcPr>
                  <w:tcW w:w="846" w:type="dxa"/>
                  <w:shd w:val="clear" w:color="auto" w:fill="D9F2D0" w:themeFill="accent6" w:themeFillTint="33"/>
                </w:tcPr>
                <w:p w14:paraId="4D21ED6B" w14:textId="77777777" w:rsidR="00F369DD" w:rsidRPr="00244684" w:rsidRDefault="00F369DD" w:rsidP="00F369DD">
                  <w:pPr>
                    <w:rPr>
                      <w:rFonts w:ascii="Calibri" w:hAnsi="Calibri" w:cs="Calibri"/>
                      <w:sz w:val="18"/>
                      <w:szCs w:val="18"/>
                      <w:lang w:val="en-US"/>
                    </w:rPr>
                  </w:pPr>
                </w:p>
              </w:tc>
              <w:tc>
                <w:tcPr>
                  <w:tcW w:w="2489" w:type="dxa"/>
                </w:tcPr>
                <w:p w14:paraId="299E0574" w14:textId="77777777" w:rsidR="00F369DD" w:rsidRPr="00244684" w:rsidRDefault="00F369DD" w:rsidP="00F369DD">
                  <w:pPr>
                    <w:spacing w:line="276" w:lineRule="auto"/>
                    <w:rPr>
                      <w:rFonts w:ascii="Calibri" w:hAnsi="Calibri" w:cs="Calibri"/>
                      <w:color w:val="000000" w:themeColor="text1"/>
                      <w:sz w:val="18"/>
                      <w:szCs w:val="18"/>
                      <w:lang w:val="en-US"/>
                    </w:rPr>
                  </w:pPr>
                  <w:r w:rsidRPr="00244684">
                    <w:rPr>
                      <w:rFonts w:ascii="Calibri" w:hAnsi="Calibri" w:cs="Calibri"/>
                      <w:color w:val="000000" w:themeColor="text1"/>
                      <w:sz w:val="18"/>
                      <w:szCs w:val="18"/>
                      <w:lang w:val="en-US"/>
                    </w:rPr>
                    <w:t>5: Access to external funding</w:t>
                  </w:r>
                </w:p>
                <w:p w14:paraId="2E43F5FA" w14:textId="77777777" w:rsidR="00F369DD" w:rsidRPr="00244684" w:rsidRDefault="00F369DD" w:rsidP="00F369DD">
                  <w:pPr>
                    <w:rPr>
                      <w:rFonts w:ascii="Calibri" w:hAnsi="Calibri" w:cs="Calibri"/>
                      <w:sz w:val="18"/>
                      <w:szCs w:val="18"/>
                      <w:lang w:val="en-US"/>
                    </w:rPr>
                  </w:pPr>
                </w:p>
              </w:tc>
              <w:tc>
                <w:tcPr>
                  <w:tcW w:w="797" w:type="dxa"/>
                  <w:shd w:val="clear" w:color="auto" w:fill="FAE2D5" w:themeFill="accent2" w:themeFillTint="33"/>
                </w:tcPr>
                <w:p w14:paraId="00405290" w14:textId="77777777" w:rsidR="00F369DD" w:rsidRPr="00244684" w:rsidRDefault="00F369DD" w:rsidP="00F369DD">
                  <w:pPr>
                    <w:rPr>
                      <w:rFonts w:ascii="Calibri" w:hAnsi="Calibri" w:cs="Calibri"/>
                      <w:sz w:val="18"/>
                      <w:szCs w:val="18"/>
                      <w:lang w:val="en-US"/>
                    </w:rPr>
                  </w:pPr>
                </w:p>
              </w:tc>
            </w:tr>
            <w:tr w:rsidR="00F369DD" w:rsidRPr="00244684" w14:paraId="4B795A68" w14:textId="77777777" w:rsidTr="000F68F0">
              <w:tc>
                <w:tcPr>
                  <w:tcW w:w="4652" w:type="dxa"/>
                </w:tcPr>
                <w:p w14:paraId="6A026641" w14:textId="77777777" w:rsidR="00F369DD" w:rsidRPr="00244684" w:rsidRDefault="00F369DD" w:rsidP="00F369DD">
                  <w:pPr>
                    <w:spacing w:line="276" w:lineRule="auto"/>
                    <w:rPr>
                      <w:rFonts w:ascii="Calibri" w:hAnsi="Calibri" w:cs="Calibri"/>
                      <w:sz w:val="18"/>
                      <w:szCs w:val="18"/>
                      <w:lang w:val="en-US"/>
                    </w:rPr>
                  </w:pPr>
                  <w:r w:rsidRPr="00244684">
                    <w:rPr>
                      <w:rFonts w:ascii="Calibri" w:hAnsi="Calibri" w:cs="Calibri"/>
                      <w:sz w:val="18"/>
                      <w:szCs w:val="18"/>
                      <w:lang w:val="en-US"/>
                    </w:rPr>
                    <w:t>6: Very strong political influence on tariff setting (through local Assemblies)</w:t>
                  </w:r>
                </w:p>
              </w:tc>
              <w:tc>
                <w:tcPr>
                  <w:tcW w:w="846" w:type="dxa"/>
                  <w:shd w:val="clear" w:color="auto" w:fill="D9F2D0" w:themeFill="accent6" w:themeFillTint="33"/>
                </w:tcPr>
                <w:p w14:paraId="7919ACB8" w14:textId="77777777" w:rsidR="00F369DD" w:rsidRPr="00244684" w:rsidRDefault="00F369DD" w:rsidP="00F369DD">
                  <w:pPr>
                    <w:rPr>
                      <w:rFonts w:ascii="Calibri" w:hAnsi="Calibri" w:cs="Calibri"/>
                      <w:sz w:val="18"/>
                      <w:szCs w:val="18"/>
                      <w:lang w:val="en-US"/>
                    </w:rPr>
                  </w:pPr>
                </w:p>
              </w:tc>
              <w:tc>
                <w:tcPr>
                  <w:tcW w:w="2489" w:type="dxa"/>
                </w:tcPr>
                <w:p w14:paraId="6903F844" w14:textId="77777777" w:rsidR="00F369DD" w:rsidRPr="00244684" w:rsidRDefault="00F369DD" w:rsidP="00F369DD">
                  <w:pPr>
                    <w:spacing w:line="276" w:lineRule="auto"/>
                    <w:rPr>
                      <w:rFonts w:ascii="Calibri" w:hAnsi="Calibri" w:cs="Calibri"/>
                      <w:color w:val="000000" w:themeColor="text1"/>
                      <w:sz w:val="18"/>
                      <w:szCs w:val="18"/>
                      <w:lang w:val="en-US"/>
                    </w:rPr>
                  </w:pPr>
                  <w:r w:rsidRPr="00244684">
                    <w:rPr>
                      <w:rFonts w:ascii="Calibri" w:hAnsi="Calibri" w:cs="Calibri"/>
                      <w:color w:val="000000" w:themeColor="text1"/>
                      <w:sz w:val="18"/>
                      <w:szCs w:val="18"/>
                      <w:lang w:val="en-US"/>
                    </w:rPr>
                    <w:t>6: Insufficient service fees not able to cover operational , depreciation, and maintenance costs for infrastructure (in addition to new infrastructural investments)</w:t>
                  </w:r>
                </w:p>
              </w:tc>
              <w:tc>
                <w:tcPr>
                  <w:tcW w:w="797" w:type="dxa"/>
                  <w:shd w:val="clear" w:color="auto" w:fill="D9F2D0" w:themeFill="accent6" w:themeFillTint="33"/>
                </w:tcPr>
                <w:p w14:paraId="5858386C" w14:textId="77777777" w:rsidR="00F369DD" w:rsidRPr="00244684" w:rsidRDefault="00F369DD" w:rsidP="00F369DD">
                  <w:pPr>
                    <w:rPr>
                      <w:rFonts w:ascii="Calibri" w:hAnsi="Calibri" w:cs="Calibri"/>
                      <w:sz w:val="18"/>
                      <w:szCs w:val="18"/>
                      <w:lang w:val="en-US"/>
                    </w:rPr>
                  </w:pPr>
                </w:p>
              </w:tc>
            </w:tr>
            <w:tr w:rsidR="00F369DD" w:rsidRPr="00244684" w14:paraId="026184ED" w14:textId="77777777" w:rsidTr="000F68F0">
              <w:tc>
                <w:tcPr>
                  <w:tcW w:w="4652" w:type="dxa"/>
                </w:tcPr>
                <w:p w14:paraId="098E1316" w14:textId="77777777" w:rsidR="00F369DD" w:rsidRPr="00244684" w:rsidRDefault="00F369DD" w:rsidP="00F369DD">
                  <w:pPr>
                    <w:spacing w:line="276" w:lineRule="auto"/>
                    <w:rPr>
                      <w:rFonts w:ascii="Calibri" w:hAnsi="Calibri" w:cs="Calibri"/>
                      <w:sz w:val="18"/>
                      <w:szCs w:val="18"/>
                      <w:lang w:val="en-US"/>
                    </w:rPr>
                  </w:pPr>
                  <w:r w:rsidRPr="00244684">
                    <w:rPr>
                      <w:rFonts w:ascii="Calibri" w:hAnsi="Calibri" w:cs="Calibri"/>
                      <w:sz w:val="18"/>
                      <w:szCs w:val="18"/>
                      <w:lang w:val="en-US"/>
                    </w:rPr>
                    <w:t xml:space="preserve">7: Insufficient accountability of WUCs due to absence of performance management tools </w:t>
                  </w:r>
                </w:p>
              </w:tc>
              <w:tc>
                <w:tcPr>
                  <w:tcW w:w="846" w:type="dxa"/>
                  <w:shd w:val="clear" w:color="auto" w:fill="D9F2D0" w:themeFill="accent6" w:themeFillTint="33"/>
                </w:tcPr>
                <w:p w14:paraId="2A7EFB86" w14:textId="77777777" w:rsidR="00F369DD" w:rsidRPr="00244684" w:rsidRDefault="00F369DD" w:rsidP="00F369DD">
                  <w:pPr>
                    <w:rPr>
                      <w:rFonts w:ascii="Calibri" w:hAnsi="Calibri" w:cs="Calibri"/>
                      <w:sz w:val="18"/>
                      <w:szCs w:val="18"/>
                      <w:lang w:val="en-US"/>
                    </w:rPr>
                  </w:pPr>
                </w:p>
              </w:tc>
              <w:tc>
                <w:tcPr>
                  <w:tcW w:w="2489" w:type="dxa"/>
                </w:tcPr>
                <w:p w14:paraId="648416EC" w14:textId="77777777" w:rsidR="00F369DD" w:rsidRPr="00244684" w:rsidRDefault="00F369DD" w:rsidP="00F369DD">
                  <w:pPr>
                    <w:spacing w:line="276" w:lineRule="auto"/>
                    <w:rPr>
                      <w:rFonts w:ascii="Calibri" w:hAnsi="Calibri" w:cs="Calibri"/>
                      <w:color w:val="000000" w:themeColor="text1"/>
                      <w:sz w:val="18"/>
                      <w:szCs w:val="18"/>
                      <w:lang w:val="en-US"/>
                    </w:rPr>
                  </w:pPr>
                  <w:r w:rsidRPr="00244684">
                    <w:rPr>
                      <w:rFonts w:ascii="Calibri" w:hAnsi="Calibri" w:cs="Calibri"/>
                      <w:color w:val="000000" w:themeColor="text1"/>
                      <w:sz w:val="18"/>
                      <w:szCs w:val="18"/>
                      <w:lang w:val="en-US"/>
                    </w:rPr>
                    <w:t>7: Safety quality standards (regulated under the BiH Agency for food safety in line with the EU standards)</w:t>
                  </w:r>
                </w:p>
              </w:tc>
              <w:tc>
                <w:tcPr>
                  <w:tcW w:w="797" w:type="dxa"/>
                </w:tcPr>
                <w:p w14:paraId="3A70545F" w14:textId="77777777" w:rsidR="00F369DD" w:rsidRPr="00244684" w:rsidRDefault="00F369DD" w:rsidP="00F369DD">
                  <w:pPr>
                    <w:rPr>
                      <w:rFonts w:ascii="Calibri" w:hAnsi="Calibri" w:cs="Calibri"/>
                      <w:sz w:val="18"/>
                      <w:szCs w:val="18"/>
                      <w:lang w:val="en-US"/>
                    </w:rPr>
                  </w:pPr>
                </w:p>
              </w:tc>
            </w:tr>
            <w:tr w:rsidR="00F369DD" w:rsidRPr="00244684" w14:paraId="5E730F63" w14:textId="77777777" w:rsidTr="000F68F0">
              <w:tc>
                <w:tcPr>
                  <w:tcW w:w="4652" w:type="dxa"/>
                </w:tcPr>
                <w:p w14:paraId="7235255A" w14:textId="77777777" w:rsidR="00F369DD" w:rsidRPr="00244684" w:rsidRDefault="00F369DD" w:rsidP="00F369DD">
                  <w:pPr>
                    <w:spacing w:line="276" w:lineRule="auto"/>
                    <w:rPr>
                      <w:rFonts w:ascii="Calibri" w:hAnsi="Calibri" w:cs="Calibri"/>
                      <w:sz w:val="18"/>
                      <w:szCs w:val="18"/>
                      <w:lang w:val="en-US"/>
                    </w:rPr>
                  </w:pPr>
                  <w:r w:rsidRPr="00244684">
                    <w:rPr>
                      <w:rFonts w:ascii="Calibri" w:hAnsi="Calibri" w:cs="Calibri"/>
                      <w:sz w:val="18"/>
                      <w:szCs w:val="18"/>
                      <w:lang w:val="en-US"/>
                    </w:rPr>
                    <w:t>8: Lack of clear division of roles and responsibilities between LGs and WUs</w:t>
                  </w:r>
                </w:p>
              </w:tc>
              <w:tc>
                <w:tcPr>
                  <w:tcW w:w="846" w:type="dxa"/>
                  <w:shd w:val="clear" w:color="auto" w:fill="D9F2D0" w:themeFill="accent6" w:themeFillTint="33"/>
                </w:tcPr>
                <w:p w14:paraId="7BE6E2CF" w14:textId="77777777" w:rsidR="00F369DD" w:rsidRPr="00244684" w:rsidRDefault="00F369DD" w:rsidP="00F369DD">
                  <w:pPr>
                    <w:rPr>
                      <w:rFonts w:ascii="Calibri" w:hAnsi="Calibri" w:cs="Calibri"/>
                      <w:sz w:val="18"/>
                      <w:szCs w:val="18"/>
                      <w:lang w:val="en-US"/>
                    </w:rPr>
                  </w:pPr>
                </w:p>
              </w:tc>
              <w:tc>
                <w:tcPr>
                  <w:tcW w:w="2489" w:type="dxa"/>
                </w:tcPr>
                <w:p w14:paraId="63980C5E" w14:textId="77777777" w:rsidR="00F369DD" w:rsidRPr="00244684" w:rsidRDefault="00F369DD" w:rsidP="00F369DD">
                  <w:pPr>
                    <w:spacing w:line="276" w:lineRule="auto"/>
                    <w:rPr>
                      <w:rFonts w:ascii="Calibri" w:hAnsi="Calibri" w:cs="Calibri"/>
                      <w:color w:val="000000" w:themeColor="text1"/>
                      <w:sz w:val="18"/>
                      <w:szCs w:val="18"/>
                      <w:lang w:val="en-US"/>
                    </w:rPr>
                  </w:pPr>
                  <w:r w:rsidRPr="00244684">
                    <w:rPr>
                      <w:rFonts w:ascii="Calibri" w:hAnsi="Calibri" w:cs="Calibri"/>
                      <w:color w:val="000000" w:themeColor="text1"/>
                      <w:sz w:val="18"/>
                      <w:szCs w:val="18"/>
                      <w:lang w:val="en-US"/>
                    </w:rPr>
                    <w:t>8: Security quality standards (absent or from the former Yugoslavia time)</w:t>
                  </w:r>
                </w:p>
              </w:tc>
              <w:tc>
                <w:tcPr>
                  <w:tcW w:w="797" w:type="dxa"/>
                </w:tcPr>
                <w:p w14:paraId="5B1F6503" w14:textId="77777777" w:rsidR="00F369DD" w:rsidRPr="00244684" w:rsidRDefault="00F369DD" w:rsidP="00F369DD">
                  <w:pPr>
                    <w:rPr>
                      <w:rFonts w:ascii="Calibri" w:hAnsi="Calibri" w:cs="Calibri"/>
                      <w:sz w:val="18"/>
                      <w:szCs w:val="18"/>
                      <w:lang w:val="en-US"/>
                    </w:rPr>
                  </w:pPr>
                </w:p>
              </w:tc>
            </w:tr>
            <w:tr w:rsidR="000F68F0" w:rsidRPr="00244684" w14:paraId="0D8464FB" w14:textId="77777777" w:rsidTr="000F68F0">
              <w:tc>
                <w:tcPr>
                  <w:tcW w:w="4652" w:type="dxa"/>
                </w:tcPr>
                <w:p w14:paraId="7F2226FF" w14:textId="77777777" w:rsidR="000F68F0" w:rsidRPr="00244684" w:rsidRDefault="000F68F0" w:rsidP="00F369DD">
                  <w:pPr>
                    <w:spacing w:line="276" w:lineRule="auto"/>
                    <w:rPr>
                      <w:rFonts w:ascii="Calibri" w:hAnsi="Calibri" w:cs="Calibri"/>
                      <w:sz w:val="18"/>
                      <w:szCs w:val="18"/>
                      <w:lang w:val="en-US"/>
                    </w:rPr>
                  </w:pPr>
                  <w:r w:rsidRPr="00244684">
                    <w:rPr>
                      <w:rFonts w:ascii="Calibri" w:hAnsi="Calibri" w:cs="Calibri"/>
                      <w:sz w:val="18"/>
                      <w:szCs w:val="18"/>
                      <w:lang w:val="en-US"/>
                    </w:rPr>
                    <w:t xml:space="preserve">9: Lack of citizens engagement </w:t>
                  </w:r>
                  <w:r w:rsidRPr="00244684">
                    <w:rPr>
                      <w:rFonts w:ascii="Calibri" w:hAnsi="Calibri" w:cs="Calibri"/>
                      <w:i/>
                      <w:sz w:val="18"/>
                      <w:szCs w:val="18"/>
                      <w:lang w:val="en-US"/>
                    </w:rPr>
                    <w:t>(gender, youth, ethnic minorities, and disabled people)</w:t>
                  </w:r>
                </w:p>
              </w:tc>
              <w:tc>
                <w:tcPr>
                  <w:tcW w:w="846" w:type="dxa"/>
                  <w:shd w:val="clear" w:color="auto" w:fill="D9F2D0" w:themeFill="accent6" w:themeFillTint="33"/>
                </w:tcPr>
                <w:p w14:paraId="5C3F0344" w14:textId="77777777" w:rsidR="000F68F0" w:rsidRPr="00244684" w:rsidRDefault="000F68F0" w:rsidP="00F369DD">
                  <w:pPr>
                    <w:rPr>
                      <w:rFonts w:ascii="Calibri" w:hAnsi="Calibri" w:cs="Calibri"/>
                      <w:sz w:val="18"/>
                      <w:szCs w:val="18"/>
                      <w:lang w:val="en-US"/>
                    </w:rPr>
                  </w:pPr>
                </w:p>
              </w:tc>
              <w:tc>
                <w:tcPr>
                  <w:tcW w:w="3286" w:type="dxa"/>
                  <w:gridSpan w:val="2"/>
                  <w:vMerge w:val="restart"/>
                </w:tcPr>
                <w:p w14:paraId="786D207D" w14:textId="77777777" w:rsidR="000F68F0" w:rsidRPr="00244684" w:rsidRDefault="000F68F0" w:rsidP="00F369DD">
                  <w:pPr>
                    <w:rPr>
                      <w:rFonts w:ascii="Calibri" w:hAnsi="Calibri" w:cs="Calibri"/>
                      <w:sz w:val="18"/>
                      <w:szCs w:val="18"/>
                      <w:lang w:val="en-US"/>
                    </w:rPr>
                  </w:pPr>
                </w:p>
              </w:tc>
            </w:tr>
            <w:tr w:rsidR="000F68F0" w:rsidRPr="00244684" w14:paraId="20E86E13" w14:textId="77777777" w:rsidTr="000F68F0">
              <w:tc>
                <w:tcPr>
                  <w:tcW w:w="4652" w:type="dxa"/>
                </w:tcPr>
                <w:p w14:paraId="2B22B78B" w14:textId="77777777" w:rsidR="000F68F0" w:rsidRPr="00244684" w:rsidRDefault="000F68F0" w:rsidP="00F369DD">
                  <w:pPr>
                    <w:spacing w:line="276" w:lineRule="auto"/>
                    <w:rPr>
                      <w:rFonts w:ascii="Calibri" w:hAnsi="Calibri" w:cs="Calibri"/>
                      <w:sz w:val="18"/>
                      <w:szCs w:val="18"/>
                      <w:lang w:val="en-US"/>
                    </w:rPr>
                  </w:pPr>
                  <w:r w:rsidRPr="00244684">
                    <w:rPr>
                      <w:rFonts w:ascii="Calibri" w:hAnsi="Calibri" w:cs="Calibri"/>
                      <w:sz w:val="18"/>
                      <w:szCs w:val="18"/>
                      <w:lang w:val="en-US"/>
                    </w:rPr>
                    <w:t>10: Lack of quality standards for good governance for communal services</w:t>
                  </w:r>
                </w:p>
              </w:tc>
              <w:tc>
                <w:tcPr>
                  <w:tcW w:w="846" w:type="dxa"/>
                  <w:shd w:val="clear" w:color="auto" w:fill="D9F2D0" w:themeFill="accent6" w:themeFillTint="33"/>
                </w:tcPr>
                <w:p w14:paraId="6DE81879" w14:textId="77777777" w:rsidR="000F68F0" w:rsidRPr="00244684" w:rsidRDefault="000F68F0" w:rsidP="00F369DD">
                  <w:pPr>
                    <w:rPr>
                      <w:rFonts w:ascii="Calibri" w:hAnsi="Calibri" w:cs="Calibri"/>
                      <w:sz w:val="18"/>
                      <w:szCs w:val="18"/>
                      <w:lang w:val="en-US"/>
                    </w:rPr>
                  </w:pPr>
                </w:p>
              </w:tc>
              <w:tc>
                <w:tcPr>
                  <w:tcW w:w="3286" w:type="dxa"/>
                  <w:gridSpan w:val="2"/>
                  <w:vMerge/>
                </w:tcPr>
                <w:p w14:paraId="7BFFD702" w14:textId="77777777" w:rsidR="000F68F0" w:rsidRPr="00244684" w:rsidRDefault="000F68F0" w:rsidP="00F369DD">
                  <w:pPr>
                    <w:rPr>
                      <w:rFonts w:ascii="Calibri" w:hAnsi="Calibri" w:cs="Calibri"/>
                      <w:sz w:val="18"/>
                      <w:szCs w:val="18"/>
                      <w:lang w:val="en-US"/>
                    </w:rPr>
                  </w:pPr>
                </w:p>
              </w:tc>
            </w:tr>
            <w:tr w:rsidR="000F68F0" w:rsidRPr="00244684" w14:paraId="67733676" w14:textId="77777777" w:rsidTr="000F68F0">
              <w:tc>
                <w:tcPr>
                  <w:tcW w:w="4652" w:type="dxa"/>
                </w:tcPr>
                <w:p w14:paraId="0FD39C9B" w14:textId="77777777" w:rsidR="000F68F0" w:rsidRPr="00244684" w:rsidRDefault="000F68F0" w:rsidP="00F369DD">
                  <w:pPr>
                    <w:spacing w:line="276" w:lineRule="auto"/>
                    <w:rPr>
                      <w:rFonts w:ascii="Calibri" w:hAnsi="Calibri" w:cs="Calibri"/>
                      <w:sz w:val="18"/>
                      <w:szCs w:val="18"/>
                      <w:lang w:val="en-US"/>
                    </w:rPr>
                  </w:pPr>
                  <w:r w:rsidRPr="00244684">
                    <w:rPr>
                      <w:rFonts w:ascii="Calibri" w:hAnsi="Calibri" w:cs="Calibri"/>
                      <w:sz w:val="18"/>
                      <w:szCs w:val="18"/>
                      <w:lang w:val="en-US"/>
                    </w:rPr>
                    <w:t>11: Lack of staff competences (knowledge, skills, experience and practice) and sharing among WUs, especially with young professionals</w:t>
                  </w:r>
                </w:p>
              </w:tc>
              <w:tc>
                <w:tcPr>
                  <w:tcW w:w="846" w:type="dxa"/>
                  <w:shd w:val="clear" w:color="auto" w:fill="D9F2D0" w:themeFill="accent6" w:themeFillTint="33"/>
                </w:tcPr>
                <w:p w14:paraId="442BA7A5" w14:textId="77777777" w:rsidR="000F68F0" w:rsidRPr="00244684" w:rsidRDefault="000F68F0" w:rsidP="00F369DD">
                  <w:pPr>
                    <w:rPr>
                      <w:rFonts w:ascii="Calibri" w:hAnsi="Calibri" w:cs="Calibri"/>
                      <w:sz w:val="18"/>
                      <w:szCs w:val="18"/>
                      <w:lang w:val="en-US"/>
                    </w:rPr>
                  </w:pPr>
                </w:p>
              </w:tc>
              <w:tc>
                <w:tcPr>
                  <w:tcW w:w="3286" w:type="dxa"/>
                  <w:gridSpan w:val="2"/>
                  <w:vMerge/>
                </w:tcPr>
                <w:p w14:paraId="59CB4DC4" w14:textId="77777777" w:rsidR="000F68F0" w:rsidRPr="00244684" w:rsidRDefault="000F68F0" w:rsidP="00F369DD">
                  <w:pPr>
                    <w:rPr>
                      <w:rFonts w:ascii="Calibri" w:hAnsi="Calibri" w:cs="Calibri"/>
                      <w:sz w:val="18"/>
                      <w:szCs w:val="18"/>
                      <w:lang w:val="en-US"/>
                    </w:rPr>
                  </w:pPr>
                </w:p>
              </w:tc>
            </w:tr>
            <w:tr w:rsidR="000F68F0" w:rsidRPr="00244684" w14:paraId="44743973" w14:textId="77777777" w:rsidTr="000F68F0">
              <w:tc>
                <w:tcPr>
                  <w:tcW w:w="4652" w:type="dxa"/>
                </w:tcPr>
                <w:p w14:paraId="49FD3A0A" w14:textId="77777777" w:rsidR="000F68F0" w:rsidRPr="00244684" w:rsidRDefault="000F68F0" w:rsidP="00F369DD">
                  <w:pPr>
                    <w:spacing w:line="276" w:lineRule="auto"/>
                    <w:rPr>
                      <w:rFonts w:ascii="Calibri" w:hAnsi="Calibri" w:cs="Calibri"/>
                      <w:sz w:val="18"/>
                      <w:szCs w:val="18"/>
                      <w:lang w:val="en-US"/>
                    </w:rPr>
                  </w:pPr>
                  <w:r w:rsidRPr="00244684">
                    <w:rPr>
                      <w:rFonts w:ascii="Calibri" w:hAnsi="Calibri" w:cs="Calibri"/>
                      <w:sz w:val="18"/>
                      <w:szCs w:val="18"/>
                      <w:lang w:val="en-US"/>
                    </w:rPr>
                    <w:lastRenderedPageBreak/>
                    <w:t>12: Lack of staff competences (knowledge, skills, experience and practice) and sharing among LGs</w:t>
                  </w:r>
                </w:p>
              </w:tc>
              <w:tc>
                <w:tcPr>
                  <w:tcW w:w="846" w:type="dxa"/>
                  <w:shd w:val="clear" w:color="auto" w:fill="D9F2D0" w:themeFill="accent6" w:themeFillTint="33"/>
                </w:tcPr>
                <w:p w14:paraId="12A85E10" w14:textId="77777777" w:rsidR="000F68F0" w:rsidRPr="00244684" w:rsidRDefault="000F68F0" w:rsidP="00F369DD">
                  <w:pPr>
                    <w:rPr>
                      <w:rFonts w:ascii="Calibri" w:hAnsi="Calibri" w:cs="Calibri"/>
                      <w:sz w:val="18"/>
                      <w:szCs w:val="18"/>
                      <w:lang w:val="en-US"/>
                    </w:rPr>
                  </w:pPr>
                </w:p>
              </w:tc>
              <w:tc>
                <w:tcPr>
                  <w:tcW w:w="3286" w:type="dxa"/>
                  <w:gridSpan w:val="2"/>
                  <w:vMerge/>
                </w:tcPr>
                <w:p w14:paraId="602D49C7" w14:textId="77777777" w:rsidR="000F68F0" w:rsidRPr="00244684" w:rsidRDefault="000F68F0" w:rsidP="00F369DD">
                  <w:pPr>
                    <w:rPr>
                      <w:rFonts w:ascii="Calibri" w:hAnsi="Calibri" w:cs="Calibri"/>
                      <w:sz w:val="18"/>
                      <w:szCs w:val="18"/>
                      <w:lang w:val="en-US"/>
                    </w:rPr>
                  </w:pPr>
                </w:p>
              </w:tc>
            </w:tr>
            <w:tr w:rsidR="000F68F0" w:rsidRPr="00244684" w14:paraId="07F27B6B" w14:textId="77777777" w:rsidTr="000F68F0">
              <w:tc>
                <w:tcPr>
                  <w:tcW w:w="4652" w:type="dxa"/>
                </w:tcPr>
                <w:p w14:paraId="39CCC8AB" w14:textId="77777777" w:rsidR="000F68F0" w:rsidRPr="00244684" w:rsidRDefault="000F68F0" w:rsidP="00F369DD">
                  <w:pPr>
                    <w:spacing w:line="276" w:lineRule="auto"/>
                    <w:rPr>
                      <w:rFonts w:ascii="Calibri" w:hAnsi="Calibri" w:cs="Calibri"/>
                      <w:sz w:val="18"/>
                      <w:szCs w:val="18"/>
                      <w:lang w:val="en-US"/>
                    </w:rPr>
                  </w:pPr>
                  <w:r w:rsidRPr="00244684">
                    <w:rPr>
                      <w:rFonts w:ascii="Calibri" w:hAnsi="Calibri" w:cs="Calibri"/>
                      <w:sz w:val="18"/>
                      <w:szCs w:val="18"/>
                      <w:lang w:val="en-US"/>
                    </w:rPr>
                    <w:t>13: Low efficiency of LG institutions. The existing job description in the rulebook of the internal organization and systematization of working places doesn’t include all responsibilities in accordance with existing laws and by-laws related to water services.</w:t>
                  </w:r>
                </w:p>
              </w:tc>
              <w:tc>
                <w:tcPr>
                  <w:tcW w:w="846" w:type="dxa"/>
                  <w:shd w:val="clear" w:color="auto" w:fill="D9F2D0" w:themeFill="accent6" w:themeFillTint="33"/>
                </w:tcPr>
                <w:p w14:paraId="003B2470" w14:textId="77777777" w:rsidR="000F68F0" w:rsidRPr="00244684" w:rsidRDefault="000F68F0" w:rsidP="00F369DD">
                  <w:pPr>
                    <w:rPr>
                      <w:rFonts w:ascii="Calibri" w:hAnsi="Calibri" w:cs="Calibri"/>
                      <w:sz w:val="18"/>
                      <w:szCs w:val="18"/>
                      <w:lang w:val="en-US"/>
                    </w:rPr>
                  </w:pPr>
                </w:p>
              </w:tc>
              <w:tc>
                <w:tcPr>
                  <w:tcW w:w="3286" w:type="dxa"/>
                  <w:gridSpan w:val="2"/>
                  <w:vMerge/>
                </w:tcPr>
                <w:p w14:paraId="77F187C5" w14:textId="77777777" w:rsidR="000F68F0" w:rsidRPr="00244684" w:rsidRDefault="000F68F0" w:rsidP="00F369DD">
                  <w:pPr>
                    <w:rPr>
                      <w:rFonts w:ascii="Calibri" w:hAnsi="Calibri" w:cs="Calibri"/>
                      <w:sz w:val="18"/>
                      <w:szCs w:val="18"/>
                      <w:lang w:val="en-US"/>
                    </w:rPr>
                  </w:pPr>
                </w:p>
              </w:tc>
            </w:tr>
            <w:tr w:rsidR="000F68F0" w:rsidRPr="00244684" w14:paraId="24EBB1E6" w14:textId="77777777" w:rsidTr="000F68F0">
              <w:tc>
                <w:tcPr>
                  <w:tcW w:w="4652" w:type="dxa"/>
                </w:tcPr>
                <w:p w14:paraId="7C757A7B" w14:textId="77777777" w:rsidR="000F68F0" w:rsidRPr="00244684" w:rsidRDefault="000F68F0" w:rsidP="00F369DD">
                  <w:pPr>
                    <w:spacing w:line="276" w:lineRule="auto"/>
                    <w:rPr>
                      <w:rFonts w:ascii="Calibri" w:hAnsi="Calibri" w:cs="Calibri"/>
                      <w:sz w:val="18"/>
                      <w:szCs w:val="18"/>
                      <w:lang w:val="en-US"/>
                    </w:rPr>
                  </w:pPr>
                  <w:r w:rsidRPr="00244684">
                    <w:rPr>
                      <w:rFonts w:ascii="Calibri" w:hAnsi="Calibri" w:cs="Calibri"/>
                      <w:sz w:val="18"/>
                      <w:szCs w:val="18"/>
                      <w:lang w:val="en-US"/>
                    </w:rPr>
                    <w:t>14: Low efficiency of WUs</w:t>
                  </w:r>
                </w:p>
              </w:tc>
              <w:tc>
                <w:tcPr>
                  <w:tcW w:w="846" w:type="dxa"/>
                  <w:shd w:val="clear" w:color="auto" w:fill="D9F2D0" w:themeFill="accent6" w:themeFillTint="33"/>
                </w:tcPr>
                <w:p w14:paraId="41E8ACE1" w14:textId="77777777" w:rsidR="000F68F0" w:rsidRPr="00244684" w:rsidRDefault="000F68F0" w:rsidP="00F369DD">
                  <w:pPr>
                    <w:rPr>
                      <w:rFonts w:ascii="Calibri" w:hAnsi="Calibri" w:cs="Calibri"/>
                      <w:sz w:val="18"/>
                      <w:szCs w:val="18"/>
                      <w:lang w:val="en-US"/>
                    </w:rPr>
                  </w:pPr>
                </w:p>
              </w:tc>
              <w:tc>
                <w:tcPr>
                  <w:tcW w:w="3286" w:type="dxa"/>
                  <w:gridSpan w:val="2"/>
                  <w:vMerge/>
                </w:tcPr>
                <w:p w14:paraId="40E8254C" w14:textId="77777777" w:rsidR="000F68F0" w:rsidRPr="00244684" w:rsidRDefault="000F68F0" w:rsidP="00F369DD">
                  <w:pPr>
                    <w:rPr>
                      <w:rFonts w:ascii="Calibri" w:hAnsi="Calibri" w:cs="Calibri"/>
                      <w:sz w:val="18"/>
                      <w:szCs w:val="18"/>
                      <w:lang w:val="en-US"/>
                    </w:rPr>
                  </w:pPr>
                </w:p>
              </w:tc>
            </w:tr>
            <w:tr w:rsidR="000F68F0" w:rsidRPr="00244684" w14:paraId="68EC2B46" w14:textId="77777777" w:rsidTr="000F68F0">
              <w:tc>
                <w:tcPr>
                  <w:tcW w:w="4652" w:type="dxa"/>
                </w:tcPr>
                <w:p w14:paraId="01147D81" w14:textId="77777777" w:rsidR="000F68F0" w:rsidRPr="00244684" w:rsidRDefault="000F68F0" w:rsidP="00F369DD">
                  <w:pPr>
                    <w:spacing w:line="276" w:lineRule="auto"/>
                    <w:rPr>
                      <w:rFonts w:ascii="Calibri" w:hAnsi="Calibri" w:cs="Calibri"/>
                      <w:sz w:val="18"/>
                      <w:szCs w:val="18"/>
                      <w:lang w:val="en-US"/>
                    </w:rPr>
                  </w:pPr>
                  <w:r w:rsidRPr="00244684">
                    <w:rPr>
                      <w:rFonts w:ascii="Calibri" w:hAnsi="Calibri" w:cs="Calibri"/>
                      <w:sz w:val="18"/>
                      <w:szCs w:val="18"/>
                      <w:lang w:val="en-US"/>
                    </w:rPr>
                    <w:t>15: Lack of citizens trust towards LGs/WUs</w:t>
                  </w:r>
                </w:p>
              </w:tc>
              <w:tc>
                <w:tcPr>
                  <w:tcW w:w="846" w:type="dxa"/>
                </w:tcPr>
                <w:p w14:paraId="0A1F7324" w14:textId="77777777" w:rsidR="000F68F0" w:rsidRPr="00244684" w:rsidRDefault="000F68F0" w:rsidP="00F369DD">
                  <w:pPr>
                    <w:rPr>
                      <w:rFonts w:ascii="Calibri" w:hAnsi="Calibri" w:cs="Calibri"/>
                      <w:sz w:val="18"/>
                      <w:szCs w:val="18"/>
                      <w:lang w:val="en-US"/>
                    </w:rPr>
                  </w:pPr>
                </w:p>
              </w:tc>
              <w:tc>
                <w:tcPr>
                  <w:tcW w:w="3286" w:type="dxa"/>
                  <w:gridSpan w:val="2"/>
                  <w:vMerge/>
                </w:tcPr>
                <w:p w14:paraId="18B4BE10" w14:textId="77777777" w:rsidR="000F68F0" w:rsidRPr="00244684" w:rsidRDefault="000F68F0" w:rsidP="00F369DD">
                  <w:pPr>
                    <w:rPr>
                      <w:rFonts w:ascii="Calibri" w:hAnsi="Calibri" w:cs="Calibri"/>
                      <w:sz w:val="18"/>
                      <w:szCs w:val="18"/>
                      <w:lang w:val="en-US"/>
                    </w:rPr>
                  </w:pPr>
                </w:p>
              </w:tc>
            </w:tr>
          </w:tbl>
          <w:p w14:paraId="3C4FF13E" w14:textId="77777777" w:rsidR="00F369DD" w:rsidRDefault="00F369DD" w:rsidP="003668C2">
            <w:pPr>
              <w:spacing w:line="276" w:lineRule="auto"/>
              <w:jc w:val="both"/>
              <w:rPr>
                <w:rFonts w:ascii="Calibri" w:hAnsi="Calibri" w:cs="Calibri"/>
                <w:b/>
                <w:i/>
                <w:lang w:val="en-US"/>
              </w:rPr>
            </w:pPr>
          </w:p>
          <w:p w14:paraId="02517504" w14:textId="77777777" w:rsidR="00F369DD" w:rsidRPr="00E5500F" w:rsidRDefault="00F369DD" w:rsidP="00F369DD">
            <w:pPr>
              <w:rPr>
                <w:rFonts w:ascii="Calibri" w:hAnsi="Calibri" w:cs="Calibri"/>
                <w:b/>
                <w:bCs/>
                <w:i/>
                <w:iCs/>
                <w:sz w:val="18"/>
                <w:szCs w:val="18"/>
              </w:rPr>
            </w:pPr>
            <w:r w:rsidRPr="00E5500F">
              <w:rPr>
                <w:rFonts w:ascii="Calibri" w:hAnsi="Calibri" w:cs="Calibri"/>
                <w:b/>
                <w:bCs/>
                <w:i/>
                <w:iCs/>
                <w:sz w:val="18"/>
                <w:szCs w:val="18"/>
              </w:rPr>
              <w:t>Legends:</w:t>
            </w:r>
          </w:p>
          <w:tbl>
            <w:tblPr>
              <w:tblStyle w:val="TableGrid"/>
              <w:tblW w:w="0" w:type="auto"/>
              <w:tblLook w:val="04A0" w:firstRow="1" w:lastRow="0" w:firstColumn="1" w:lastColumn="0" w:noHBand="0" w:noVBand="1"/>
            </w:tblPr>
            <w:tblGrid>
              <w:gridCol w:w="3574"/>
              <w:gridCol w:w="283"/>
            </w:tblGrid>
            <w:tr w:rsidR="00F369DD" w14:paraId="552C0ADA" w14:textId="77777777" w:rsidTr="00E5500F">
              <w:tc>
                <w:tcPr>
                  <w:tcW w:w="3574" w:type="dxa"/>
                </w:tcPr>
                <w:p w14:paraId="0A02DC3E" w14:textId="77777777" w:rsidR="00F369DD" w:rsidRDefault="00F369DD" w:rsidP="00F369DD">
                  <w:pPr>
                    <w:rPr>
                      <w:rFonts w:ascii="Calibri" w:hAnsi="Calibri" w:cs="Calibri"/>
                      <w:sz w:val="18"/>
                      <w:szCs w:val="18"/>
                    </w:rPr>
                  </w:pPr>
                  <w:r>
                    <w:rPr>
                      <w:rFonts w:ascii="Calibri" w:hAnsi="Calibri" w:cs="Calibri"/>
                      <w:sz w:val="18"/>
                      <w:szCs w:val="18"/>
                    </w:rPr>
                    <w:t>System changed triggered</w:t>
                  </w:r>
                </w:p>
              </w:tc>
              <w:tc>
                <w:tcPr>
                  <w:tcW w:w="283" w:type="dxa"/>
                  <w:shd w:val="clear" w:color="auto" w:fill="D9F2D0" w:themeFill="accent6" w:themeFillTint="33"/>
                </w:tcPr>
                <w:p w14:paraId="2AC7FC6F" w14:textId="77777777" w:rsidR="00F369DD" w:rsidRDefault="00F369DD" w:rsidP="00F369DD">
                  <w:pPr>
                    <w:rPr>
                      <w:rFonts w:ascii="Calibri" w:hAnsi="Calibri" w:cs="Calibri"/>
                      <w:sz w:val="18"/>
                      <w:szCs w:val="18"/>
                    </w:rPr>
                  </w:pPr>
                </w:p>
              </w:tc>
            </w:tr>
            <w:tr w:rsidR="00F369DD" w14:paraId="4D242EDE" w14:textId="77777777" w:rsidTr="00E5500F">
              <w:tc>
                <w:tcPr>
                  <w:tcW w:w="3574" w:type="dxa"/>
                </w:tcPr>
                <w:p w14:paraId="15A9244D" w14:textId="77777777" w:rsidR="00F369DD" w:rsidRDefault="00F369DD" w:rsidP="00F369DD">
                  <w:pPr>
                    <w:rPr>
                      <w:rFonts w:ascii="Calibri" w:hAnsi="Calibri" w:cs="Calibri"/>
                      <w:sz w:val="18"/>
                      <w:szCs w:val="18"/>
                    </w:rPr>
                  </w:pPr>
                  <w:r>
                    <w:rPr>
                      <w:rFonts w:ascii="Calibri" w:hAnsi="Calibri" w:cs="Calibri"/>
                      <w:sz w:val="18"/>
                      <w:szCs w:val="18"/>
                    </w:rPr>
                    <w:t>System changed not triggered</w:t>
                  </w:r>
                </w:p>
              </w:tc>
              <w:tc>
                <w:tcPr>
                  <w:tcW w:w="283" w:type="dxa"/>
                  <w:shd w:val="clear" w:color="auto" w:fill="FAE2D5" w:themeFill="accent2" w:themeFillTint="33"/>
                </w:tcPr>
                <w:p w14:paraId="14E26AB4" w14:textId="77777777" w:rsidR="00F369DD" w:rsidRDefault="00F369DD" w:rsidP="00F369DD">
                  <w:pPr>
                    <w:rPr>
                      <w:rFonts w:ascii="Calibri" w:hAnsi="Calibri" w:cs="Calibri"/>
                      <w:sz w:val="18"/>
                      <w:szCs w:val="18"/>
                    </w:rPr>
                  </w:pPr>
                </w:p>
              </w:tc>
            </w:tr>
            <w:tr w:rsidR="00F369DD" w14:paraId="257995F1" w14:textId="77777777" w:rsidTr="00E5500F">
              <w:tc>
                <w:tcPr>
                  <w:tcW w:w="3574" w:type="dxa"/>
                </w:tcPr>
                <w:p w14:paraId="0026CC53" w14:textId="77777777" w:rsidR="00F369DD" w:rsidRDefault="00F369DD" w:rsidP="00F369DD">
                  <w:pPr>
                    <w:rPr>
                      <w:rFonts w:ascii="Calibri" w:hAnsi="Calibri" w:cs="Calibri"/>
                      <w:sz w:val="18"/>
                      <w:szCs w:val="18"/>
                    </w:rPr>
                  </w:pPr>
                  <w:r>
                    <w:rPr>
                      <w:rFonts w:ascii="Calibri" w:hAnsi="Calibri" w:cs="Calibri"/>
                      <w:sz w:val="18"/>
                      <w:szCs w:val="18"/>
                    </w:rPr>
                    <w:t>Too early to indicate</w:t>
                  </w:r>
                </w:p>
              </w:tc>
              <w:tc>
                <w:tcPr>
                  <w:tcW w:w="283" w:type="dxa"/>
                  <w:shd w:val="clear" w:color="auto" w:fill="auto"/>
                </w:tcPr>
                <w:p w14:paraId="6B793F2D" w14:textId="77777777" w:rsidR="00F369DD" w:rsidRDefault="00F369DD" w:rsidP="00F369DD">
                  <w:pPr>
                    <w:rPr>
                      <w:rFonts w:ascii="Calibri" w:hAnsi="Calibri" w:cs="Calibri"/>
                      <w:sz w:val="18"/>
                      <w:szCs w:val="18"/>
                    </w:rPr>
                  </w:pPr>
                </w:p>
              </w:tc>
            </w:tr>
          </w:tbl>
          <w:p w14:paraId="56C2E5BA" w14:textId="5771C5B2" w:rsidR="00314E38" w:rsidRPr="00314E38" w:rsidRDefault="00314E38" w:rsidP="00314E38">
            <w:pPr>
              <w:spacing w:line="276" w:lineRule="auto"/>
              <w:rPr>
                <w:rFonts w:ascii="Calibri" w:hAnsi="Calibri" w:cs="Calibri"/>
                <w:color w:val="000000" w:themeColor="text1"/>
                <w:lang w:val="en-US"/>
              </w:rPr>
            </w:pPr>
          </w:p>
        </w:tc>
      </w:tr>
    </w:tbl>
    <w:p w14:paraId="6C25D885" w14:textId="77777777" w:rsidR="00314E38" w:rsidRPr="00F569AE" w:rsidRDefault="00314E38" w:rsidP="003668C2">
      <w:pPr>
        <w:spacing w:line="276" w:lineRule="auto"/>
        <w:jc w:val="both"/>
        <w:rPr>
          <w:rFonts w:ascii="Calibri" w:hAnsi="Calibri" w:cs="Calibri"/>
          <w:lang w:val="en-US"/>
        </w:rPr>
      </w:pPr>
    </w:p>
    <w:p w14:paraId="34DCA627" w14:textId="77777777" w:rsidR="003668C2" w:rsidRPr="00F569AE" w:rsidRDefault="003668C2" w:rsidP="003668C2">
      <w:pPr>
        <w:spacing w:line="276" w:lineRule="auto"/>
        <w:rPr>
          <w:rFonts w:ascii="Calibri" w:eastAsiaTheme="majorEastAsia" w:hAnsi="Calibri" w:cs="Calibri"/>
          <w:color w:val="0F4761" w:themeColor="accent1" w:themeShade="BF"/>
          <w:lang w:val="en-US"/>
        </w:rPr>
      </w:pPr>
    </w:p>
    <w:p w14:paraId="0FDEFEA9" w14:textId="77777777" w:rsidR="003668C2" w:rsidRPr="00F569AE" w:rsidRDefault="003668C2" w:rsidP="003668C2">
      <w:pPr>
        <w:shd w:val="clear" w:color="auto" w:fill="4C94D8" w:themeFill="text2" w:themeFillTint="80"/>
        <w:spacing w:line="276" w:lineRule="auto"/>
        <w:rPr>
          <w:rFonts w:ascii="Calibri" w:hAnsi="Calibri" w:cs="Calibri"/>
          <w:b/>
          <w:color w:val="FFFFFF" w:themeColor="background1"/>
          <w:lang w:val="en-US"/>
        </w:rPr>
      </w:pPr>
      <w:r w:rsidRPr="00F569AE">
        <w:rPr>
          <w:rFonts w:ascii="Calibri" w:hAnsi="Calibri" w:cs="Calibri"/>
          <w:b/>
          <w:color w:val="FFFFFF" w:themeColor="background1"/>
          <w:lang w:val="en-US"/>
        </w:rPr>
        <w:t xml:space="preserve">Effectiveness: additional insights based on the case of Gacko municipality </w:t>
      </w:r>
    </w:p>
    <w:p w14:paraId="78DC60B9" w14:textId="77777777" w:rsidR="003668C2" w:rsidRPr="00F569AE" w:rsidRDefault="003668C2" w:rsidP="003668C2">
      <w:pPr>
        <w:spacing w:line="276" w:lineRule="auto"/>
        <w:rPr>
          <w:rFonts w:ascii="Calibri" w:hAnsi="Calibri" w:cs="Calibri"/>
          <w:b/>
          <w:color w:val="00000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3668C2" w:rsidRPr="00F569AE" w14:paraId="0AC27A54" w14:textId="77777777">
        <w:tc>
          <w:tcPr>
            <w:tcW w:w="9010" w:type="dxa"/>
            <w:shd w:val="clear" w:color="auto" w:fill="F2F2F2" w:themeFill="background1" w:themeFillShade="F2"/>
          </w:tcPr>
          <w:p w14:paraId="3977966A" w14:textId="77777777" w:rsidR="003668C2" w:rsidRPr="00F569AE" w:rsidRDefault="003668C2">
            <w:pPr>
              <w:spacing w:line="276" w:lineRule="auto"/>
              <w:rPr>
                <w:rFonts w:ascii="Calibri" w:eastAsiaTheme="majorEastAsia" w:hAnsi="Calibri" w:cs="Calibri"/>
                <w:b/>
                <w:i/>
                <w:color w:val="0F4761" w:themeColor="accent1" w:themeShade="BF"/>
                <w:lang w:val="en-US"/>
              </w:rPr>
            </w:pPr>
            <w:r w:rsidRPr="00F569AE">
              <w:rPr>
                <w:rFonts w:ascii="Calibri" w:eastAsiaTheme="majorEastAsia" w:hAnsi="Calibri" w:cs="Calibri"/>
                <w:b/>
                <w:i/>
                <w:color w:val="0F4761" w:themeColor="accent1" w:themeShade="BF"/>
                <w:lang w:val="en-US"/>
              </w:rPr>
              <w:t xml:space="preserve">Case of the Gacko Municipality </w:t>
            </w:r>
          </w:p>
          <w:p w14:paraId="3BD22811" w14:textId="77777777" w:rsidR="003668C2" w:rsidRPr="00F569AE" w:rsidRDefault="003668C2">
            <w:pPr>
              <w:pStyle w:val="NormalWeb"/>
              <w:jc w:val="both"/>
              <w:rPr>
                <w:rFonts w:ascii="Calibri" w:hAnsi="Calibri" w:cs="Calibri"/>
                <w:sz w:val="22"/>
                <w:szCs w:val="22"/>
              </w:rPr>
            </w:pPr>
            <w:r w:rsidRPr="00F569AE">
              <w:rPr>
                <w:rFonts w:ascii="Calibri" w:hAnsi="Calibri" w:cs="Calibri"/>
                <w:sz w:val="22"/>
                <w:szCs w:val="22"/>
              </w:rPr>
              <w:t xml:space="preserve">The Municipality of Gacko was a beneficiary of the MEG project since its inception until August 2024, when the Project Board decided to formally terminate its participation due to the persistent unresponsiveness of the municipal authorities. </w:t>
            </w:r>
          </w:p>
          <w:p w14:paraId="0857D990" w14:textId="77777777" w:rsidR="003668C2" w:rsidRPr="00F569AE" w:rsidRDefault="003668C2">
            <w:pPr>
              <w:pStyle w:val="NormalWeb"/>
              <w:jc w:val="both"/>
              <w:rPr>
                <w:rFonts w:ascii="Calibri" w:hAnsi="Calibri" w:cs="Calibri"/>
                <w:sz w:val="22"/>
                <w:szCs w:val="22"/>
              </w:rPr>
            </w:pPr>
            <w:r w:rsidRPr="00F569AE">
              <w:rPr>
                <w:rFonts w:ascii="Calibri" w:hAnsi="Calibri" w:cs="Calibri"/>
                <w:sz w:val="22"/>
                <w:szCs w:val="22"/>
              </w:rPr>
              <w:t>Although Gacko remains formally excluded from the project, a municipal team of 20 staff members has taken proactive steps to implement 189 recommendations previously provided by the project. As of July 2025, approximately 60% of these recommendations have been fulfilled, with expectations to reach 90% implementation by the end of September 2025.</w:t>
            </w:r>
          </w:p>
          <w:p w14:paraId="2D42246F" w14:textId="23B6EA86" w:rsidR="003668C2" w:rsidRPr="00F569AE" w:rsidRDefault="003668C2">
            <w:pPr>
              <w:pStyle w:val="NormalWeb"/>
              <w:jc w:val="both"/>
              <w:rPr>
                <w:rFonts w:ascii="Calibri" w:hAnsi="Calibri" w:cs="Calibri"/>
                <w:sz w:val="22"/>
                <w:szCs w:val="22"/>
              </w:rPr>
            </w:pPr>
            <w:r w:rsidRPr="00F569AE">
              <w:rPr>
                <w:rFonts w:ascii="Calibri" w:hAnsi="Calibri" w:cs="Calibri"/>
                <w:sz w:val="22"/>
                <w:szCs w:val="22"/>
              </w:rPr>
              <w:t xml:space="preserve">Gacko has signed a Public Service Agreement (PSA) that provides services to around 100 beneficiaries across five vulnerable categories. The municipality has introduced an </w:t>
            </w:r>
            <w:r w:rsidR="001F5342">
              <w:rPr>
                <w:rFonts w:ascii="Calibri" w:hAnsi="Calibri" w:cs="Calibri"/>
                <w:sz w:val="22"/>
                <w:szCs w:val="22"/>
              </w:rPr>
              <w:t>e</w:t>
            </w:r>
            <w:r w:rsidRPr="00F569AE">
              <w:rPr>
                <w:rFonts w:ascii="Calibri" w:hAnsi="Calibri" w:cs="Calibri"/>
                <w:sz w:val="22"/>
                <w:szCs w:val="22"/>
              </w:rPr>
              <w:t>-citizen application developed within the MEG programme and is currently developing an integrity plan following the best practice introduced within the MEG. The MEG/EU4MEG project team remained available for advisory services to the municipality of Gacko to encourage their revoked interest in water sector reform.</w:t>
            </w:r>
          </w:p>
          <w:p w14:paraId="5D7C75DD" w14:textId="77777777" w:rsidR="003668C2" w:rsidRPr="00F569AE" w:rsidRDefault="003668C2">
            <w:pPr>
              <w:pStyle w:val="NormalWeb"/>
              <w:jc w:val="both"/>
              <w:rPr>
                <w:rFonts w:ascii="Calibri" w:hAnsi="Calibri" w:cs="Calibri"/>
                <w:sz w:val="22"/>
                <w:szCs w:val="22"/>
              </w:rPr>
            </w:pPr>
            <w:r w:rsidRPr="00F569AE">
              <w:rPr>
                <w:rFonts w:ascii="Calibri" w:hAnsi="Calibri" w:cs="Calibri"/>
                <w:sz w:val="22"/>
                <w:szCs w:val="22"/>
              </w:rPr>
              <w:t>According to advisor to the Mayor, Gacko fully understands and accepts the reasons for its exclusion from MEG II. Nevertheless, the new municipal leadership recognizes the value that the project brings to both local governments and water utility companies (WUCs) and has chosen to implement the recommendations because of the benefits they bring to the municipality itself.</w:t>
            </w:r>
          </w:p>
        </w:tc>
      </w:tr>
    </w:tbl>
    <w:p w14:paraId="263A7C28" w14:textId="77777777" w:rsidR="00806D5A" w:rsidRPr="00F569AE" w:rsidRDefault="00806D5A" w:rsidP="0002596B">
      <w:pPr>
        <w:spacing w:line="276" w:lineRule="auto"/>
        <w:rPr>
          <w:rFonts w:ascii="Calibri" w:eastAsiaTheme="majorEastAsia" w:hAnsi="Calibri" w:cs="Calibri"/>
          <w:b/>
          <w:color w:val="0F4761" w:themeColor="accent1" w:themeShade="BF"/>
          <w:sz w:val="26"/>
          <w:szCs w:val="26"/>
          <w:lang w:val="en-US"/>
        </w:rPr>
      </w:pPr>
    </w:p>
    <w:p w14:paraId="563ED4D0" w14:textId="77777777" w:rsidR="00196814" w:rsidRPr="00F569AE" w:rsidRDefault="00196814" w:rsidP="0002596B">
      <w:pPr>
        <w:spacing w:line="276" w:lineRule="auto"/>
        <w:rPr>
          <w:rFonts w:ascii="Calibri" w:eastAsiaTheme="majorEastAsia" w:hAnsi="Calibri" w:cs="Calibri"/>
          <w:b/>
          <w:color w:val="0F4761" w:themeColor="accent1" w:themeShade="BF"/>
          <w:sz w:val="26"/>
          <w:szCs w:val="26"/>
          <w:lang w:val="en-US"/>
        </w:rPr>
      </w:pPr>
    </w:p>
    <w:p w14:paraId="0D5C34BD" w14:textId="2B6ED71A" w:rsidR="0002596B" w:rsidRPr="00F569AE" w:rsidRDefault="0002596B" w:rsidP="0002596B">
      <w:pPr>
        <w:spacing w:line="276" w:lineRule="auto"/>
        <w:rPr>
          <w:rFonts w:ascii="Calibri" w:eastAsiaTheme="majorEastAsia" w:hAnsi="Calibri" w:cs="Calibri"/>
          <w:b/>
          <w:color w:val="0F4761" w:themeColor="accent1" w:themeShade="BF"/>
          <w:sz w:val="26"/>
          <w:szCs w:val="26"/>
          <w:lang w:val="en-US"/>
        </w:rPr>
      </w:pPr>
      <w:r w:rsidRPr="00F569AE">
        <w:rPr>
          <w:rFonts w:ascii="Calibri" w:eastAsiaTheme="majorEastAsia" w:hAnsi="Calibri" w:cs="Calibri"/>
          <w:b/>
          <w:color w:val="0F4761" w:themeColor="accent1" w:themeShade="BF"/>
          <w:sz w:val="26"/>
          <w:szCs w:val="26"/>
          <w:lang w:val="en-US"/>
        </w:rPr>
        <w:t>Efficiency</w:t>
      </w:r>
    </w:p>
    <w:p w14:paraId="712BB1A0" w14:textId="77777777" w:rsidR="0002596B" w:rsidRPr="00F569AE" w:rsidRDefault="0002596B" w:rsidP="0002596B">
      <w:pPr>
        <w:spacing w:line="276" w:lineRule="auto"/>
        <w:jc w:val="both"/>
        <w:rPr>
          <w:rFonts w:ascii="Calibri" w:eastAsiaTheme="majorEastAsia" w:hAnsi="Calibri" w:cs="Calibri"/>
          <w:color w:val="0F4761" w:themeColor="accent1" w:themeShade="B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A74D8D" w:rsidRPr="00F569AE" w14:paraId="5F64637F" w14:textId="77777777" w:rsidTr="00A74D8D">
        <w:tc>
          <w:tcPr>
            <w:tcW w:w="9010" w:type="dxa"/>
            <w:shd w:val="clear" w:color="auto" w:fill="F2F2F2" w:themeFill="background1" w:themeFillShade="F2"/>
          </w:tcPr>
          <w:p w14:paraId="1B2594AA" w14:textId="77777777" w:rsidR="00E315E2" w:rsidRDefault="00A74D8D" w:rsidP="0002596B">
            <w:pPr>
              <w:spacing w:line="276" w:lineRule="auto"/>
              <w:jc w:val="both"/>
              <w:rPr>
                <w:rFonts w:ascii="Calibri" w:eastAsiaTheme="majorEastAsia" w:hAnsi="Calibri" w:cs="Calibri"/>
                <w:color w:val="000000" w:themeColor="text1"/>
                <w:lang w:val="en-US"/>
              </w:rPr>
            </w:pPr>
            <w:r w:rsidRPr="00F569AE">
              <w:rPr>
                <w:rFonts w:ascii="Calibri" w:eastAsiaTheme="majorEastAsia" w:hAnsi="Calibri" w:cs="Calibri"/>
                <w:color w:val="000000" w:themeColor="text1"/>
                <w:lang w:val="en-US"/>
              </w:rPr>
              <w:t>The project mobilized various funding schemes</w:t>
            </w:r>
            <w:r w:rsidR="002636A2">
              <w:rPr>
                <w:rFonts w:ascii="Calibri" w:eastAsiaTheme="majorEastAsia" w:hAnsi="Calibri" w:cs="Calibri"/>
                <w:color w:val="000000" w:themeColor="text1"/>
                <w:lang w:val="en-US"/>
              </w:rPr>
              <w:t>, e.g.</w:t>
            </w:r>
            <w:r w:rsidRPr="00F569AE">
              <w:rPr>
                <w:rFonts w:ascii="Calibri" w:eastAsiaTheme="majorEastAsia" w:hAnsi="Calibri" w:cs="Calibri"/>
                <w:color w:val="000000" w:themeColor="text1"/>
                <w:lang w:val="en-US"/>
              </w:rPr>
              <w:t xml:space="preserve"> </w:t>
            </w:r>
            <w:r w:rsidR="00024677">
              <w:rPr>
                <w:rFonts w:ascii="Calibri" w:eastAsiaTheme="majorEastAsia" w:hAnsi="Calibri" w:cs="Calibri"/>
                <w:color w:val="000000" w:themeColor="text1"/>
                <w:lang w:val="en-US"/>
              </w:rPr>
              <w:t xml:space="preserve">from </w:t>
            </w:r>
            <w:r w:rsidR="00024677" w:rsidRPr="00F569AE">
              <w:rPr>
                <w:rFonts w:ascii="Calibri" w:eastAsiaTheme="majorEastAsia" w:hAnsi="Calibri" w:cs="Calibri"/>
                <w:color w:val="000000" w:themeColor="text1"/>
                <w:lang w:val="en-US"/>
              </w:rPr>
              <w:t xml:space="preserve">the </w:t>
            </w:r>
            <w:r w:rsidR="00024677" w:rsidRPr="00F569AE">
              <w:rPr>
                <w:rFonts w:ascii="Calibri" w:hAnsi="Calibri" w:cs="Calibri"/>
                <w:color w:val="000000" w:themeColor="text1"/>
                <w:lang w:val="en-US"/>
              </w:rPr>
              <w:t>Government of Switzerland, the Government of Sweden, the Embassy of the Czech Republic in BiH, and the European Delegation in BiH</w:t>
            </w:r>
            <w:r w:rsidR="002636A2">
              <w:rPr>
                <w:rFonts w:ascii="Calibri" w:hAnsi="Calibri" w:cs="Calibri"/>
                <w:color w:val="000000" w:themeColor="text1"/>
                <w:lang w:val="en-US"/>
              </w:rPr>
              <w:t>.</w:t>
            </w:r>
            <w:r w:rsidR="00024677" w:rsidRPr="00F569AE">
              <w:rPr>
                <w:rFonts w:ascii="Calibri" w:eastAsiaTheme="majorEastAsia" w:hAnsi="Calibri" w:cs="Calibri"/>
                <w:color w:val="000000" w:themeColor="text1"/>
                <w:lang w:val="en-US"/>
              </w:rPr>
              <w:t xml:space="preserve"> </w:t>
            </w:r>
            <w:r w:rsidR="002636A2">
              <w:rPr>
                <w:rFonts w:ascii="Calibri" w:eastAsiaTheme="majorEastAsia" w:hAnsi="Calibri" w:cs="Calibri"/>
                <w:color w:val="000000" w:themeColor="text1"/>
                <w:lang w:val="en-US"/>
              </w:rPr>
              <w:t>The project</w:t>
            </w:r>
            <w:r w:rsidRPr="00F569AE">
              <w:rPr>
                <w:rFonts w:ascii="Calibri" w:eastAsiaTheme="majorEastAsia" w:hAnsi="Calibri" w:cs="Calibri"/>
                <w:color w:val="000000" w:themeColor="text1"/>
                <w:lang w:val="en-US"/>
              </w:rPr>
              <w:t xml:space="preserve"> demonstrated cost-effectiveness (i.e. the outcomes of the project were achieved) and adequate equity consideration in its benefits (i.e. project </w:t>
            </w:r>
            <w:r w:rsidRPr="00F569AE">
              <w:rPr>
                <w:rFonts w:ascii="Calibri" w:eastAsiaTheme="majorEastAsia" w:hAnsi="Calibri" w:cs="Calibri"/>
                <w:color w:val="000000" w:themeColor="text1"/>
                <w:lang w:val="en-US"/>
              </w:rPr>
              <w:lastRenderedPageBreak/>
              <w:t xml:space="preserve">benefits were shared across various groups of stakeholders, especially, vulnerable ones). While the staffing was adequate for the project implementation, </w:t>
            </w:r>
            <w:r w:rsidR="00DF383A">
              <w:rPr>
                <w:rFonts w:ascii="Calibri" w:eastAsiaTheme="majorEastAsia" w:hAnsi="Calibri" w:cs="Calibri"/>
                <w:color w:val="000000" w:themeColor="text1"/>
                <w:lang w:val="en-US"/>
              </w:rPr>
              <w:t>however, sub-optimal attention was paid to monitoring, risk management, and learning within the project</w:t>
            </w:r>
            <w:r w:rsidRPr="00F569AE">
              <w:rPr>
                <w:rFonts w:ascii="Calibri" w:eastAsiaTheme="majorEastAsia" w:hAnsi="Calibri" w:cs="Calibri"/>
                <w:color w:val="000000" w:themeColor="text1"/>
                <w:lang w:val="en-US"/>
              </w:rPr>
              <w:t xml:space="preserve">. </w:t>
            </w:r>
          </w:p>
          <w:p w14:paraId="35B756E3" w14:textId="77777777" w:rsidR="00E315E2" w:rsidRDefault="00E315E2" w:rsidP="0002596B">
            <w:pPr>
              <w:spacing w:line="276" w:lineRule="auto"/>
              <w:jc w:val="both"/>
              <w:rPr>
                <w:rFonts w:ascii="Calibri" w:hAnsi="Calibri" w:cs="Calibri"/>
                <w:lang w:val="en-US"/>
              </w:rPr>
            </w:pPr>
          </w:p>
          <w:p w14:paraId="083E460B" w14:textId="77777777" w:rsidR="00A74D8D" w:rsidRDefault="00A74D8D" w:rsidP="0002596B">
            <w:pPr>
              <w:spacing w:line="276" w:lineRule="auto"/>
              <w:jc w:val="both"/>
              <w:rPr>
                <w:rFonts w:ascii="Calibri" w:hAnsi="Calibri" w:cs="Calibri"/>
                <w:lang w:val="en-US"/>
              </w:rPr>
            </w:pPr>
            <w:r w:rsidRPr="00F569AE">
              <w:rPr>
                <w:rFonts w:ascii="Calibri" w:hAnsi="Calibri" w:cs="Calibri"/>
                <w:lang w:val="en-US"/>
              </w:rPr>
              <w:t xml:space="preserve">The low budget delivery rate </w:t>
            </w:r>
            <w:r w:rsidR="00DF383A">
              <w:rPr>
                <w:rFonts w:ascii="Calibri" w:hAnsi="Calibri" w:cs="Calibri"/>
                <w:lang w:val="en-US"/>
              </w:rPr>
              <w:t>under</w:t>
            </w:r>
            <w:r w:rsidRPr="00F569AE">
              <w:rPr>
                <w:rFonts w:ascii="Calibri" w:hAnsi="Calibri" w:cs="Calibri"/>
                <w:lang w:val="en-US"/>
              </w:rPr>
              <w:t xml:space="preserve"> Outcome 1 </w:t>
            </w:r>
            <w:r w:rsidR="00DF383A">
              <w:rPr>
                <w:rFonts w:ascii="Calibri" w:hAnsi="Calibri" w:cs="Calibri"/>
                <w:lang w:val="en-US"/>
              </w:rPr>
              <w:t>(</w:t>
            </w:r>
            <w:r w:rsidR="00DF383A" w:rsidRPr="00720D04">
              <w:rPr>
                <w:rFonts w:ascii="Calibri" w:hAnsi="Calibri" w:cs="Calibri"/>
                <w:lang w:val="en-US"/>
              </w:rPr>
              <w:t>policy and regulatory environment</w:t>
            </w:r>
            <w:r w:rsidR="00DF383A">
              <w:rPr>
                <w:rFonts w:ascii="Calibri" w:hAnsi="Calibri" w:cs="Calibri"/>
                <w:lang w:val="en-US"/>
              </w:rPr>
              <w:t xml:space="preserve">) </w:t>
            </w:r>
            <w:r w:rsidRPr="00F569AE">
              <w:rPr>
                <w:rFonts w:ascii="Calibri" w:hAnsi="Calibri" w:cs="Calibri"/>
                <w:lang w:val="en-US"/>
              </w:rPr>
              <w:t xml:space="preserve">had various reasons, however, </w:t>
            </w:r>
            <w:r w:rsidR="00844363" w:rsidRPr="00F569AE">
              <w:rPr>
                <w:rFonts w:ascii="Calibri" w:hAnsi="Calibri" w:cs="Calibri"/>
                <w:lang w:val="en-US"/>
              </w:rPr>
              <w:t xml:space="preserve">a </w:t>
            </w:r>
            <w:r w:rsidRPr="00F569AE">
              <w:rPr>
                <w:rFonts w:ascii="Calibri" w:hAnsi="Calibri" w:cs="Calibri"/>
                <w:lang w:val="en-US"/>
              </w:rPr>
              <w:t xml:space="preserve">stronger role of the </w:t>
            </w:r>
            <w:r w:rsidR="00DF383A">
              <w:rPr>
                <w:rFonts w:ascii="Calibri" w:hAnsi="Calibri" w:cs="Calibri"/>
                <w:lang w:val="en-US"/>
              </w:rPr>
              <w:t>Project Board</w:t>
            </w:r>
            <w:r w:rsidRPr="00F569AE">
              <w:rPr>
                <w:rFonts w:ascii="Calibri" w:hAnsi="Calibri" w:cs="Calibri"/>
                <w:lang w:val="en-US"/>
              </w:rPr>
              <w:t xml:space="preserve"> would be expected to anticipate and mitigate risks and find alternative solutions (e.g. invest in fostering policy dialogue on water sector needs, challenges, opportunities for reform</w:t>
            </w:r>
            <w:r w:rsidR="00844363" w:rsidRPr="00F569AE">
              <w:rPr>
                <w:rFonts w:ascii="Calibri" w:hAnsi="Calibri" w:cs="Calibri"/>
                <w:lang w:val="en-US"/>
              </w:rPr>
              <w:t>,</w:t>
            </w:r>
            <w:r w:rsidRPr="00F569AE">
              <w:rPr>
                <w:rFonts w:ascii="Calibri" w:hAnsi="Calibri" w:cs="Calibri"/>
                <w:lang w:val="en-US"/>
              </w:rPr>
              <w:t xml:space="preserve"> and such).</w:t>
            </w:r>
          </w:p>
          <w:p w14:paraId="3AB15A90" w14:textId="77777777" w:rsidR="00F24212" w:rsidRDefault="00F24212" w:rsidP="0002596B">
            <w:pPr>
              <w:spacing w:line="276" w:lineRule="auto"/>
              <w:jc w:val="both"/>
              <w:rPr>
                <w:rFonts w:ascii="Calibri" w:hAnsi="Calibri" w:cs="Calibri"/>
                <w:color w:val="000000" w:themeColor="text1"/>
                <w:lang w:val="en-US"/>
              </w:rPr>
            </w:pPr>
          </w:p>
          <w:p w14:paraId="0E8A0166" w14:textId="5F82C3FF" w:rsidR="00F24212" w:rsidRPr="00F24212" w:rsidRDefault="00F24212" w:rsidP="0002596B">
            <w:pPr>
              <w:spacing w:line="276" w:lineRule="auto"/>
              <w:jc w:val="both"/>
              <w:rPr>
                <w:rFonts w:ascii="Calibri" w:eastAsiaTheme="majorEastAsia" w:hAnsi="Calibri" w:cs="Calibri"/>
              </w:rPr>
            </w:pPr>
            <w:r w:rsidRPr="0047260B">
              <w:rPr>
                <w:rFonts w:ascii="Calibri" w:hAnsi="Calibri" w:cs="Calibri"/>
              </w:rPr>
              <w:t>The project could benefit from more structured analytical function and learning, leveraging on monitoring and risk assessment, allowing thereby stronger strategic planning and expectations management of its external stakeholders, specifically, donors.</w:t>
            </w:r>
          </w:p>
        </w:tc>
      </w:tr>
    </w:tbl>
    <w:p w14:paraId="3DAFD3E1" w14:textId="77777777" w:rsidR="00A74D8D" w:rsidRPr="00F569AE" w:rsidRDefault="00A74D8D" w:rsidP="0002596B">
      <w:pPr>
        <w:spacing w:line="276" w:lineRule="auto"/>
        <w:jc w:val="both"/>
        <w:rPr>
          <w:rFonts w:ascii="Calibri" w:eastAsiaTheme="majorEastAsia" w:hAnsi="Calibri" w:cs="Calibri"/>
          <w:color w:val="0F4761" w:themeColor="accent1" w:themeShade="BF"/>
          <w:lang w:val="en-US"/>
        </w:rPr>
      </w:pPr>
    </w:p>
    <w:p w14:paraId="7474E2BF" w14:textId="69196991" w:rsidR="0002596B" w:rsidRPr="00F569AE" w:rsidRDefault="0002596B" w:rsidP="0002596B">
      <w:pPr>
        <w:spacing w:line="276" w:lineRule="auto"/>
        <w:jc w:val="both"/>
        <w:rPr>
          <w:rFonts w:ascii="Calibri" w:hAnsi="Calibri" w:cs="Calibri"/>
          <w:i/>
          <w:color w:val="000000"/>
          <w:lang w:val="en-US"/>
        </w:rPr>
      </w:pPr>
      <w:r w:rsidRPr="00F569AE">
        <w:rPr>
          <w:rFonts w:ascii="Calibri" w:hAnsi="Calibri" w:cs="Calibri"/>
          <w:i/>
          <w:color w:val="000000"/>
          <w:lang w:val="en-US"/>
        </w:rPr>
        <w:t>10. To what extent did the Project make efficient use of available resources (time, money, staff) to achieve its results?</w:t>
      </w:r>
      <w:r w:rsidR="005F288E" w:rsidRPr="00F569AE">
        <w:rPr>
          <w:rFonts w:ascii="Calibri" w:hAnsi="Calibri" w:cs="Calibri"/>
          <w:i/>
          <w:color w:val="000000"/>
          <w:lang w:val="en-US"/>
        </w:rPr>
        <w:t xml:space="preserve"> </w:t>
      </w:r>
      <w:r w:rsidRPr="00F569AE">
        <w:rPr>
          <w:rFonts w:ascii="Calibri" w:hAnsi="Calibri" w:cs="Calibri"/>
          <w:i/>
          <w:color w:val="000000"/>
          <w:lang w:val="en-US"/>
        </w:rPr>
        <w:t>11. To what extent the Project mobilized value-for-money through its diverse funding schemes?</w:t>
      </w:r>
    </w:p>
    <w:p w14:paraId="65A388E9" w14:textId="1222C981" w:rsidR="00157115" w:rsidRPr="00F569AE" w:rsidRDefault="005F288E" w:rsidP="0002596B">
      <w:pPr>
        <w:spacing w:line="276" w:lineRule="auto"/>
        <w:jc w:val="both"/>
        <w:rPr>
          <w:rFonts w:ascii="Calibri" w:eastAsiaTheme="majorEastAsia" w:hAnsi="Calibri" w:cs="Calibri"/>
          <w:color w:val="000000" w:themeColor="text1"/>
          <w:lang w:val="en-US"/>
        </w:rPr>
      </w:pPr>
      <w:r w:rsidRPr="00F569AE">
        <w:rPr>
          <w:rFonts w:ascii="Calibri" w:eastAsiaTheme="majorEastAsia" w:hAnsi="Calibri" w:cs="Calibri"/>
          <w:color w:val="000000" w:themeColor="text1"/>
          <w:lang w:val="en-US"/>
        </w:rPr>
        <w:t xml:space="preserve">The </w:t>
      </w:r>
      <w:r w:rsidR="00D151A4" w:rsidRPr="00F569AE">
        <w:rPr>
          <w:rFonts w:ascii="Calibri" w:hAnsi="Calibri" w:cs="Calibri"/>
          <w:color w:val="000000"/>
          <w:lang w:val="en-US"/>
        </w:rPr>
        <w:t xml:space="preserve">MEG/EU4MEG </w:t>
      </w:r>
      <w:r w:rsidRPr="00F569AE">
        <w:rPr>
          <w:rFonts w:ascii="Calibri" w:eastAsiaTheme="majorEastAsia" w:hAnsi="Calibri" w:cs="Calibri"/>
          <w:color w:val="000000" w:themeColor="text1"/>
          <w:lang w:val="en-US"/>
        </w:rPr>
        <w:t xml:space="preserve">was funded by the </w:t>
      </w:r>
      <w:r w:rsidRPr="00F569AE">
        <w:rPr>
          <w:rFonts w:ascii="Calibri" w:hAnsi="Calibri" w:cs="Calibri"/>
          <w:color w:val="000000" w:themeColor="text1"/>
          <w:lang w:val="en-US"/>
        </w:rPr>
        <w:t xml:space="preserve">Government of Switzerland, </w:t>
      </w:r>
      <w:r w:rsidR="00844363" w:rsidRPr="00F569AE">
        <w:rPr>
          <w:rFonts w:ascii="Calibri" w:hAnsi="Calibri" w:cs="Calibri"/>
          <w:color w:val="000000" w:themeColor="text1"/>
          <w:lang w:val="en-US"/>
        </w:rPr>
        <w:t xml:space="preserve">the </w:t>
      </w:r>
      <w:r w:rsidRPr="00F569AE">
        <w:rPr>
          <w:rFonts w:ascii="Calibri" w:hAnsi="Calibri" w:cs="Calibri"/>
          <w:color w:val="000000" w:themeColor="text1"/>
          <w:lang w:val="en-US"/>
        </w:rPr>
        <w:t xml:space="preserve">Government of Sweden, </w:t>
      </w:r>
      <w:r w:rsidR="00844363" w:rsidRPr="00F569AE">
        <w:rPr>
          <w:rFonts w:ascii="Calibri" w:hAnsi="Calibri" w:cs="Calibri"/>
          <w:color w:val="000000" w:themeColor="text1"/>
          <w:lang w:val="en-US"/>
        </w:rPr>
        <w:t xml:space="preserve">the </w:t>
      </w:r>
      <w:r w:rsidRPr="00F569AE">
        <w:rPr>
          <w:rFonts w:ascii="Calibri" w:hAnsi="Calibri" w:cs="Calibri"/>
          <w:color w:val="000000" w:themeColor="text1"/>
          <w:lang w:val="en-US"/>
        </w:rPr>
        <w:t xml:space="preserve">Embassy of the Czech Republic in BiH, </w:t>
      </w:r>
      <w:r w:rsidR="009E604F" w:rsidRPr="00F569AE">
        <w:rPr>
          <w:rFonts w:ascii="Calibri" w:hAnsi="Calibri" w:cs="Calibri"/>
          <w:color w:val="000000" w:themeColor="text1"/>
          <w:lang w:val="en-US"/>
        </w:rPr>
        <w:t xml:space="preserve">and the </w:t>
      </w:r>
      <w:r w:rsidRPr="00F569AE">
        <w:rPr>
          <w:rFonts w:ascii="Calibri" w:hAnsi="Calibri" w:cs="Calibri"/>
          <w:color w:val="000000" w:themeColor="text1"/>
          <w:lang w:val="en-US"/>
        </w:rPr>
        <w:t>European Delegation in BiH</w:t>
      </w:r>
      <w:r w:rsidRPr="00F569AE">
        <w:rPr>
          <w:rFonts w:ascii="Calibri" w:eastAsiaTheme="majorEastAsia" w:hAnsi="Calibri" w:cs="Calibri"/>
          <w:color w:val="000000" w:themeColor="text1"/>
          <w:lang w:val="en-US"/>
        </w:rPr>
        <w:t>. Table 5 below provides an overview of the funding and budget utilization per donor.</w:t>
      </w:r>
      <w:r w:rsidR="00157115" w:rsidRPr="00F569AE">
        <w:rPr>
          <w:rFonts w:ascii="Calibri" w:eastAsiaTheme="majorEastAsia" w:hAnsi="Calibri" w:cs="Calibri"/>
          <w:color w:val="000000" w:themeColor="text1"/>
          <w:lang w:val="en-US"/>
        </w:rPr>
        <w:t xml:space="preserve"> Table 6 provides an overview of the budget per outcome areas and per year. </w:t>
      </w:r>
    </w:p>
    <w:p w14:paraId="5766306B" w14:textId="77777777" w:rsidR="00CC0C8F" w:rsidRPr="00F569AE" w:rsidRDefault="00CC0C8F" w:rsidP="0002596B">
      <w:pPr>
        <w:spacing w:line="276" w:lineRule="auto"/>
        <w:jc w:val="both"/>
        <w:rPr>
          <w:rFonts w:ascii="Calibri" w:eastAsiaTheme="majorEastAsia" w:hAnsi="Calibri" w:cs="Calibri"/>
          <w:color w:val="000000" w:themeColor="text1"/>
          <w:lang w:val="en-US"/>
        </w:rPr>
      </w:pPr>
    </w:p>
    <w:p w14:paraId="791C0C14" w14:textId="77777777" w:rsidR="00157115" w:rsidRPr="00F569AE" w:rsidRDefault="00157115" w:rsidP="00157115">
      <w:pPr>
        <w:spacing w:line="276" w:lineRule="auto"/>
        <w:jc w:val="both"/>
        <w:rPr>
          <w:rFonts w:ascii="Calibri" w:hAnsi="Calibri" w:cs="Calibri"/>
          <w:sz w:val="20"/>
          <w:szCs w:val="20"/>
          <w:lang w:val="en-US"/>
        </w:rPr>
      </w:pPr>
      <w:r w:rsidRPr="00F569AE">
        <w:rPr>
          <w:rFonts w:ascii="Calibri" w:hAnsi="Calibri" w:cs="Calibri"/>
          <w:sz w:val="20"/>
          <w:szCs w:val="20"/>
          <w:lang w:val="en-US"/>
        </w:rPr>
        <w:t>*Budget committed – is the budget donor agreed to provide for the project</w:t>
      </w:r>
    </w:p>
    <w:p w14:paraId="44085E51" w14:textId="0004B227" w:rsidR="00157115" w:rsidRPr="00F569AE" w:rsidRDefault="00157115" w:rsidP="00157115">
      <w:pPr>
        <w:spacing w:line="276" w:lineRule="auto"/>
        <w:jc w:val="both"/>
        <w:rPr>
          <w:rFonts w:ascii="Calibri" w:hAnsi="Calibri" w:cs="Calibri"/>
          <w:sz w:val="20"/>
          <w:szCs w:val="20"/>
          <w:lang w:val="en-US"/>
        </w:rPr>
      </w:pPr>
      <w:r w:rsidRPr="00F569AE">
        <w:rPr>
          <w:rFonts w:ascii="Calibri" w:hAnsi="Calibri" w:cs="Calibri"/>
          <w:sz w:val="20"/>
          <w:szCs w:val="20"/>
          <w:lang w:val="en-US"/>
        </w:rPr>
        <w:t xml:space="preserve">** Budget </w:t>
      </w:r>
      <w:r w:rsidR="002069B2" w:rsidRPr="00F569AE">
        <w:rPr>
          <w:rFonts w:ascii="Calibri" w:hAnsi="Calibri" w:cs="Calibri"/>
          <w:sz w:val="20"/>
          <w:szCs w:val="20"/>
          <w:lang w:val="en-US"/>
        </w:rPr>
        <w:t>allotted</w:t>
      </w:r>
      <w:r w:rsidRPr="00F569AE">
        <w:rPr>
          <w:rFonts w:ascii="Calibri" w:hAnsi="Calibri" w:cs="Calibri"/>
          <w:sz w:val="20"/>
          <w:szCs w:val="20"/>
          <w:lang w:val="en-US"/>
        </w:rPr>
        <w:t xml:space="preserve"> – is the budget made </w:t>
      </w:r>
      <w:r w:rsidR="002069B2" w:rsidRPr="00F569AE">
        <w:rPr>
          <w:rFonts w:ascii="Calibri" w:hAnsi="Calibri" w:cs="Calibri"/>
          <w:sz w:val="20"/>
          <w:szCs w:val="20"/>
          <w:lang w:val="en-US"/>
        </w:rPr>
        <w:t>available</w:t>
      </w:r>
      <w:r w:rsidRPr="00F569AE">
        <w:rPr>
          <w:rFonts w:ascii="Calibri" w:hAnsi="Calibri" w:cs="Calibri"/>
          <w:sz w:val="20"/>
          <w:szCs w:val="20"/>
          <w:lang w:val="en-US"/>
        </w:rPr>
        <w:t xml:space="preserve"> (already </w:t>
      </w:r>
      <w:r w:rsidR="002069B2" w:rsidRPr="00F569AE">
        <w:rPr>
          <w:rFonts w:ascii="Calibri" w:hAnsi="Calibri" w:cs="Calibri"/>
          <w:sz w:val="20"/>
          <w:szCs w:val="20"/>
          <w:lang w:val="en-US"/>
        </w:rPr>
        <w:t>transferred</w:t>
      </w:r>
      <w:r w:rsidRPr="00F569AE">
        <w:rPr>
          <w:rFonts w:ascii="Calibri" w:hAnsi="Calibri" w:cs="Calibri"/>
          <w:sz w:val="20"/>
          <w:szCs w:val="20"/>
          <w:lang w:val="en-US"/>
        </w:rPr>
        <w:t xml:space="preserve">) to the project </w:t>
      </w:r>
    </w:p>
    <w:p w14:paraId="1017176E" w14:textId="77777777" w:rsidR="00157115" w:rsidRPr="00F569AE" w:rsidRDefault="00157115" w:rsidP="00157115">
      <w:pPr>
        <w:spacing w:line="276" w:lineRule="auto"/>
        <w:jc w:val="both"/>
        <w:rPr>
          <w:rFonts w:ascii="Calibri" w:hAnsi="Calibri" w:cs="Calibri"/>
          <w:sz w:val="20"/>
          <w:szCs w:val="20"/>
          <w:lang w:val="en-US"/>
        </w:rPr>
      </w:pPr>
      <w:r w:rsidRPr="00F569AE">
        <w:rPr>
          <w:rFonts w:ascii="Calibri" w:hAnsi="Calibri" w:cs="Calibri"/>
          <w:sz w:val="20"/>
          <w:szCs w:val="20"/>
          <w:lang w:val="en-US"/>
        </w:rPr>
        <w:t>*** Budget expenditure (or utilization) – are expenses encountered by the project</w:t>
      </w:r>
    </w:p>
    <w:p w14:paraId="60EA8DCF" w14:textId="5DB1E510" w:rsidR="00157115" w:rsidRPr="00F569AE" w:rsidRDefault="00157115" w:rsidP="00157115">
      <w:pPr>
        <w:spacing w:line="276" w:lineRule="auto"/>
        <w:jc w:val="both"/>
        <w:rPr>
          <w:rFonts w:ascii="Calibri" w:hAnsi="Calibri" w:cs="Calibri"/>
          <w:sz w:val="20"/>
          <w:szCs w:val="20"/>
          <w:lang w:val="en-US"/>
        </w:rPr>
      </w:pPr>
      <w:r w:rsidRPr="00F569AE">
        <w:rPr>
          <w:rFonts w:ascii="Calibri" w:hAnsi="Calibri" w:cs="Calibri"/>
          <w:sz w:val="20"/>
          <w:szCs w:val="20"/>
          <w:lang w:val="en-US"/>
        </w:rPr>
        <w:t xml:space="preserve">**** Budget utilization (or delivery) rate – is the % of the budget utilized to budget </w:t>
      </w:r>
      <w:r w:rsidR="002069B2" w:rsidRPr="00F569AE">
        <w:rPr>
          <w:rFonts w:ascii="Calibri" w:hAnsi="Calibri" w:cs="Calibri"/>
          <w:sz w:val="20"/>
          <w:szCs w:val="20"/>
          <w:lang w:val="en-US"/>
        </w:rPr>
        <w:t>allotted</w:t>
      </w:r>
    </w:p>
    <w:p w14:paraId="214F168B" w14:textId="77777777" w:rsidR="00157115" w:rsidRPr="00F569AE" w:rsidRDefault="00157115" w:rsidP="00157115">
      <w:pPr>
        <w:spacing w:line="276" w:lineRule="auto"/>
        <w:jc w:val="both"/>
        <w:rPr>
          <w:rFonts w:ascii="Calibri" w:hAnsi="Calibri" w:cs="Calibri"/>
          <w:sz w:val="20"/>
          <w:szCs w:val="20"/>
          <w:lang w:val="en-US"/>
        </w:rPr>
      </w:pPr>
      <w:r w:rsidRPr="00F569AE">
        <w:rPr>
          <w:rFonts w:ascii="Calibri" w:hAnsi="Calibri" w:cs="Calibri"/>
          <w:sz w:val="20"/>
          <w:szCs w:val="20"/>
          <w:lang w:val="en-US"/>
        </w:rPr>
        <w:t>*****Budget requested – is the budget requested in the prodoc</w:t>
      </w:r>
    </w:p>
    <w:p w14:paraId="5EC0993C" w14:textId="77777777" w:rsidR="005F288E" w:rsidRPr="00F569AE" w:rsidRDefault="005F288E" w:rsidP="0002596B">
      <w:pPr>
        <w:spacing w:line="276" w:lineRule="auto"/>
        <w:jc w:val="both"/>
        <w:rPr>
          <w:rFonts w:ascii="Calibri" w:eastAsiaTheme="majorEastAsia" w:hAnsi="Calibri" w:cs="Calibri"/>
          <w:color w:val="0F4761" w:themeColor="accent1" w:themeShade="BF"/>
          <w:lang w:val="en-US"/>
        </w:rPr>
      </w:pPr>
    </w:p>
    <w:p w14:paraId="4DCB7DA1" w14:textId="78C6DA4C" w:rsidR="005F288E" w:rsidRPr="00F569AE" w:rsidRDefault="005F288E" w:rsidP="0002596B">
      <w:pPr>
        <w:spacing w:line="276" w:lineRule="auto"/>
        <w:jc w:val="both"/>
        <w:rPr>
          <w:rFonts w:ascii="Calibri" w:eastAsiaTheme="majorEastAsia" w:hAnsi="Calibri" w:cs="Calibri"/>
          <w:b/>
          <w:color w:val="000000" w:themeColor="text1"/>
          <w:lang w:val="en-US"/>
        </w:rPr>
      </w:pPr>
      <w:r w:rsidRPr="00F569AE">
        <w:rPr>
          <w:rFonts w:ascii="Calibri" w:eastAsiaTheme="majorEastAsia" w:hAnsi="Calibri" w:cs="Calibri"/>
          <w:b/>
          <w:color w:val="000000" w:themeColor="text1"/>
          <w:lang w:val="en-US"/>
        </w:rPr>
        <w:t>Table 5: Funding overview per donor</w:t>
      </w:r>
      <w:r w:rsidR="00D27A51" w:rsidRPr="00F569AE">
        <w:rPr>
          <w:rFonts w:ascii="Calibri" w:eastAsiaTheme="majorEastAsia" w:hAnsi="Calibri" w:cs="Calibri"/>
          <w:b/>
          <w:color w:val="000000" w:themeColor="text1"/>
          <w:lang w:val="en-US"/>
        </w:rPr>
        <w:t>, USD</w:t>
      </w:r>
    </w:p>
    <w:tbl>
      <w:tblPr>
        <w:tblStyle w:val="TableGrid"/>
        <w:tblW w:w="0" w:type="auto"/>
        <w:tblLook w:val="04A0" w:firstRow="1" w:lastRow="0" w:firstColumn="1" w:lastColumn="0" w:noHBand="0" w:noVBand="1"/>
      </w:tblPr>
      <w:tblGrid>
        <w:gridCol w:w="1804"/>
        <w:gridCol w:w="1877"/>
        <w:gridCol w:w="1984"/>
        <w:gridCol w:w="1985"/>
        <w:gridCol w:w="1360"/>
      </w:tblGrid>
      <w:tr w:rsidR="00D27A51" w:rsidRPr="00F569AE" w14:paraId="2C53AF51" w14:textId="77777777" w:rsidTr="00D27A51">
        <w:tc>
          <w:tcPr>
            <w:tcW w:w="1804" w:type="dxa"/>
            <w:shd w:val="clear" w:color="auto" w:fill="A5C9EB" w:themeFill="text2" w:themeFillTint="40"/>
          </w:tcPr>
          <w:p w14:paraId="178DF1C0" w14:textId="77777777" w:rsidR="00D27A51" w:rsidRPr="00F569AE" w:rsidRDefault="00D27A51" w:rsidP="00A5744A">
            <w:pPr>
              <w:jc w:val="center"/>
              <w:rPr>
                <w:rFonts w:ascii="Calibri" w:hAnsi="Calibri" w:cs="Calibri"/>
                <w:b/>
                <w:i/>
                <w:sz w:val="22"/>
                <w:szCs w:val="22"/>
                <w:lang w:val="en-US"/>
              </w:rPr>
            </w:pPr>
            <w:r w:rsidRPr="00F569AE">
              <w:rPr>
                <w:rFonts w:ascii="Calibri" w:hAnsi="Calibri" w:cs="Calibri"/>
                <w:b/>
                <w:i/>
                <w:sz w:val="22"/>
                <w:szCs w:val="22"/>
                <w:lang w:val="en-US"/>
              </w:rPr>
              <w:t>Donor</w:t>
            </w:r>
          </w:p>
        </w:tc>
        <w:tc>
          <w:tcPr>
            <w:tcW w:w="1877" w:type="dxa"/>
            <w:shd w:val="clear" w:color="auto" w:fill="A5C9EB" w:themeFill="text2" w:themeFillTint="40"/>
          </w:tcPr>
          <w:p w14:paraId="3B80221A" w14:textId="1A88A514" w:rsidR="00D27A51" w:rsidRPr="00F569AE" w:rsidRDefault="00D27A51" w:rsidP="00A5744A">
            <w:pPr>
              <w:jc w:val="center"/>
              <w:rPr>
                <w:rFonts w:ascii="Calibri" w:hAnsi="Calibri" w:cs="Calibri"/>
                <w:b/>
                <w:i/>
                <w:sz w:val="22"/>
                <w:szCs w:val="22"/>
                <w:lang w:val="en-US"/>
              </w:rPr>
            </w:pPr>
            <w:r w:rsidRPr="00F569AE">
              <w:rPr>
                <w:rFonts w:ascii="Calibri" w:hAnsi="Calibri" w:cs="Calibri"/>
                <w:b/>
                <w:i/>
                <w:sz w:val="22"/>
                <w:szCs w:val="22"/>
                <w:lang w:val="en-US"/>
              </w:rPr>
              <w:t>Budget committed*</w:t>
            </w:r>
          </w:p>
        </w:tc>
        <w:tc>
          <w:tcPr>
            <w:tcW w:w="1984" w:type="dxa"/>
            <w:shd w:val="clear" w:color="auto" w:fill="A5C9EB" w:themeFill="text2" w:themeFillTint="40"/>
          </w:tcPr>
          <w:p w14:paraId="246A998C" w14:textId="77777777" w:rsidR="00D27A51" w:rsidRPr="00F569AE" w:rsidRDefault="00D27A51" w:rsidP="00D27A51">
            <w:pPr>
              <w:jc w:val="center"/>
              <w:rPr>
                <w:rFonts w:ascii="Calibri" w:hAnsi="Calibri" w:cs="Calibri"/>
                <w:b/>
                <w:i/>
                <w:sz w:val="22"/>
                <w:szCs w:val="22"/>
                <w:lang w:val="en-US"/>
              </w:rPr>
            </w:pPr>
            <w:r w:rsidRPr="00F569AE">
              <w:rPr>
                <w:rFonts w:ascii="Calibri" w:hAnsi="Calibri" w:cs="Calibri"/>
                <w:b/>
                <w:i/>
                <w:sz w:val="22"/>
                <w:szCs w:val="22"/>
                <w:lang w:val="en-US"/>
              </w:rPr>
              <w:t>Budget</w:t>
            </w:r>
          </w:p>
          <w:p w14:paraId="3DA900A2" w14:textId="4E658BD2" w:rsidR="00D27A51" w:rsidRPr="00F569AE" w:rsidRDefault="00D27A51" w:rsidP="00D27A51">
            <w:pPr>
              <w:jc w:val="center"/>
              <w:rPr>
                <w:rFonts w:ascii="Calibri" w:hAnsi="Calibri" w:cs="Calibri"/>
                <w:b/>
                <w:i/>
                <w:sz w:val="22"/>
                <w:szCs w:val="22"/>
                <w:lang w:val="en-US"/>
              </w:rPr>
            </w:pPr>
            <w:r w:rsidRPr="00F569AE">
              <w:rPr>
                <w:rFonts w:ascii="Calibri" w:hAnsi="Calibri" w:cs="Calibri"/>
                <w:b/>
                <w:i/>
                <w:sz w:val="22"/>
                <w:szCs w:val="22"/>
                <w:lang w:val="en-US"/>
              </w:rPr>
              <w:t>Allot</w:t>
            </w:r>
            <w:r w:rsidR="00A72C9D" w:rsidRPr="00F569AE">
              <w:rPr>
                <w:rFonts w:ascii="Calibri" w:hAnsi="Calibri" w:cs="Calibri"/>
                <w:b/>
                <w:i/>
                <w:sz w:val="22"/>
                <w:szCs w:val="22"/>
                <w:lang w:val="en-US"/>
              </w:rPr>
              <w:t>t</w:t>
            </w:r>
            <w:r w:rsidRPr="00F569AE">
              <w:rPr>
                <w:rFonts w:ascii="Calibri" w:hAnsi="Calibri" w:cs="Calibri"/>
                <w:b/>
                <w:i/>
                <w:sz w:val="22"/>
                <w:szCs w:val="22"/>
                <w:lang w:val="en-US"/>
              </w:rPr>
              <w:t>ed**</w:t>
            </w:r>
          </w:p>
        </w:tc>
        <w:tc>
          <w:tcPr>
            <w:tcW w:w="1985" w:type="dxa"/>
            <w:shd w:val="clear" w:color="auto" w:fill="A5C9EB" w:themeFill="text2" w:themeFillTint="40"/>
          </w:tcPr>
          <w:p w14:paraId="178A21BE" w14:textId="0BD3D2F6" w:rsidR="00D27A51" w:rsidRPr="00F569AE" w:rsidRDefault="00D27A51" w:rsidP="00A5744A">
            <w:pPr>
              <w:jc w:val="center"/>
              <w:rPr>
                <w:rFonts w:ascii="Calibri" w:hAnsi="Calibri" w:cs="Calibri"/>
                <w:b/>
                <w:i/>
                <w:sz w:val="22"/>
                <w:szCs w:val="22"/>
                <w:lang w:val="en-US"/>
              </w:rPr>
            </w:pPr>
            <w:r w:rsidRPr="00F569AE">
              <w:rPr>
                <w:rFonts w:ascii="Calibri" w:hAnsi="Calibri" w:cs="Calibri"/>
                <w:b/>
                <w:i/>
                <w:sz w:val="22"/>
                <w:szCs w:val="22"/>
                <w:lang w:val="en-US"/>
              </w:rPr>
              <w:t>Budget utilized***</w:t>
            </w:r>
          </w:p>
        </w:tc>
        <w:tc>
          <w:tcPr>
            <w:tcW w:w="1360" w:type="dxa"/>
            <w:shd w:val="clear" w:color="auto" w:fill="A5C9EB" w:themeFill="text2" w:themeFillTint="40"/>
          </w:tcPr>
          <w:p w14:paraId="293D362A" w14:textId="66B4ABA1" w:rsidR="00D27A51" w:rsidRPr="00F569AE" w:rsidRDefault="00D27A51" w:rsidP="00A5744A">
            <w:pPr>
              <w:jc w:val="center"/>
              <w:rPr>
                <w:rFonts w:ascii="Calibri" w:hAnsi="Calibri" w:cs="Calibri"/>
                <w:b/>
                <w:i/>
                <w:sz w:val="22"/>
                <w:szCs w:val="22"/>
                <w:lang w:val="en-US"/>
              </w:rPr>
            </w:pPr>
            <w:r w:rsidRPr="00F569AE">
              <w:rPr>
                <w:rFonts w:ascii="Calibri" w:hAnsi="Calibri" w:cs="Calibri"/>
                <w:b/>
                <w:i/>
                <w:sz w:val="22"/>
                <w:szCs w:val="22"/>
                <w:lang w:val="en-US"/>
              </w:rPr>
              <w:t>Utilization rate****</w:t>
            </w:r>
          </w:p>
        </w:tc>
      </w:tr>
      <w:tr w:rsidR="00D27A51" w:rsidRPr="00F569AE" w14:paraId="691C3CE8" w14:textId="77777777" w:rsidTr="00D27A51">
        <w:tc>
          <w:tcPr>
            <w:tcW w:w="1804" w:type="dxa"/>
            <w:shd w:val="clear" w:color="auto" w:fill="A5C9EB" w:themeFill="text2" w:themeFillTint="40"/>
          </w:tcPr>
          <w:p w14:paraId="217989E6"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Switzerland</w:t>
            </w:r>
          </w:p>
        </w:tc>
        <w:tc>
          <w:tcPr>
            <w:tcW w:w="1877" w:type="dxa"/>
          </w:tcPr>
          <w:p w14:paraId="4EABFD5E"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6,600,000.00</w:t>
            </w:r>
          </w:p>
        </w:tc>
        <w:tc>
          <w:tcPr>
            <w:tcW w:w="1984" w:type="dxa"/>
          </w:tcPr>
          <w:p w14:paraId="3723DD8F"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6,600,000.00</w:t>
            </w:r>
          </w:p>
        </w:tc>
        <w:tc>
          <w:tcPr>
            <w:tcW w:w="1985" w:type="dxa"/>
          </w:tcPr>
          <w:p w14:paraId="75F78BB1"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4,886,308.61</w:t>
            </w:r>
          </w:p>
        </w:tc>
        <w:tc>
          <w:tcPr>
            <w:tcW w:w="1360" w:type="dxa"/>
          </w:tcPr>
          <w:p w14:paraId="34B6EFDA"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74%</w:t>
            </w:r>
          </w:p>
        </w:tc>
      </w:tr>
      <w:tr w:rsidR="00D27A51" w:rsidRPr="00F569AE" w14:paraId="57C0896A" w14:textId="77777777" w:rsidTr="00D27A51">
        <w:tc>
          <w:tcPr>
            <w:tcW w:w="1804" w:type="dxa"/>
            <w:shd w:val="clear" w:color="auto" w:fill="A5C9EB" w:themeFill="text2" w:themeFillTint="40"/>
          </w:tcPr>
          <w:p w14:paraId="7B5991C1"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Sweden</w:t>
            </w:r>
          </w:p>
        </w:tc>
        <w:tc>
          <w:tcPr>
            <w:tcW w:w="1877" w:type="dxa"/>
          </w:tcPr>
          <w:p w14:paraId="36399485"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1,006,252.59</w:t>
            </w:r>
          </w:p>
        </w:tc>
        <w:tc>
          <w:tcPr>
            <w:tcW w:w="1984" w:type="dxa"/>
          </w:tcPr>
          <w:p w14:paraId="5A039273"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1,006,252.59</w:t>
            </w:r>
          </w:p>
        </w:tc>
        <w:tc>
          <w:tcPr>
            <w:tcW w:w="1985" w:type="dxa"/>
          </w:tcPr>
          <w:p w14:paraId="56162157"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903,488.53</w:t>
            </w:r>
          </w:p>
        </w:tc>
        <w:tc>
          <w:tcPr>
            <w:tcW w:w="1360" w:type="dxa"/>
          </w:tcPr>
          <w:p w14:paraId="2A09DF19"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89%</w:t>
            </w:r>
          </w:p>
        </w:tc>
      </w:tr>
      <w:tr w:rsidR="00D27A51" w:rsidRPr="00F569AE" w14:paraId="44508DB9" w14:textId="77777777" w:rsidTr="00D27A51">
        <w:tc>
          <w:tcPr>
            <w:tcW w:w="1804" w:type="dxa"/>
            <w:shd w:val="clear" w:color="auto" w:fill="A5C9EB" w:themeFill="text2" w:themeFillTint="40"/>
          </w:tcPr>
          <w:p w14:paraId="10647E5A"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Czech Republic</w:t>
            </w:r>
          </w:p>
        </w:tc>
        <w:tc>
          <w:tcPr>
            <w:tcW w:w="1877" w:type="dxa"/>
          </w:tcPr>
          <w:p w14:paraId="7A500A2C"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 xml:space="preserve"> 720,558.81 </w:t>
            </w:r>
          </w:p>
          <w:p w14:paraId="6BA34520" w14:textId="77777777" w:rsidR="00D27A51" w:rsidRPr="00F569AE" w:rsidRDefault="00D27A51" w:rsidP="00A5744A">
            <w:pPr>
              <w:rPr>
                <w:rFonts w:ascii="Calibri" w:hAnsi="Calibri" w:cs="Calibri"/>
                <w:sz w:val="22"/>
                <w:szCs w:val="22"/>
                <w:lang w:val="en-US"/>
              </w:rPr>
            </w:pPr>
          </w:p>
        </w:tc>
        <w:tc>
          <w:tcPr>
            <w:tcW w:w="1984" w:type="dxa"/>
          </w:tcPr>
          <w:p w14:paraId="719FC24D"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720,558.81</w:t>
            </w:r>
          </w:p>
        </w:tc>
        <w:tc>
          <w:tcPr>
            <w:tcW w:w="1985" w:type="dxa"/>
          </w:tcPr>
          <w:p w14:paraId="18EDF08C"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418,077.99</w:t>
            </w:r>
          </w:p>
        </w:tc>
        <w:tc>
          <w:tcPr>
            <w:tcW w:w="1360" w:type="dxa"/>
          </w:tcPr>
          <w:p w14:paraId="7B31E5F9"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58%</w:t>
            </w:r>
          </w:p>
        </w:tc>
      </w:tr>
      <w:tr w:rsidR="00D27A51" w:rsidRPr="00F569AE" w14:paraId="31E2DA9E" w14:textId="77777777" w:rsidTr="00D27A51">
        <w:tc>
          <w:tcPr>
            <w:tcW w:w="1804" w:type="dxa"/>
            <w:shd w:val="clear" w:color="auto" w:fill="A5C9EB" w:themeFill="text2" w:themeFillTint="40"/>
          </w:tcPr>
          <w:p w14:paraId="6159CD3E"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EU Delegation</w:t>
            </w:r>
          </w:p>
        </w:tc>
        <w:tc>
          <w:tcPr>
            <w:tcW w:w="1877" w:type="dxa"/>
          </w:tcPr>
          <w:p w14:paraId="4D23B7F6"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 xml:space="preserve">2,099,491.28 </w:t>
            </w:r>
          </w:p>
        </w:tc>
        <w:tc>
          <w:tcPr>
            <w:tcW w:w="1984" w:type="dxa"/>
          </w:tcPr>
          <w:p w14:paraId="6E553C8B"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2,104,291.82</w:t>
            </w:r>
          </w:p>
        </w:tc>
        <w:tc>
          <w:tcPr>
            <w:tcW w:w="1985" w:type="dxa"/>
          </w:tcPr>
          <w:p w14:paraId="57009B14"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1,416,676.34</w:t>
            </w:r>
          </w:p>
        </w:tc>
        <w:tc>
          <w:tcPr>
            <w:tcW w:w="1360" w:type="dxa"/>
          </w:tcPr>
          <w:p w14:paraId="4D4A2E66" w14:textId="77777777" w:rsidR="00D27A51" w:rsidRPr="00F569AE" w:rsidRDefault="00D27A51" w:rsidP="00A5744A">
            <w:pPr>
              <w:rPr>
                <w:rFonts w:ascii="Calibri" w:hAnsi="Calibri" w:cs="Calibri"/>
                <w:sz w:val="22"/>
                <w:szCs w:val="22"/>
                <w:lang w:val="en-US"/>
              </w:rPr>
            </w:pPr>
            <w:r w:rsidRPr="00F569AE">
              <w:rPr>
                <w:rFonts w:ascii="Calibri" w:hAnsi="Calibri" w:cs="Calibri"/>
                <w:sz w:val="22"/>
                <w:szCs w:val="22"/>
                <w:lang w:val="en-US"/>
              </w:rPr>
              <w:t>67%</w:t>
            </w:r>
          </w:p>
        </w:tc>
      </w:tr>
    </w:tbl>
    <w:p w14:paraId="6790A06E" w14:textId="77777777" w:rsidR="005F288E" w:rsidRPr="00F569AE" w:rsidRDefault="005F288E" w:rsidP="0002596B">
      <w:pPr>
        <w:spacing w:line="276" w:lineRule="auto"/>
        <w:jc w:val="both"/>
        <w:rPr>
          <w:rFonts w:ascii="Calibri" w:eastAsiaTheme="majorEastAsia" w:hAnsi="Calibri" w:cs="Calibri"/>
          <w:color w:val="0F4761" w:themeColor="accent1" w:themeShade="BF"/>
          <w:lang w:val="en-US"/>
        </w:rPr>
      </w:pPr>
    </w:p>
    <w:p w14:paraId="4683722D" w14:textId="6FC48D7B" w:rsidR="005F288E" w:rsidRPr="00F569AE" w:rsidRDefault="00D151A4" w:rsidP="0002596B">
      <w:pPr>
        <w:spacing w:line="276" w:lineRule="auto"/>
        <w:jc w:val="both"/>
        <w:rPr>
          <w:rFonts w:ascii="Calibri" w:eastAsiaTheme="majorEastAsia" w:hAnsi="Calibri" w:cs="Calibri"/>
          <w:color w:val="000000" w:themeColor="text1"/>
          <w:lang w:val="en-US"/>
        </w:rPr>
      </w:pPr>
      <w:r w:rsidRPr="00F569AE">
        <w:rPr>
          <w:rFonts w:ascii="Calibri" w:eastAsiaTheme="majorEastAsia" w:hAnsi="Calibri" w:cs="Calibri"/>
          <w:color w:val="000000" w:themeColor="text1"/>
          <w:lang w:val="en-US"/>
        </w:rPr>
        <w:t>The value for money analysis would require assessment of the project benefits beyond just financial costs. Without going into cost-benefit analysis (</w:t>
      </w:r>
      <w:r w:rsidR="00CD4139" w:rsidRPr="00F569AE">
        <w:rPr>
          <w:rFonts w:ascii="Calibri" w:eastAsiaTheme="majorEastAsia" w:hAnsi="Calibri" w:cs="Calibri"/>
          <w:color w:val="000000" w:themeColor="text1"/>
          <w:lang w:val="en-US"/>
        </w:rPr>
        <w:t xml:space="preserve">i.e. if the outputs were produced with the lowest costs), the evaluation could conclude with certainty that the outcomes of the project were </w:t>
      </w:r>
      <w:r w:rsidR="006C5B64" w:rsidRPr="00F569AE">
        <w:rPr>
          <w:rFonts w:ascii="Calibri" w:eastAsiaTheme="majorEastAsia" w:hAnsi="Calibri" w:cs="Calibri"/>
          <w:color w:val="000000" w:themeColor="text1"/>
          <w:lang w:val="en-US"/>
        </w:rPr>
        <w:t>adequately</w:t>
      </w:r>
      <w:r w:rsidR="00CD4139" w:rsidRPr="00F569AE">
        <w:rPr>
          <w:rFonts w:ascii="Calibri" w:eastAsiaTheme="majorEastAsia" w:hAnsi="Calibri" w:cs="Calibri"/>
          <w:color w:val="000000" w:themeColor="text1"/>
          <w:lang w:val="en-US"/>
        </w:rPr>
        <w:t xml:space="preserve"> achieved (hence, cost-effectiveness) and that the benefits of the project </w:t>
      </w:r>
      <w:r w:rsidR="00A72C9D" w:rsidRPr="00F569AE">
        <w:rPr>
          <w:rFonts w:ascii="Calibri" w:eastAsiaTheme="majorEastAsia" w:hAnsi="Calibri" w:cs="Calibri"/>
          <w:color w:val="000000" w:themeColor="text1"/>
          <w:lang w:val="en-US"/>
        </w:rPr>
        <w:t xml:space="preserve">were </w:t>
      </w:r>
      <w:r w:rsidR="00CD4139" w:rsidRPr="00F569AE">
        <w:rPr>
          <w:rFonts w:ascii="Calibri" w:eastAsiaTheme="majorEastAsia" w:hAnsi="Calibri" w:cs="Calibri"/>
          <w:color w:val="000000" w:themeColor="text1"/>
          <w:lang w:val="en-US"/>
        </w:rPr>
        <w:t xml:space="preserve">shared across various groups of stakeholders, especially, vulnerable ones (hence, the equity dimension in efficiency analysis). </w:t>
      </w:r>
    </w:p>
    <w:p w14:paraId="4B434FEE" w14:textId="77777777" w:rsidR="00A72C9D" w:rsidRPr="00F569AE" w:rsidRDefault="00A72C9D" w:rsidP="0002596B">
      <w:pPr>
        <w:spacing w:line="276" w:lineRule="auto"/>
        <w:jc w:val="both"/>
        <w:rPr>
          <w:rFonts w:ascii="Calibri" w:eastAsiaTheme="majorEastAsia" w:hAnsi="Calibri" w:cs="Calibri"/>
          <w:color w:val="000000" w:themeColor="text1"/>
          <w:lang w:val="en-US"/>
        </w:rPr>
      </w:pPr>
    </w:p>
    <w:p w14:paraId="0E9E49CC" w14:textId="77777777" w:rsidR="005C5CF8" w:rsidRPr="00F569AE" w:rsidRDefault="005C5CF8" w:rsidP="005C5CF8">
      <w:pPr>
        <w:pStyle w:val="p1"/>
        <w:spacing w:line="276" w:lineRule="auto"/>
        <w:jc w:val="both"/>
        <w:rPr>
          <w:rFonts w:ascii="Calibri" w:hAnsi="Calibri" w:cs="Calibri"/>
          <w:sz w:val="24"/>
          <w:szCs w:val="24"/>
        </w:rPr>
      </w:pPr>
      <w:r w:rsidRPr="00F569AE">
        <w:rPr>
          <w:rFonts w:ascii="Calibri" w:hAnsi="Calibri" w:cs="Calibri"/>
          <w:sz w:val="24"/>
          <w:szCs w:val="24"/>
        </w:rPr>
        <w:lastRenderedPageBreak/>
        <w:t xml:space="preserve">The MEG/MEG4EU project was implemented with the core team </w:t>
      </w:r>
      <w:r>
        <w:rPr>
          <w:rFonts w:ascii="Calibri" w:hAnsi="Calibri" w:cs="Calibri"/>
          <w:sz w:val="24"/>
          <w:szCs w:val="24"/>
        </w:rPr>
        <w:t>that comprises</w:t>
      </w:r>
      <w:r w:rsidRPr="00F569AE">
        <w:rPr>
          <w:rFonts w:ascii="Calibri" w:hAnsi="Calibri" w:cs="Calibri"/>
          <w:sz w:val="24"/>
          <w:szCs w:val="24"/>
        </w:rPr>
        <w:t>:</w:t>
      </w:r>
    </w:p>
    <w:p w14:paraId="6981D23A" w14:textId="77777777" w:rsidR="005C5CF8" w:rsidRPr="00515B79" w:rsidRDefault="005C5CF8" w:rsidP="005C5CF8">
      <w:pPr>
        <w:numPr>
          <w:ilvl w:val="0"/>
          <w:numId w:val="39"/>
        </w:numPr>
        <w:jc w:val="both"/>
        <w:rPr>
          <w:rFonts w:ascii="Calibri" w:hAnsi="Calibri" w:cs="Calibri"/>
          <w:color w:val="000000"/>
          <w:lang w:val="en-US"/>
        </w:rPr>
      </w:pPr>
      <w:r w:rsidRPr="00515B79">
        <w:rPr>
          <w:rFonts w:ascii="Calibri" w:hAnsi="Calibri" w:cs="Calibri"/>
          <w:color w:val="000000"/>
          <w:lang w:val="en-US"/>
        </w:rPr>
        <w:t>Project manager</w:t>
      </w:r>
    </w:p>
    <w:p w14:paraId="346AE0F9" w14:textId="77777777" w:rsidR="005C5CF8" w:rsidRPr="00515B79" w:rsidRDefault="005C5CF8" w:rsidP="005C5CF8">
      <w:pPr>
        <w:numPr>
          <w:ilvl w:val="0"/>
          <w:numId w:val="39"/>
        </w:numPr>
        <w:jc w:val="both"/>
        <w:rPr>
          <w:rFonts w:ascii="Calibri" w:hAnsi="Calibri" w:cs="Calibri"/>
          <w:color w:val="000000"/>
          <w:lang w:val="en-US"/>
        </w:rPr>
      </w:pPr>
      <w:r w:rsidRPr="00515B79">
        <w:rPr>
          <w:rFonts w:ascii="Calibri" w:hAnsi="Calibri" w:cs="Calibri"/>
          <w:color w:val="000000"/>
          <w:lang w:val="en-US"/>
        </w:rPr>
        <w:t>Local governance lead officer (1) - departed in 2024. Position was never filled but the activities and responsibilities were redistributed within the team</w:t>
      </w:r>
    </w:p>
    <w:p w14:paraId="03458B80" w14:textId="77777777" w:rsidR="005C5CF8" w:rsidRPr="00515B79" w:rsidRDefault="005C5CF8" w:rsidP="005C5CF8">
      <w:pPr>
        <w:numPr>
          <w:ilvl w:val="0"/>
          <w:numId w:val="39"/>
        </w:numPr>
        <w:jc w:val="both"/>
        <w:rPr>
          <w:rFonts w:ascii="Calibri" w:hAnsi="Calibri" w:cs="Calibri"/>
          <w:color w:val="000000"/>
          <w:lang w:val="en-US"/>
        </w:rPr>
      </w:pPr>
      <w:r w:rsidRPr="00515B79">
        <w:rPr>
          <w:rFonts w:ascii="Calibri" w:hAnsi="Calibri" w:cs="Calibri"/>
          <w:color w:val="000000"/>
          <w:lang w:val="en-US"/>
        </w:rPr>
        <w:t>Local governance filed officers (2)</w:t>
      </w:r>
    </w:p>
    <w:p w14:paraId="1E055537" w14:textId="77777777" w:rsidR="005C5CF8" w:rsidRPr="00515B79" w:rsidRDefault="005C5CF8" w:rsidP="005C5CF8">
      <w:pPr>
        <w:numPr>
          <w:ilvl w:val="0"/>
          <w:numId w:val="39"/>
        </w:numPr>
        <w:jc w:val="both"/>
        <w:rPr>
          <w:rFonts w:ascii="Calibri" w:hAnsi="Calibri" w:cs="Calibri"/>
          <w:color w:val="000000"/>
          <w:lang w:val="en-US"/>
        </w:rPr>
      </w:pPr>
      <w:r w:rsidRPr="00515B79">
        <w:rPr>
          <w:rFonts w:ascii="Calibri" w:hAnsi="Calibri" w:cs="Calibri"/>
          <w:color w:val="000000"/>
          <w:lang w:val="en-US"/>
        </w:rPr>
        <w:t>Environment and water management field officers (3)</w:t>
      </w:r>
    </w:p>
    <w:p w14:paraId="4DA2DCCC" w14:textId="77777777" w:rsidR="005C5CF8" w:rsidRPr="00515B79" w:rsidRDefault="005C5CF8" w:rsidP="005C5CF8">
      <w:pPr>
        <w:numPr>
          <w:ilvl w:val="0"/>
          <w:numId w:val="39"/>
        </w:numPr>
        <w:jc w:val="both"/>
        <w:rPr>
          <w:rFonts w:ascii="Calibri" w:hAnsi="Calibri" w:cs="Calibri"/>
          <w:color w:val="000000"/>
          <w:lang w:val="en-US"/>
        </w:rPr>
      </w:pPr>
      <w:r w:rsidRPr="00515B79">
        <w:rPr>
          <w:rFonts w:ascii="Calibri" w:hAnsi="Calibri" w:cs="Calibri"/>
          <w:color w:val="000000"/>
          <w:lang w:val="en-US"/>
        </w:rPr>
        <w:t>Policy coordinators (2) – originally two positions but one person departed in 2023</w:t>
      </w:r>
      <w:r>
        <w:rPr>
          <w:rFonts w:ascii="Calibri" w:hAnsi="Calibri" w:cs="Calibri"/>
          <w:color w:val="000000"/>
          <w:lang w:val="en-US"/>
        </w:rPr>
        <w:t>.</w:t>
      </w:r>
      <w:r w:rsidRPr="00515B79">
        <w:rPr>
          <w:rFonts w:ascii="Calibri" w:hAnsi="Calibri" w:cs="Calibri"/>
          <w:color w:val="000000"/>
          <w:lang w:val="en-US"/>
        </w:rPr>
        <w:t xml:space="preserve"> Position was never filled but Project redistributed activities and responsibilities within the team</w:t>
      </w:r>
    </w:p>
    <w:p w14:paraId="7BFD6954" w14:textId="77777777" w:rsidR="005C5CF8" w:rsidRPr="00515B79" w:rsidRDefault="005C5CF8" w:rsidP="005C5CF8">
      <w:pPr>
        <w:numPr>
          <w:ilvl w:val="0"/>
          <w:numId w:val="39"/>
        </w:numPr>
        <w:jc w:val="both"/>
        <w:rPr>
          <w:rFonts w:ascii="Calibri" w:hAnsi="Calibri" w:cs="Calibri"/>
          <w:color w:val="000000"/>
          <w:lang w:val="en-US"/>
        </w:rPr>
      </w:pPr>
      <w:r w:rsidRPr="00515B79">
        <w:rPr>
          <w:rFonts w:ascii="Calibri" w:hAnsi="Calibri" w:cs="Calibri"/>
          <w:color w:val="000000"/>
          <w:lang w:val="en-US"/>
        </w:rPr>
        <w:t>Project associate</w:t>
      </w:r>
    </w:p>
    <w:p w14:paraId="43BEB8F2" w14:textId="77777777" w:rsidR="005C5CF8" w:rsidRPr="00515B79" w:rsidRDefault="005C5CF8" w:rsidP="005C5CF8">
      <w:pPr>
        <w:numPr>
          <w:ilvl w:val="0"/>
          <w:numId w:val="39"/>
        </w:numPr>
        <w:jc w:val="both"/>
        <w:rPr>
          <w:rFonts w:ascii="Calibri" w:hAnsi="Calibri" w:cs="Calibri"/>
          <w:color w:val="000000"/>
          <w:lang w:val="en-US"/>
        </w:rPr>
      </w:pPr>
      <w:r w:rsidRPr="00515B79">
        <w:rPr>
          <w:rFonts w:ascii="Calibri" w:hAnsi="Calibri" w:cs="Calibri"/>
          <w:color w:val="000000"/>
          <w:lang w:val="en-US"/>
        </w:rPr>
        <w:t>Project assistant - departed in 2024, filled with a UN Volunteer until end of the Project</w:t>
      </w:r>
    </w:p>
    <w:p w14:paraId="06C9F84E" w14:textId="77777777" w:rsidR="005C5CF8" w:rsidRDefault="005C5CF8" w:rsidP="005C5CF8">
      <w:pPr>
        <w:jc w:val="both"/>
        <w:rPr>
          <w:rFonts w:ascii="Calibri" w:hAnsi="Calibri" w:cs="Calibri"/>
          <w:color w:val="000000"/>
          <w:lang w:val="en-US"/>
        </w:rPr>
      </w:pPr>
    </w:p>
    <w:p w14:paraId="0D477A64" w14:textId="77777777" w:rsidR="005C5CF8" w:rsidRDefault="005C5CF8" w:rsidP="005C5CF8">
      <w:pPr>
        <w:spacing w:line="276" w:lineRule="auto"/>
        <w:jc w:val="both"/>
        <w:rPr>
          <w:rFonts w:ascii="Calibri" w:hAnsi="Calibri" w:cs="Calibri"/>
          <w:color w:val="000000"/>
          <w:lang w:val="en-US"/>
        </w:rPr>
      </w:pPr>
      <w:r>
        <w:rPr>
          <w:rFonts w:ascii="Calibri" w:hAnsi="Calibri" w:cs="Calibri"/>
          <w:color w:val="000000"/>
          <w:lang w:val="en-US"/>
        </w:rPr>
        <w:t>Several</w:t>
      </w:r>
      <w:r w:rsidRPr="00515B79">
        <w:rPr>
          <w:rFonts w:ascii="Calibri" w:hAnsi="Calibri" w:cs="Calibri"/>
          <w:color w:val="000000"/>
          <w:lang w:val="en-US"/>
        </w:rPr>
        <w:t xml:space="preserve"> part-time staff</w:t>
      </w:r>
      <w:r>
        <w:rPr>
          <w:rFonts w:ascii="Calibri" w:hAnsi="Calibri" w:cs="Calibri"/>
          <w:color w:val="000000"/>
          <w:lang w:val="en-US"/>
        </w:rPr>
        <w:t xml:space="preserve"> provide regular support to the project implementation</w:t>
      </w:r>
      <w:r w:rsidRPr="00515B79">
        <w:rPr>
          <w:rFonts w:ascii="Calibri" w:hAnsi="Calibri" w:cs="Calibri"/>
          <w:color w:val="000000"/>
          <w:lang w:val="en-US"/>
        </w:rPr>
        <w:t xml:space="preserve">:  Sector lead, JPO, Sector associate, communication and PR, POS officer, M&amp;E specialist, </w:t>
      </w:r>
      <w:r>
        <w:rPr>
          <w:rFonts w:ascii="Calibri" w:hAnsi="Calibri" w:cs="Calibri"/>
          <w:color w:val="000000"/>
          <w:lang w:val="en-US"/>
        </w:rPr>
        <w:t xml:space="preserve">and </w:t>
      </w:r>
      <w:r w:rsidRPr="00515B79">
        <w:rPr>
          <w:rFonts w:ascii="Calibri" w:hAnsi="Calibri" w:cs="Calibri"/>
          <w:color w:val="000000"/>
          <w:lang w:val="en-US"/>
        </w:rPr>
        <w:t xml:space="preserve">environmental management </w:t>
      </w:r>
      <w:r>
        <w:rPr>
          <w:rFonts w:ascii="Calibri" w:hAnsi="Calibri" w:cs="Calibri"/>
          <w:color w:val="000000"/>
          <w:lang w:val="en-US"/>
        </w:rPr>
        <w:t>advisor.</w:t>
      </w:r>
    </w:p>
    <w:p w14:paraId="066F8341" w14:textId="77777777" w:rsidR="005C5CF8" w:rsidRDefault="005C5CF8" w:rsidP="00177C16">
      <w:pPr>
        <w:spacing w:line="276" w:lineRule="auto"/>
        <w:jc w:val="both"/>
        <w:rPr>
          <w:rFonts w:ascii="Calibri" w:eastAsiaTheme="majorEastAsia" w:hAnsi="Calibri" w:cs="Calibri"/>
          <w:color w:val="000000" w:themeColor="text1"/>
          <w:lang w:val="en-US"/>
        </w:rPr>
      </w:pPr>
    </w:p>
    <w:p w14:paraId="6A20EC0C" w14:textId="3E9C1F74" w:rsidR="00177C16" w:rsidRPr="00F569AE" w:rsidRDefault="00A72C9D" w:rsidP="00177C16">
      <w:pPr>
        <w:spacing w:line="276" w:lineRule="auto"/>
        <w:jc w:val="both"/>
        <w:rPr>
          <w:rFonts w:ascii="Calibri" w:eastAsiaTheme="majorEastAsia" w:hAnsi="Calibri" w:cs="Calibri"/>
          <w:color w:val="000000" w:themeColor="text1"/>
          <w:lang w:val="en-US"/>
        </w:rPr>
      </w:pPr>
      <w:r w:rsidRPr="00F569AE">
        <w:rPr>
          <w:rFonts w:ascii="Calibri" w:eastAsiaTheme="majorEastAsia" w:hAnsi="Calibri" w:cs="Calibri"/>
          <w:color w:val="000000" w:themeColor="text1"/>
          <w:lang w:val="en-US"/>
        </w:rPr>
        <w:t xml:space="preserve">The project </w:t>
      </w:r>
      <w:r w:rsidR="005874F4" w:rsidRPr="00F569AE">
        <w:rPr>
          <w:rFonts w:ascii="Calibri" w:eastAsiaTheme="majorEastAsia" w:hAnsi="Calibri" w:cs="Calibri"/>
          <w:color w:val="000000" w:themeColor="text1"/>
          <w:lang w:val="en-US"/>
        </w:rPr>
        <w:t xml:space="preserve">staffing was </w:t>
      </w:r>
      <w:r w:rsidR="00F369DD">
        <w:rPr>
          <w:rFonts w:ascii="Calibri" w:eastAsiaTheme="majorEastAsia" w:hAnsi="Calibri" w:cs="Calibri"/>
          <w:color w:val="000000" w:themeColor="text1"/>
          <w:lang w:val="en-US"/>
        </w:rPr>
        <w:t xml:space="preserve">mainly </w:t>
      </w:r>
      <w:r w:rsidR="00024677">
        <w:rPr>
          <w:rFonts w:ascii="Calibri" w:eastAsiaTheme="majorEastAsia" w:hAnsi="Calibri" w:cs="Calibri"/>
          <w:color w:val="000000" w:themeColor="text1"/>
          <w:lang w:val="en-US"/>
        </w:rPr>
        <w:t>optimal</w:t>
      </w:r>
      <w:r w:rsidR="005874F4" w:rsidRPr="00F569AE">
        <w:rPr>
          <w:rFonts w:ascii="Calibri" w:eastAsiaTheme="majorEastAsia" w:hAnsi="Calibri" w:cs="Calibri"/>
          <w:color w:val="000000" w:themeColor="text1"/>
          <w:lang w:val="en-US"/>
        </w:rPr>
        <w:t xml:space="preserve"> for its implementation (see Annex 11: Project organigram), whereby </w:t>
      </w:r>
      <w:r w:rsidR="00720D04">
        <w:rPr>
          <w:rFonts w:ascii="Calibri" w:eastAsiaTheme="majorEastAsia" w:hAnsi="Calibri" w:cs="Calibri"/>
          <w:color w:val="000000" w:themeColor="text1"/>
          <w:lang w:val="en-US"/>
        </w:rPr>
        <w:t xml:space="preserve">the </w:t>
      </w:r>
      <w:r w:rsidR="005874F4" w:rsidRPr="00F569AE">
        <w:rPr>
          <w:rFonts w:ascii="Calibri" w:eastAsiaTheme="majorEastAsia" w:hAnsi="Calibri" w:cs="Calibri"/>
          <w:color w:val="000000" w:themeColor="text1"/>
          <w:lang w:val="en-US"/>
        </w:rPr>
        <w:t>key functions within the project were distributed among the staff members</w:t>
      </w:r>
      <w:r w:rsidR="00FE7360">
        <w:rPr>
          <w:rFonts w:ascii="Calibri" w:eastAsiaTheme="majorEastAsia" w:hAnsi="Calibri" w:cs="Calibri"/>
          <w:color w:val="000000" w:themeColor="text1"/>
          <w:lang w:val="en-US"/>
        </w:rPr>
        <w:t xml:space="preserve">. When additional expertise was required, the project mobilized it through a formal bidding process in accordance with the UNDP corporate rules and regulations. </w:t>
      </w:r>
      <w:r w:rsidR="00177C16">
        <w:rPr>
          <w:rFonts w:ascii="Calibri" w:eastAsiaTheme="majorEastAsia" w:hAnsi="Calibri" w:cs="Calibri"/>
          <w:color w:val="000000" w:themeColor="text1"/>
          <w:lang w:val="en-US"/>
        </w:rPr>
        <w:t xml:space="preserve">The rigor and the value of the UNDP procurement process </w:t>
      </w:r>
      <w:r w:rsidR="00720D04">
        <w:rPr>
          <w:rFonts w:ascii="Calibri" w:eastAsiaTheme="majorEastAsia" w:hAnsi="Calibri" w:cs="Calibri"/>
          <w:color w:val="000000" w:themeColor="text1"/>
          <w:lang w:val="en-US"/>
        </w:rPr>
        <w:t xml:space="preserve">was often </w:t>
      </w:r>
      <w:r w:rsidR="00177C16">
        <w:rPr>
          <w:rFonts w:ascii="Calibri" w:eastAsiaTheme="majorEastAsia" w:hAnsi="Calibri" w:cs="Calibri"/>
          <w:color w:val="000000" w:themeColor="text1"/>
          <w:lang w:val="en-US"/>
        </w:rPr>
        <w:t xml:space="preserve">compromised by the complications of the bureaucratic system, causing unnecessary delays in the project implementation. As discussed earlier, </w:t>
      </w:r>
      <w:r w:rsidR="00177C16" w:rsidRPr="00F569AE">
        <w:rPr>
          <w:rFonts w:ascii="Calibri" w:eastAsiaTheme="majorEastAsia" w:hAnsi="Calibri" w:cs="Calibri"/>
          <w:color w:val="000000" w:themeColor="text1"/>
          <w:lang w:val="en-US"/>
        </w:rPr>
        <w:t>the monitoring</w:t>
      </w:r>
      <w:r w:rsidR="00720D04">
        <w:rPr>
          <w:rFonts w:ascii="Calibri" w:eastAsiaTheme="majorEastAsia" w:hAnsi="Calibri" w:cs="Calibri"/>
          <w:color w:val="000000" w:themeColor="text1"/>
          <w:lang w:val="en-US"/>
        </w:rPr>
        <w:t xml:space="preserve"> (and risk assessment)</w:t>
      </w:r>
      <w:r w:rsidR="00177C16" w:rsidRPr="00F569AE">
        <w:rPr>
          <w:rFonts w:ascii="Calibri" w:eastAsiaTheme="majorEastAsia" w:hAnsi="Calibri" w:cs="Calibri"/>
          <w:color w:val="000000" w:themeColor="text1"/>
          <w:lang w:val="en-US"/>
        </w:rPr>
        <w:t xml:space="preserve">, evaluation, and learning (MEL) function was left without a </w:t>
      </w:r>
      <w:r w:rsidR="00177C16" w:rsidRPr="00F569AE">
        <w:rPr>
          <w:rFonts w:ascii="Calibri" w:hAnsi="Calibri" w:cs="Calibri"/>
          <w:lang w:val="en-US"/>
        </w:rPr>
        <w:t>designated point of contact</w:t>
      </w:r>
      <w:r w:rsidR="00177C16">
        <w:rPr>
          <w:rFonts w:ascii="Calibri" w:hAnsi="Calibri" w:cs="Calibri"/>
          <w:lang w:val="en-US"/>
        </w:rPr>
        <w:t xml:space="preserve"> and distributed across the project team</w:t>
      </w:r>
      <w:r w:rsidR="00720D04">
        <w:rPr>
          <w:rFonts w:ascii="Calibri" w:hAnsi="Calibri" w:cs="Calibri"/>
          <w:lang w:val="en-US"/>
        </w:rPr>
        <w:t>, causing sup-optimal attention to this critical function</w:t>
      </w:r>
      <w:r w:rsidR="00177C16" w:rsidRPr="00F569AE">
        <w:rPr>
          <w:rFonts w:ascii="Calibri" w:hAnsi="Calibri" w:cs="Calibri"/>
          <w:lang w:val="en-US"/>
        </w:rPr>
        <w:t xml:space="preserve">. This was particularly critical for such an innovative project as </w:t>
      </w:r>
      <w:r w:rsidR="00177C16" w:rsidRPr="00F569AE">
        <w:rPr>
          <w:rFonts w:ascii="Calibri" w:hAnsi="Calibri" w:cs="Calibri"/>
          <w:color w:val="000000"/>
          <w:lang w:val="en-US"/>
        </w:rPr>
        <w:t xml:space="preserve">MEG/EU4MEG, where learning was at the core of </w:t>
      </w:r>
      <w:r w:rsidR="00177C16" w:rsidRPr="00F569AE">
        <w:rPr>
          <w:rFonts w:ascii="Calibri" w:eastAsiaTheme="majorEastAsia" w:hAnsi="Calibri" w:cs="Calibri"/>
          <w:color w:val="000000" w:themeColor="text1"/>
          <w:lang w:val="en-US"/>
        </w:rPr>
        <w:t>decision-making and adaptive management.</w:t>
      </w:r>
    </w:p>
    <w:p w14:paraId="4E68F0E5" w14:textId="77777777" w:rsidR="005F288E" w:rsidRPr="00F569AE" w:rsidRDefault="005F288E" w:rsidP="0002596B">
      <w:pPr>
        <w:spacing w:line="276" w:lineRule="auto"/>
        <w:jc w:val="both"/>
        <w:rPr>
          <w:rFonts w:ascii="Calibri" w:eastAsiaTheme="majorEastAsia" w:hAnsi="Calibri" w:cs="Calibri"/>
          <w:color w:val="0F4761" w:themeColor="accent1" w:themeShade="BF"/>
          <w:lang w:val="en-US"/>
        </w:rPr>
      </w:pPr>
    </w:p>
    <w:p w14:paraId="6CC00EA0" w14:textId="77777777" w:rsidR="00720D04" w:rsidRDefault="00836A27" w:rsidP="0089199A">
      <w:pPr>
        <w:spacing w:line="276" w:lineRule="auto"/>
        <w:jc w:val="both"/>
        <w:rPr>
          <w:rFonts w:ascii="Calibri" w:hAnsi="Calibri" w:cs="Calibri"/>
          <w:lang w:val="en-US"/>
        </w:rPr>
      </w:pPr>
      <w:r w:rsidRPr="00F569AE">
        <w:rPr>
          <w:rFonts w:ascii="Calibri" w:hAnsi="Calibri" w:cs="Calibri"/>
          <w:lang w:val="en-US"/>
        </w:rPr>
        <w:t xml:space="preserve">The budget delivery rate for Outcome 2 </w:t>
      </w:r>
      <w:r w:rsidR="00720D04">
        <w:rPr>
          <w:rFonts w:ascii="Calibri" w:hAnsi="Calibri" w:cs="Calibri"/>
          <w:lang w:val="en-US"/>
        </w:rPr>
        <w:t>(</w:t>
      </w:r>
      <w:r w:rsidR="00720D04" w:rsidRPr="00720D04">
        <w:rPr>
          <w:rFonts w:ascii="Calibri" w:hAnsi="Calibri" w:cs="Calibri"/>
          <w:lang w:val="en-US"/>
        </w:rPr>
        <w:t>improved performance of the LGs</w:t>
      </w:r>
      <w:r w:rsidR="00720D04">
        <w:rPr>
          <w:rFonts w:ascii="Calibri" w:hAnsi="Calibri" w:cs="Calibri"/>
          <w:lang w:val="en-US"/>
        </w:rPr>
        <w:t xml:space="preserve">) </w:t>
      </w:r>
      <w:r w:rsidRPr="00F569AE">
        <w:rPr>
          <w:rFonts w:ascii="Calibri" w:hAnsi="Calibri" w:cs="Calibri"/>
          <w:lang w:val="en-US"/>
        </w:rPr>
        <w:t xml:space="preserve">and </w:t>
      </w:r>
      <w:r w:rsidR="0081359A" w:rsidRPr="00F569AE">
        <w:rPr>
          <w:rFonts w:ascii="Calibri" w:hAnsi="Calibri" w:cs="Calibri"/>
          <w:lang w:val="en-US"/>
        </w:rPr>
        <w:t>O</w:t>
      </w:r>
      <w:r w:rsidRPr="00F569AE">
        <w:rPr>
          <w:rFonts w:ascii="Calibri" w:hAnsi="Calibri" w:cs="Calibri"/>
          <w:lang w:val="en-US"/>
        </w:rPr>
        <w:t xml:space="preserve">utcome 3 </w:t>
      </w:r>
      <w:r w:rsidR="00720D04">
        <w:rPr>
          <w:rFonts w:ascii="Calibri" w:hAnsi="Calibri" w:cs="Calibri"/>
          <w:lang w:val="en-US"/>
        </w:rPr>
        <w:t>(</w:t>
      </w:r>
      <w:r w:rsidR="00720D04" w:rsidRPr="00720D04">
        <w:rPr>
          <w:rFonts w:ascii="Calibri" w:hAnsi="Calibri" w:cs="Calibri"/>
          <w:lang w:val="en-US"/>
        </w:rPr>
        <w:t>improved water supply and water services</w:t>
      </w:r>
      <w:r w:rsidR="00720D04">
        <w:rPr>
          <w:rFonts w:ascii="Calibri" w:hAnsi="Calibri" w:cs="Calibri"/>
          <w:lang w:val="en-US"/>
        </w:rPr>
        <w:t xml:space="preserve">) </w:t>
      </w:r>
      <w:r w:rsidR="0081359A" w:rsidRPr="00F569AE">
        <w:rPr>
          <w:rFonts w:ascii="Calibri" w:hAnsi="Calibri" w:cs="Calibri"/>
          <w:lang w:val="en-US"/>
        </w:rPr>
        <w:t xml:space="preserve">was </w:t>
      </w:r>
      <w:r w:rsidRPr="00F569AE">
        <w:rPr>
          <w:rFonts w:ascii="Calibri" w:hAnsi="Calibri" w:cs="Calibri"/>
          <w:lang w:val="en-US"/>
        </w:rPr>
        <w:t xml:space="preserve">89% and 72%, </w:t>
      </w:r>
      <w:r w:rsidR="0081359A" w:rsidRPr="00F569AE">
        <w:rPr>
          <w:rFonts w:ascii="Calibri" w:hAnsi="Calibri" w:cs="Calibri"/>
          <w:lang w:val="en-US"/>
        </w:rPr>
        <w:t xml:space="preserve">respectively, </w:t>
      </w:r>
      <w:r w:rsidRPr="00F569AE">
        <w:rPr>
          <w:rFonts w:ascii="Calibri" w:hAnsi="Calibri" w:cs="Calibri"/>
          <w:lang w:val="en-US"/>
        </w:rPr>
        <w:t xml:space="preserve">while for </w:t>
      </w:r>
      <w:r w:rsidR="0081359A" w:rsidRPr="00F569AE">
        <w:rPr>
          <w:rFonts w:ascii="Calibri" w:hAnsi="Calibri" w:cs="Calibri"/>
          <w:lang w:val="en-US"/>
        </w:rPr>
        <w:t>O</w:t>
      </w:r>
      <w:r w:rsidRPr="00F569AE">
        <w:rPr>
          <w:rFonts w:ascii="Calibri" w:hAnsi="Calibri" w:cs="Calibri"/>
          <w:lang w:val="en-US"/>
        </w:rPr>
        <w:t xml:space="preserve">utcome 1 </w:t>
      </w:r>
      <w:r w:rsidR="00720D04">
        <w:rPr>
          <w:rFonts w:ascii="Calibri" w:hAnsi="Calibri" w:cs="Calibri"/>
          <w:lang w:val="en-US"/>
        </w:rPr>
        <w:t>(</w:t>
      </w:r>
      <w:r w:rsidR="00720D04" w:rsidRPr="00720D04">
        <w:rPr>
          <w:rFonts w:ascii="Calibri" w:hAnsi="Calibri" w:cs="Calibri"/>
          <w:lang w:val="en-US"/>
        </w:rPr>
        <w:t>policy and regulatory environment</w:t>
      </w:r>
      <w:r w:rsidR="00720D04">
        <w:rPr>
          <w:rFonts w:ascii="Calibri" w:hAnsi="Calibri" w:cs="Calibri"/>
          <w:lang w:val="en-US"/>
        </w:rPr>
        <w:t xml:space="preserve">) </w:t>
      </w:r>
      <w:r w:rsidR="0081359A" w:rsidRPr="00F569AE">
        <w:rPr>
          <w:rFonts w:ascii="Calibri" w:hAnsi="Calibri" w:cs="Calibri"/>
          <w:lang w:val="en-US"/>
        </w:rPr>
        <w:t>it was</w:t>
      </w:r>
      <w:r w:rsidRPr="00F569AE">
        <w:rPr>
          <w:rFonts w:ascii="Calibri" w:hAnsi="Calibri" w:cs="Calibri"/>
          <w:lang w:val="en-US"/>
        </w:rPr>
        <w:t xml:space="preserve"> only 42%. The political context in BiH over the last few months has been a significant limiting factor in </w:t>
      </w:r>
      <w:r w:rsidR="00024677">
        <w:rPr>
          <w:rFonts w:ascii="Calibri" w:hAnsi="Calibri" w:cs="Calibri"/>
          <w:lang w:val="en-US"/>
        </w:rPr>
        <w:t>extending the</w:t>
      </w:r>
      <w:r w:rsidRPr="00F569AE">
        <w:rPr>
          <w:rFonts w:ascii="Calibri" w:hAnsi="Calibri" w:cs="Calibri"/>
          <w:lang w:val="en-US"/>
        </w:rPr>
        <w:t xml:space="preserve"> normative </w:t>
      </w:r>
      <w:r w:rsidR="00720D04">
        <w:rPr>
          <w:rFonts w:ascii="Calibri" w:hAnsi="Calibri" w:cs="Calibri"/>
          <w:lang w:val="en-US"/>
        </w:rPr>
        <w:t>focus</w:t>
      </w:r>
      <w:r w:rsidRPr="00F569AE">
        <w:rPr>
          <w:rFonts w:ascii="Calibri" w:hAnsi="Calibri" w:cs="Calibri"/>
          <w:lang w:val="en-US"/>
        </w:rPr>
        <w:t xml:space="preserve"> under Outcome 1</w:t>
      </w:r>
      <w:r w:rsidR="00720D04">
        <w:rPr>
          <w:rFonts w:ascii="Calibri" w:hAnsi="Calibri" w:cs="Calibri"/>
          <w:lang w:val="en-US"/>
        </w:rPr>
        <w:t xml:space="preserve"> </w:t>
      </w:r>
      <w:r w:rsidR="0089199A" w:rsidRPr="00F569AE">
        <w:rPr>
          <w:rFonts w:ascii="Calibri" w:hAnsi="Calibri" w:cs="Calibri"/>
          <w:lang w:val="en-US"/>
        </w:rPr>
        <w:t>towards the adoption of the laws</w:t>
      </w:r>
      <w:r w:rsidR="00720D04">
        <w:rPr>
          <w:rFonts w:ascii="Calibri" w:hAnsi="Calibri" w:cs="Calibri"/>
          <w:lang w:val="en-US"/>
        </w:rPr>
        <w:t>,</w:t>
      </w:r>
      <w:r w:rsidR="00024677">
        <w:rPr>
          <w:rFonts w:ascii="Calibri" w:hAnsi="Calibri" w:cs="Calibri"/>
          <w:lang w:val="en-US"/>
        </w:rPr>
        <w:t xml:space="preserve"> though not initially designed within the project. </w:t>
      </w:r>
      <w:r w:rsidRPr="00F569AE">
        <w:rPr>
          <w:rFonts w:ascii="Calibri" w:hAnsi="Calibri" w:cs="Calibri"/>
          <w:lang w:val="en-US"/>
        </w:rPr>
        <w:t xml:space="preserve">Besides, the different vision of key stakeholders around the strategy for developing the benchmarking system limited the progress in </w:t>
      </w:r>
      <w:r w:rsidR="006B1A05" w:rsidRPr="00F569AE">
        <w:rPr>
          <w:rFonts w:ascii="Calibri" w:hAnsi="Calibri" w:cs="Calibri"/>
          <w:lang w:val="en-US"/>
        </w:rPr>
        <w:t xml:space="preserve">the </w:t>
      </w:r>
      <w:r w:rsidR="0089199A" w:rsidRPr="00F569AE">
        <w:rPr>
          <w:rFonts w:ascii="Calibri" w:hAnsi="Calibri" w:cs="Calibri"/>
          <w:lang w:val="en-US"/>
        </w:rPr>
        <w:t xml:space="preserve">timing of the </w:t>
      </w:r>
      <w:r w:rsidRPr="00F569AE">
        <w:rPr>
          <w:rFonts w:ascii="Calibri" w:hAnsi="Calibri" w:cs="Calibri"/>
          <w:lang w:val="en-US"/>
        </w:rPr>
        <w:t xml:space="preserve">activities, hence, </w:t>
      </w:r>
      <w:r w:rsidR="006B1A05" w:rsidRPr="00F569AE">
        <w:rPr>
          <w:rFonts w:ascii="Calibri" w:hAnsi="Calibri" w:cs="Calibri"/>
          <w:lang w:val="en-US"/>
        </w:rPr>
        <w:t xml:space="preserve">the </w:t>
      </w:r>
      <w:r w:rsidRPr="00F569AE">
        <w:rPr>
          <w:rFonts w:ascii="Calibri" w:hAnsi="Calibri" w:cs="Calibri"/>
          <w:lang w:val="en-US"/>
        </w:rPr>
        <w:t>utilization of the funds</w:t>
      </w:r>
      <w:r w:rsidR="0089199A" w:rsidRPr="00F569AE">
        <w:rPr>
          <w:rFonts w:ascii="Calibri" w:hAnsi="Calibri" w:cs="Calibri"/>
          <w:lang w:val="en-US"/>
        </w:rPr>
        <w:t xml:space="preserve"> at the time of the evaluation</w:t>
      </w:r>
      <w:r w:rsidRPr="00F569AE">
        <w:rPr>
          <w:rFonts w:ascii="Calibri" w:hAnsi="Calibri" w:cs="Calibri"/>
          <w:lang w:val="en-US"/>
        </w:rPr>
        <w:t xml:space="preserve">. Challenges in understanding of CAF4LGs and </w:t>
      </w:r>
      <w:r w:rsidR="005F368C" w:rsidRPr="00F569AE">
        <w:rPr>
          <w:rFonts w:ascii="Calibri" w:hAnsi="Calibri" w:cs="Calibri"/>
          <w:lang w:val="en-US"/>
        </w:rPr>
        <w:t xml:space="preserve">a </w:t>
      </w:r>
      <w:r w:rsidRPr="00F569AE">
        <w:rPr>
          <w:rFonts w:ascii="Calibri" w:hAnsi="Calibri" w:cs="Calibri"/>
          <w:lang w:val="en-US"/>
        </w:rPr>
        <w:t>lack of available CAF expertise in BiH further impacted the potential scope of activities and</w:t>
      </w:r>
      <w:r w:rsidR="006B1A05" w:rsidRPr="00F569AE">
        <w:rPr>
          <w:rFonts w:ascii="Calibri" w:hAnsi="Calibri" w:cs="Calibri"/>
          <w:lang w:val="en-US"/>
        </w:rPr>
        <w:t>,</w:t>
      </w:r>
      <w:r w:rsidRPr="00F569AE">
        <w:rPr>
          <w:rFonts w:ascii="Calibri" w:hAnsi="Calibri" w:cs="Calibri"/>
          <w:lang w:val="en-US"/>
        </w:rPr>
        <w:t xml:space="preserve"> hence, budget utilization under </w:t>
      </w:r>
      <w:r w:rsidR="006B1A05" w:rsidRPr="00F569AE">
        <w:rPr>
          <w:rFonts w:ascii="Calibri" w:hAnsi="Calibri" w:cs="Calibri"/>
          <w:lang w:val="en-US"/>
        </w:rPr>
        <w:t xml:space="preserve">the </w:t>
      </w:r>
      <w:r w:rsidRPr="00F569AE">
        <w:rPr>
          <w:rFonts w:ascii="Calibri" w:hAnsi="Calibri" w:cs="Calibri"/>
          <w:lang w:val="en-US"/>
        </w:rPr>
        <w:t xml:space="preserve">CAF-related component of Outcome 1. </w:t>
      </w:r>
    </w:p>
    <w:p w14:paraId="48C10CA2" w14:textId="77777777" w:rsidR="00720D04" w:rsidRDefault="00720D04" w:rsidP="0089199A">
      <w:pPr>
        <w:spacing w:line="276" w:lineRule="auto"/>
        <w:jc w:val="both"/>
        <w:rPr>
          <w:rFonts w:ascii="Calibri" w:hAnsi="Calibri" w:cs="Calibri"/>
          <w:lang w:val="en-US"/>
        </w:rPr>
      </w:pPr>
    </w:p>
    <w:p w14:paraId="26068DEF" w14:textId="50A56749" w:rsidR="005F288E" w:rsidRDefault="00836A27" w:rsidP="0089199A">
      <w:pPr>
        <w:spacing w:line="276" w:lineRule="auto"/>
        <w:jc w:val="both"/>
        <w:rPr>
          <w:rFonts w:ascii="Calibri" w:hAnsi="Calibri" w:cs="Calibri"/>
          <w:lang w:val="en-US"/>
        </w:rPr>
      </w:pPr>
      <w:r w:rsidRPr="00F569AE">
        <w:rPr>
          <w:rFonts w:ascii="Calibri" w:hAnsi="Calibri" w:cs="Calibri"/>
          <w:lang w:val="en-US"/>
        </w:rPr>
        <w:t xml:space="preserve">The </w:t>
      </w:r>
      <w:r w:rsidR="005C5CF8">
        <w:rPr>
          <w:rFonts w:ascii="Calibri" w:hAnsi="Calibri" w:cs="Calibri"/>
          <w:lang w:val="en-US"/>
        </w:rPr>
        <w:t>P</w:t>
      </w:r>
      <w:r w:rsidRPr="00F569AE">
        <w:rPr>
          <w:rFonts w:ascii="Calibri" w:hAnsi="Calibri" w:cs="Calibri"/>
          <w:lang w:val="en-US"/>
        </w:rPr>
        <w:t xml:space="preserve">roject </w:t>
      </w:r>
      <w:r w:rsidR="005C5CF8">
        <w:rPr>
          <w:rFonts w:ascii="Calibri" w:hAnsi="Calibri" w:cs="Calibri"/>
          <w:lang w:val="en-US"/>
        </w:rPr>
        <w:t xml:space="preserve">Board </w:t>
      </w:r>
      <w:r w:rsidRPr="00F569AE">
        <w:rPr>
          <w:rFonts w:ascii="Calibri" w:hAnsi="Calibri" w:cs="Calibri"/>
          <w:lang w:val="en-US"/>
        </w:rPr>
        <w:t xml:space="preserve">would be expected to provide stronger guidance to the project on </w:t>
      </w:r>
      <w:r w:rsidR="00AC397A" w:rsidRPr="00F569AE">
        <w:rPr>
          <w:rFonts w:ascii="Calibri" w:hAnsi="Calibri" w:cs="Calibri"/>
          <w:lang w:val="en-US"/>
        </w:rPr>
        <w:t xml:space="preserve">early assessment of risks (including </w:t>
      </w:r>
      <w:r w:rsidR="006B1A05" w:rsidRPr="00F569AE">
        <w:rPr>
          <w:rFonts w:ascii="Calibri" w:hAnsi="Calibri" w:cs="Calibri"/>
          <w:lang w:val="en-US"/>
        </w:rPr>
        <w:t xml:space="preserve">risks </w:t>
      </w:r>
      <w:r w:rsidR="0089199A" w:rsidRPr="00F569AE">
        <w:rPr>
          <w:rFonts w:ascii="Calibri" w:hAnsi="Calibri" w:cs="Calibri"/>
          <w:lang w:val="en-US"/>
        </w:rPr>
        <w:t>related to</w:t>
      </w:r>
      <w:r w:rsidR="00AC397A" w:rsidRPr="00F569AE">
        <w:rPr>
          <w:rFonts w:ascii="Calibri" w:hAnsi="Calibri" w:cs="Calibri"/>
          <w:lang w:val="en-US"/>
        </w:rPr>
        <w:t xml:space="preserve"> low delivery rate) and its implications for the project, its donors, its beneficiaries, and the water sector modernization, in general.</w:t>
      </w:r>
      <w:r w:rsidR="0089199A" w:rsidRPr="00F569AE">
        <w:rPr>
          <w:rFonts w:ascii="Calibri" w:hAnsi="Calibri" w:cs="Calibri"/>
          <w:lang w:val="en-US"/>
        </w:rPr>
        <w:t xml:space="preserve"> </w:t>
      </w:r>
      <w:r w:rsidR="006B1A05" w:rsidRPr="00720D04">
        <w:rPr>
          <w:rFonts w:ascii="Calibri" w:hAnsi="Calibri" w:cs="Calibri"/>
          <w:lang w:val="en-US"/>
        </w:rPr>
        <w:t xml:space="preserve">A </w:t>
      </w:r>
      <w:r w:rsidR="006B1A05" w:rsidRPr="00720D04">
        <w:rPr>
          <w:rFonts w:ascii="Calibri" w:hAnsi="Calibri" w:cs="Calibri"/>
          <w:lang w:val="en-US"/>
        </w:rPr>
        <w:lastRenderedPageBreak/>
        <w:t>stronger</w:t>
      </w:r>
      <w:r w:rsidR="0089199A" w:rsidRPr="00720D04">
        <w:rPr>
          <w:rFonts w:ascii="Calibri" w:hAnsi="Calibri" w:cs="Calibri"/>
          <w:lang w:val="en-US"/>
        </w:rPr>
        <w:t xml:space="preserve"> role of the Steering Committee would also be expected to anticipate and mitigate risks and guide the project team in finding alternative solutions (e.g. invest in fostering policy dialogue on water sector needs, challenges, opportunities for reform and such).</w:t>
      </w:r>
    </w:p>
    <w:p w14:paraId="13D3018B" w14:textId="77777777" w:rsidR="00534455" w:rsidRDefault="00534455" w:rsidP="0089199A">
      <w:pPr>
        <w:spacing w:line="276" w:lineRule="auto"/>
        <w:jc w:val="both"/>
        <w:rPr>
          <w:rFonts w:ascii="Calibri" w:hAnsi="Calibri" w:cs="Calibri"/>
          <w:lang w:val="en-US"/>
        </w:rPr>
      </w:pPr>
    </w:p>
    <w:p w14:paraId="05189EA6" w14:textId="386A7037" w:rsidR="00534455" w:rsidRPr="00720D04" w:rsidRDefault="00534455" w:rsidP="0089199A">
      <w:pPr>
        <w:spacing w:line="276" w:lineRule="auto"/>
        <w:jc w:val="both"/>
        <w:rPr>
          <w:rFonts w:ascii="Calibri" w:hAnsi="Calibri" w:cs="Calibri"/>
          <w:lang w:val="en-US"/>
        </w:rPr>
        <w:sectPr w:rsidR="00534455" w:rsidRPr="00720D04" w:rsidSect="008224F6">
          <w:pgSz w:w="11900" w:h="16820"/>
          <w:pgMar w:top="1440" w:right="1440" w:bottom="1440" w:left="1440" w:header="708" w:footer="708" w:gutter="0"/>
          <w:cols w:space="708"/>
          <w:titlePg/>
          <w:docGrid w:linePitch="360"/>
        </w:sectPr>
      </w:pPr>
    </w:p>
    <w:p w14:paraId="094D6CB3" w14:textId="6C4EF5B1" w:rsidR="005F288E" w:rsidRPr="00F569AE" w:rsidRDefault="005F288E" w:rsidP="0002596B">
      <w:pPr>
        <w:spacing w:line="276" w:lineRule="auto"/>
        <w:jc w:val="both"/>
        <w:rPr>
          <w:rFonts w:ascii="Calibri" w:eastAsiaTheme="majorEastAsia" w:hAnsi="Calibri" w:cs="Calibri"/>
          <w:b/>
          <w:color w:val="000000" w:themeColor="text1"/>
          <w:lang w:val="en-US"/>
        </w:rPr>
      </w:pPr>
      <w:r w:rsidRPr="00F569AE">
        <w:rPr>
          <w:rFonts w:ascii="Calibri" w:eastAsiaTheme="majorEastAsia" w:hAnsi="Calibri" w:cs="Calibri"/>
          <w:b/>
          <w:color w:val="000000" w:themeColor="text1"/>
          <w:lang w:val="en-US"/>
        </w:rPr>
        <w:lastRenderedPageBreak/>
        <w:t xml:space="preserve">Table 6: </w:t>
      </w:r>
      <w:r w:rsidR="00FB614E" w:rsidRPr="00F569AE">
        <w:rPr>
          <w:rFonts w:ascii="Calibri" w:eastAsiaTheme="majorEastAsia" w:hAnsi="Calibri" w:cs="Calibri"/>
          <w:b/>
          <w:color w:val="000000" w:themeColor="text1"/>
          <w:lang w:val="en-US"/>
        </w:rPr>
        <w:t>Budget amount and delivery rate per outcome, per year</w:t>
      </w:r>
      <w:r w:rsidR="00597A8F" w:rsidRPr="00F569AE">
        <w:rPr>
          <w:rFonts w:ascii="Calibri" w:eastAsiaTheme="majorEastAsia" w:hAnsi="Calibri" w:cs="Calibri"/>
          <w:b/>
          <w:color w:val="000000" w:themeColor="text1"/>
          <w:lang w:val="en-US"/>
        </w:rPr>
        <w:t>, USD</w:t>
      </w:r>
    </w:p>
    <w:tbl>
      <w:tblPr>
        <w:tblStyle w:val="TableGrid"/>
        <w:tblW w:w="14395" w:type="dxa"/>
        <w:tblLayout w:type="fixed"/>
        <w:tblLook w:val="04A0" w:firstRow="1" w:lastRow="0" w:firstColumn="1" w:lastColumn="0" w:noHBand="0" w:noVBand="1"/>
      </w:tblPr>
      <w:tblGrid>
        <w:gridCol w:w="1435"/>
        <w:gridCol w:w="1395"/>
        <w:gridCol w:w="1418"/>
        <w:gridCol w:w="1276"/>
        <w:gridCol w:w="1417"/>
        <w:gridCol w:w="1559"/>
        <w:gridCol w:w="1418"/>
        <w:gridCol w:w="1417"/>
        <w:gridCol w:w="1560"/>
        <w:gridCol w:w="1500"/>
      </w:tblGrid>
      <w:tr w:rsidR="00597A8F" w:rsidRPr="00F569AE" w14:paraId="4715CC59" w14:textId="77777777" w:rsidTr="00597A8F">
        <w:tc>
          <w:tcPr>
            <w:tcW w:w="1435" w:type="dxa"/>
            <w:shd w:val="clear" w:color="auto" w:fill="A5C9EB" w:themeFill="text2" w:themeFillTint="40"/>
          </w:tcPr>
          <w:p w14:paraId="1B633845" w14:textId="77777777" w:rsidR="00597A8F" w:rsidRPr="00F569AE" w:rsidRDefault="00597A8F" w:rsidP="00A5744A">
            <w:pPr>
              <w:jc w:val="center"/>
              <w:rPr>
                <w:rFonts w:ascii="Calibri" w:hAnsi="Calibri" w:cs="Calibri"/>
                <w:b/>
                <w:i/>
                <w:sz w:val="22"/>
                <w:szCs w:val="22"/>
                <w:lang w:val="en-US"/>
              </w:rPr>
            </w:pPr>
            <w:r w:rsidRPr="00F569AE">
              <w:rPr>
                <w:rFonts w:ascii="Calibri" w:hAnsi="Calibri" w:cs="Calibri"/>
                <w:b/>
                <w:i/>
                <w:sz w:val="22"/>
                <w:szCs w:val="22"/>
                <w:lang w:val="en-US"/>
              </w:rPr>
              <w:t>Outcomes</w:t>
            </w:r>
          </w:p>
        </w:tc>
        <w:tc>
          <w:tcPr>
            <w:tcW w:w="1395" w:type="dxa"/>
            <w:shd w:val="clear" w:color="auto" w:fill="A5C9EB" w:themeFill="text2" w:themeFillTint="40"/>
          </w:tcPr>
          <w:p w14:paraId="4872646A" w14:textId="77777777" w:rsidR="00597A8F" w:rsidRPr="00F569AE" w:rsidRDefault="00597A8F" w:rsidP="00A5744A">
            <w:pPr>
              <w:jc w:val="center"/>
              <w:rPr>
                <w:rFonts w:ascii="Calibri" w:hAnsi="Calibri" w:cs="Calibri"/>
                <w:b/>
                <w:i/>
                <w:sz w:val="22"/>
                <w:szCs w:val="22"/>
                <w:lang w:val="en-US"/>
              </w:rPr>
            </w:pPr>
            <w:r w:rsidRPr="00F569AE">
              <w:rPr>
                <w:rFonts w:ascii="Calibri" w:hAnsi="Calibri" w:cs="Calibri"/>
                <w:b/>
                <w:i/>
                <w:sz w:val="22"/>
                <w:szCs w:val="22"/>
                <w:lang w:val="en-US"/>
              </w:rPr>
              <w:t>Total budget requested</w:t>
            </w:r>
          </w:p>
        </w:tc>
        <w:tc>
          <w:tcPr>
            <w:tcW w:w="1418" w:type="dxa"/>
            <w:shd w:val="clear" w:color="auto" w:fill="A5C9EB" w:themeFill="text2" w:themeFillTint="40"/>
          </w:tcPr>
          <w:p w14:paraId="67831CEF" w14:textId="28B1D2B4" w:rsidR="00597A8F" w:rsidRPr="00F569AE" w:rsidRDefault="00597A8F" w:rsidP="00A5744A">
            <w:pPr>
              <w:jc w:val="center"/>
              <w:rPr>
                <w:rFonts w:ascii="Calibri" w:hAnsi="Calibri" w:cs="Calibri"/>
                <w:b/>
                <w:i/>
                <w:sz w:val="22"/>
                <w:szCs w:val="22"/>
                <w:lang w:val="en-US"/>
              </w:rPr>
            </w:pPr>
            <w:r w:rsidRPr="00F569AE">
              <w:rPr>
                <w:rFonts w:ascii="Calibri" w:hAnsi="Calibri" w:cs="Calibri"/>
                <w:b/>
                <w:i/>
                <w:sz w:val="22"/>
                <w:szCs w:val="22"/>
                <w:lang w:val="en-US"/>
              </w:rPr>
              <w:t>Total allot</w:t>
            </w:r>
            <w:r w:rsidR="00A72C9D" w:rsidRPr="00F569AE">
              <w:rPr>
                <w:rFonts w:ascii="Calibri" w:hAnsi="Calibri" w:cs="Calibri"/>
                <w:b/>
                <w:i/>
                <w:sz w:val="22"/>
                <w:szCs w:val="22"/>
                <w:lang w:val="en-US"/>
              </w:rPr>
              <w:t>t</w:t>
            </w:r>
            <w:r w:rsidRPr="00F569AE">
              <w:rPr>
                <w:rFonts w:ascii="Calibri" w:hAnsi="Calibri" w:cs="Calibri"/>
                <w:b/>
                <w:i/>
                <w:sz w:val="22"/>
                <w:szCs w:val="22"/>
                <w:lang w:val="en-US"/>
              </w:rPr>
              <w:t>ed budget</w:t>
            </w:r>
          </w:p>
        </w:tc>
        <w:tc>
          <w:tcPr>
            <w:tcW w:w="7087" w:type="dxa"/>
            <w:gridSpan w:val="5"/>
            <w:shd w:val="clear" w:color="auto" w:fill="A5C9EB" w:themeFill="text2" w:themeFillTint="40"/>
          </w:tcPr>
          <w:p w14:paraId="2BF9E247" w14:textId="77777777" w:rsidR="00597A8F" w:rsidRPr="00F569AE" w:rsidRDefault="00597A8F" w:rsidP="00A5744A">
            <w:pPr>
              <w:jc w:val="center"/>
              <w:rPr>
                <w:rFonts w:ascii="Calibri" w:hAnsi="Calibri" w:cs="Calibri"/>
                <w:b/>
                <w:i/>
                <w:sz w:val="22"/>
                <w:szCs w:val="22"/>
                <w:lang w:val="en-US"/>
              </w:rPr>
            </w:pPr>
            <w:r w:rsidRPr="00F569AE">
              <w:rPr>
                <w:rFonts w:ascii="Calibri" w:hAnsi="Calibri" w:cs="Calibri"/>
                <w:b/>
                <w:i/>
                <w:sz w:val="22"/>
                <w:szCs w:val="22"/>
                <w:lang w:val="en-US"/>
              </w:rPr>
              <w:t>Expenditure / Delivery rate</w:t>
            </w:r>
          </w:p>
        </w:tc>
        <w:tc>
          <w:tcPr>
            <w:tcW w:w="1560" w:type="dxa"/>
            <w:shd w:val="clear" w:color="auto" w:fill="A5C9EB" w:themeFill="text2" w:themeFillTint="40"/>
          </w:tcPr>
          <w:p w14:paraId="2C6A9563" w14:textId="3C7DAD81" w:rsidR="00597A8F" w:rsidRPr="00F569AE" w:rsidRDefault="00597A8F" w:rsidP="00A5744A">
            <w:pPr>
              <w:jc w:val="center"/>
              <w:rPr>
                <w:rFonts w:ascii="Calibri" w:hAnsi="Calibri" w:cs="Calibri"/>
                <w:b/>
                <w:i/>
                <w:sz w:val="22"/>
                <w:szCs w:val="22"/>
                <w:lang w:val="en-US"/>
              </w:rPr>
            </w:pPr>
            <w:r w:rsidRPr="00F569AE">
              <w:rPr>
                <w:rFonts w:ascii="Calibri" w:hAnsi="Calibri" w:cs="Calibri"/>
                <w:b/>
                <w:i/>
                <w:sz w:val="22"/>
                <w:szCs w:val="22"/>
                <w:lang w:val="en-US"/>
              </w:rPr>
              <w:t xml:space="preserve">Total </w:t>
            </w:r>
            <w:r w:rsidR="00A72C9D" w:rsidRPr="00F569AE">
              <w:rPr>
                <w:rFonts w:ascii="Calibri" w:hAnsi="Calibri" w:cs="Calibri"/>
                <w:b/>
                <w:i/>
                <w:sz w:val="22"/>
                <w:szCs w:val="22"/>
                <w:lang w:val="en-US"/>
              </w:rPr>
              <w:t>Expenditure</w:t>
            </w:r>
          </w:p>
        </w:tc>
        <w:tc>
          <w:tcPr>
            <w:tcW w:w="1500" w:type="dxa"/>
            <w:shd w:val="clear" w:color="auto" w:fill="A5C9EB" w:themeFill="text2" w:themeFillTint="40"/>
          </w:tcPr>
          <w:p w14:paraId="0FF1B768" w14:textId="77777777" w:rsidR="00597A8F" w:rsidRPr="00F569AE" w:rsidRDefault="00597A8F" w:rsidP="00A5744A">
            <w:pPr>
              <w:jc w:val="center"/>
              <w:rPr>
                <w:rFonts w:ascii="Calibri" w:hAnsi="Calibri" w:cs="Calibri"/>
                <w:b/>
                <w:i/>
                <w:sz w:val="22"/>
                <w:szCs w:val="22"/>
                <w:lang w:val="en-US"/>
              </w:rPr>
            </w:pPr>
            <w:r w:rsidRPr="00F569AE">
              <w:rPr>
                <w:rFonts w:ascii="Calibri" w:hAnsi="Calibri" w:cs="Calibri"/>
                <w:b/>
                <w:i/>
                <w:sz w:val="22"/>
                <w:szCs w:val="22"/>
                <w:lang w:val="en-US"/>
              </w:rPr>
              <w:t>Total Delivery rate</w:t>
            </w:r>
          </w:p>
        </w:tc>
      </w:tr>
      <w:tr w:rsidR="00597A8F" w:rsidRPr="00F569AE" w14:paraId="0ADD994B" w14:textId="77777777" w:rsidTr="00597A8F">
        <w:tc>
          <w:tcPr>
            <w:tcW w:w="1435" w:type="dxa"/>
            <w:shd w:val="clear" w:color="auto" w:fill="A5C9EB" w:themeFill="text2" w:themeFillTint="40"/>
          </w:tcPr>
          <w:p w14:paraId="2A4D5BAF" w14:textId="71DB4712" w:rsidR="00597A8F" w:rsidRPr="00F569AE" w:rsidRDefault="00597A8F" w:rsidP="00A5744A">
            <w:pPr>
              <w:rPr>
                <w:rFonts w:ascii="Calibri" w:hAnsi="Calibri" w:cs="Calibri"/>
                <w:sz w:val="22"/>
                <w:szCs w:val="22"/>
                <w:lang w:val="en-US"/>
              </w:rPr>
            </w:pPr>
            <w:bookmarkStart w:id="203" w:name="_Hlk204606138"/>
            <w:r w:rsidRPr="00F569AE">
              <w:rPr>
                <w:rFonts w:ascii="Calibri" w:hAnsi="Calibri" w:cs="Calibri"/>
                <w:sz w:val="22"/>
                <w:szCs w:val="22"/>
                <w:lang w:val="en-US"/>
              </w:rPr>
              <w:t>Outcome 1</w:t>
            </w:r>
            <w:r w:rsidR="0071597F">
              <w:rPr>
                <w:rFonts w:ascii="Calibri" w:hAnsi="Calibri" w:cs="Calibri"/>
                <w:sz w:val="22"/>
                <w:szCs w:val="22"/>
                <w:lang w:val="en-US"/>
              </w:rPr>
              <w:t>: policy and regulatory environment</w:t>
            </w:r>
          </w:p>
        </w:tc>
        <w:tc>
          <w:tcPr>
            <w:tcW w:w="1395" w:type="dxa"/>
          </w:tcPr>
          <w:p w14:paraId="74C30AE2" w14:textId="77777777" w:rsidR="00597A8F" w:rsidRPr="00F569AE" w:rsidRDefault="00597A8F" w:rsidP="00A5744A">
            <w:pPr>
              <w:jc w:val="center"/>
              <w:rPr>
                <w:rFonts w:ascii="Calibri" w:hAnsi="Calibri" w:cs="Calibri"/>
                <w:b/>
                <w:sz w:val="22"/>
                <w:szCs w:val="22"/>
                <w:lang w:val="en-US"/>
              </w:rPr>
            </w:pPr>
            <w:r w:rsidRPr="00F569AE">
              <w:rPr>
                <w:rFonts w:ascii="Calibri" w:hAnsi="Calibri" w:cs="Calibri"/>
                <w:b/>
                <w:sz w:val="22"/>
                <w:szCs w:val="22"/>
                <w:lang w:val="en-US"/>
              </w:rPr>
              <w:t>1,854.762.46</w:t>
            </w:r>
          </w:p>
          <w:p w14:paraId="798576C9" w14:textId="77777777" w:rsidR="00597A8F" w:rsidRPr="00F569AE" w:rsidRDefault="00597A8F" w:rsidP="00A5744A">
            <w:pPr>
              <w:jc w:val="center"/>
              <w:rPr>
                <w:rFonts w:ascii="Calibri" w:hAnsi="Calibri" w:cs="Calibri"/>
                <w:sz w:val="22"/>
                <w:szCs w:val="22"/>
                <w:lang w:val="en-US"/>
              </w:rPr>
            </w:pPr>
          </w:p>
        </w:tc>
        <w:tc>
          <w:tcPr>
            <w:tcW w:w="1418" w:type="dxa"/>
          </w:tcPr>
          <w:p w14:paraId="102AF26F" w14:textId="77777777" w:rsidR="00597A8F" w:rsidRPr="00F569AE" w:rsidRDefault="00597A8F" w:rsidP="00A5744A">
            <w:pPr>
              <w:jc w:val="center"/>
              <w:rPr>
                <w:rFonts w:ascii="Calibri" w:hAnsi="Calibri" w:cs="Calibri"/>
                <w:b/>
                <w:sz w:val="22"/>
                <w:szCs w:val="22"/>
                <w:lang w:val="en-US"/>
              </w:rPr>
            </w:pPr>
            <w:r w:rsidRPr="00F569AE">
              <w:rPr>
                <w:rFonts w:ascii="Calibri" w:hAnsi="Calibri" w:cs="Calibri"/>
                <w:b/>
                <w:sz w:val="22"/>
                <w:szCs w:val="22"/>
                <w:lang w:val="en-US"/>
              </w:rPr>
              <w:t>1,855,342.86</w:t>
            </w:r>
          </w:p>
          <w:p w14:paraId="5AA35813" w14:textId="77777777" w:rsidR="00597A8F" w:rsidRPr="00F569AE" w:rsidRDefault="00597A8F" w:rsidP="00A5744A">
            <w:pPr>
              <w:jc w:val="center"/>
              <w:rPr>
                <w:rFonts w:ascii="Calibri" w:hAnsi="Calibri" w:cs="Calibri"/>
                <w:sz w:val="22"/>
                <w:szCs w:val="22"/>
                <w:lang w:val="en-US"/>
              </w:rPr>
            </w:pPr>
          </w:p>
        </w:tc>
        <w:tc>
          <w:tcPr>
            <w:tcW w:w="1276" w:type="dxa"/>
          </w:tcPr>
          <w:p w14:paraId="4776C33E"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2021</w:t>
            </w:r>
          </w:p>
          <w:p w14:paraId="322D0268"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154,422.75</w:t>
            </w:r>
          </w:p>
          <w:p w14:paraId="03C2244E" w14:textId="60020066"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(8%)</w:t>
            </w:r>
          </w:p>
        </w:tc>
        <w:tc>
          <w:tcPr>
            <w:tcW w:w="1417" w:type="dxa"/>
          </w:tcPr>
          <w:p w14:paraId="49F7739E"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 xml:space="preserve">2022 </w:t>
            </w:r>
          </w:p>
          <w:p w14:paraId="351B3F7A"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195,804.95</w:t>
            </w:r>
          </w:p>
          <w:p w14:paraId="715F054E" w14:textId="41F95042"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(11%)</w:t>
            </w:r>
          </w:p>
        </w:tc>
        <w:tc>
          <w:tcPr>
            <w:tcW w:w="1559" w:type="dxa"/>
          </w:tcPr>
          <w:p w14:paraId="655B874E"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 xml:space="preserve">2023 </w:t>
            </w:r>
          </w:p>
          <w:p w14:paraId="0362B2DA"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178,516.43</w:t>
            </w:r>
          </w:p>
          <w:p w14:paraId="7C73FDCE" w14:textId="4BC1DB3B"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(10%)</w:t>
            </w:r>
          </w:p>
        </w:tc>
        <w:tc>
          <w:tcPr>
            <w:tcW w:w="1418" w:type="dxa"/>
          </w:tcPr>
          <w:p w14:paraId="08DCB2EA"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 xml:space="preserve">2024 </w:t>
            </w:r>
          </w:p>
          <w:p w14:paraId="15C85DDA"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103,670.84</w:t>
            </w:r>
          </w:p>
          <w:p w14:paraId="42C5396E" w14:textId="293C6DF0"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(6%)</w:t>
            </w:r>
          </w:p>
        </w:tc>
        <w:tc>
          <w:tcPr>
            <w:tcW w:w="1417" w:type="dxa"/>
          </w:tcPr>
          <w:p w14:paraId="23390482"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 xml:space="preserve">2025 </w:t>
            </w:r>
          </w:p>
          <w:p w14:paraId="5D6EB702"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141,326.65</w:t>
            </w:r>
          </w:p>
          <w:p w14:paraId="7B6FA203" w14:textId="0AD9FECC"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(8%)</w:t>
            </w:r>
          </w:p>
        </w:tc>
        <w:tc>
          <w:tcPr>
            <w:tcW w:w="1560" w:type="dxa"/>
          </w:tcPr>
          <w:p w14:paraId="04A74893"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773,741.62</w:t>
            </w:r>
          </w:p>
          <w:p w14:paraId="2097F011" w14:textId="77777777" w:rsidR="00597A8F" w:rsidRPr="00F569AE" w:rsidRDefault="00597A8F" w:rsidP="00A5744A">
            <w:pPr>
              <w:rPr>
                <w:rFonts w:ascii="Calibri" w:hAnsi="Calibri" w:cs="Calibri"/>
                <w:sz w:val="22"/>
                <w:szCs w:val="22"/>
                <w:lang w:val="en-US"/>
              </w:rPr>
            </w:pPr>
          </w:p>
        </w:tc>
        <w:tc>
          <w:tcPr>
            <w:tcW w:w="1500" w:type="dxa"/>
          </w:tcPr>
          <w:p w14:paraId="7FE18CA5" w14:textId="77777777" w:rsidR="00597A8F" w:rsidRPr="00F569AE" w:rsidRDefault="00597A8F" w:rsidP="00A5744A">
            <w:pPr>
              <w:rPr>
                <w:rFonts w:ascii="Calibri" w:hAnsi="Calibri" w:cs="Calibri"/>
                <w:sz w:val="22"/>
                <w:szCs w:val="22"/>
                <w:lang w:val="en-US"/>
              </w:rPr>
            </w:pPr>
            <w:r w:rsidRPr="00F569AE">
              <w:rPr>
                <w:rFonts w:ascii="Calibri" w:hAnsi="Calibri" w:cs="Calibri"/>
                <w:color w:val="FF0000"/>
                <w:sz w:val="22"/>
                <w:szCs w:val="22"/>
                <w:lang w:val="en-US"/>
              </w:rPr>
              <w:t>42%</w:t>
            </w:r>
          </w:p>
        </w:tc>
      </w:tr>
      <w:tr w:rsidR="00597A8F" w:rsidRPr="00F569AE" w14:paraId="3E7777A6" w14:textId="77777777" w:rsidTr="00597A8F">
        <w:tc>
          <w:tcPr>
            <w:tcW w:w="1435" w:type="dxa"/>
            <w:shd w:val="clear" w:color="auto" w:fill="A5C9EB" w:themeFill="text2" w:themeFillTint="40"/>
          </w:tcPr>
          <w:p w14:paraId="724E95C1" w14:textId="32EF1764"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Outcome 2</w:t>
            </w:r>
            <w:r w:rsidR="0071597F">
              <w:rPr>
                <w:rFonts w:ascii="Calibri" w:hAnsi="Calibri" w:cs="Calibri"/>
                <w:sz w:val="22"/>
                <w:szCs w:val="22"/>
                <w:lang w:val="en-US"/>
              </w:rPr>
              <w:t>: improved performance of the LGs</w:t>
            </w:r>
          </w:p>
        </w:tc>
        <w:tc>
          <w:tcPr>
            <w:tcW w:w="1395" w:type="dxa"/>
          </w:tcPr>
          <w:p w14:paraId="4BD40034" w14:textId="77777777" w:rsidR="00597A8F" w:rsidRPr="00F569AE" w:rsidRDefault="00597A8F" w:rsidP="00A5744A">
            <w:pPr>
              <w:jc w:val="center"/>
              <w:rPr>
                <w:rFonts w:ascii="Calibri" w:hAnsi="Calibri" w:cs="Calibri"/>
                <w:b/>
                <w:sz w:val="22"/>
                <w:szCs w:val="22"/>
                <w:lang w:val="en-US"/>
              </w:rPr>
            </w:pPr>
            <w:r w:rsidRPr="00F569AE">
              <w:rPr>
                <w:rFonts w:ascii="Calibri" w:hAnsi="Calibri" w:cs="Calibri"/>
                <w:b/>
                <w:sz w:val="22"/>
                <w:szCs w:val="22"/>
                <w:lang w:val="en-US"/>
              </w:rPr>
              <w:t>3,803,718.41</w:t>
            </w:r>
          </w:p>
          <w:p w14:paraId="1F18A4BB" w14:textId="77777777" w:rsidR="00597A8F" w:rsidRPr="00F569AE" w:rsidRDefault="00597A8F" w:rsidP="00A5744A">
            <w:pPr>
              <w:jc w:val="center"/>
              <w:rPr>
                <w:rFonts w:ascii="Calibri" w:hAnsi="Calibri" w:cs="Calibri"/>
                <w:sz w:val="22"/>
                <w:szCs w:val="22"/>
                <w:lang w:val="en-US"/>
              </w:rPr>
            </w:pPr>
          </w:p>
        </w:tc>
        <w:tc>
          <w:tcPr>
            <w:tcW w:w="1418" w:type="dxa"/>
          </w:tcPr>
          <w:p w14:paraId="0F746B9C" w14:textId="77777777" w:rsidR="00597A8F" w:rsidRPr="00F569AE" w:rsidRDefault="00597A8F" w:rsidP="00A5744A">
            <w:pPr>
              <w:jc w:val="center"/>
              <w:rPr>
                <w:rFonts w:ascii="Calibri" w:hAnsi="Calibri" w:cs="Calibri"/>
                <w:b/>
                <w:sz w:val="22"/>
                <w:szCs w:val="22"/>
                <w:lang w:val="en-US"/>
              </w:rPr>
            </w:pPr>
            <w:r w:rsidRPr="00F569AE">
              <w:rPr>
                <w:rFonts w:ascii="Calibri" w:hAnsi="Calibri" w:cs="Calibri"/>
                <w:b/>
                <w:sz w:val="22"/>
                <w:szCs w:val="22"/>
                <w:lang w:val="en-US"/>
              </w:rPr>
              <w:t>3,803,718.41</w:t>
            </w:r>
          </w:p>
          <w:p w14:paraId="0050F2B4" w14:textId="77777777" w:rsidR="00597A8F" w:rsidRPr="00F569AE" w:rsidRDefault="00597A8F" w:rsidP="00A5744A">
            <w:pPr>
              <w:jc w:val="center"/>
              <w:rPr>
                <w:rFonts w:ascii="Calibri" w:hAnsi="Calibri" w:cs="Calibri"/>
                <w:sz w:val="22"/>
                <w:szCs w:val="22"/>
                <w:lang w:val="en-US"/>
              </w:rPr>
            </w:pPr>
          </w:p>
        </w:tc>
        <w:tc>
          <w:tcPr>
            <w:tcW w:w="1276" w:type="dxa"/>
          </w:tcPr>
          <w:p w14:paraId="3C7B8B41"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42,599.55</w:t>
            </w:r>
          </w:p>
          <w:p w14:paraId="6A9A085D" w14:textId="0C6B4CDA"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w:t>
            </w:r>
          </w:p>
        </w:tc>
        <w:tc>
          <w:tcPr>
            <w:tcW w:w="1417" w:type="dxa"/>
          </w:tcPr>
          <w:p w14:paraId="323FD883"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328,277.26</w:t>
            </w:r>
          </w:p>
          <w:p w14:paraId="5661F5AD" w14:textId="3A390CA2"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(9%)</w:t>
            </w:r>
          </w:p>
        </w:tc>
        <w:tc>
          <w:tcPr>
            <w:tcW w:w="1559" w:type="dxa"/>
          </w:tcPr>
          <w:p w14:paraId="071AD0C2"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1,229,859.02</w:t>
            </w:r>
          </w:p>
          <w:p w14:paraId="2AC74CF6" w14:textId="536A8CC1"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(32%)</w:t>
            </w:r>
          </w:p>
        </w:tc>
        <w:tc>
          <w:tcPr>
            <w:tcW w:w="1418" w:type="dxa"/>
          </w:tcPr>
          <w:p w14:paraId="3AE052D5"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1,119,103.94</w:t>
            </w:r>
          </w:p>
          <w:p w14:paraId="4AD68A92" w14:textId="5CAB37F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(29%)</w:t>
            </w:r>
          </w:p>
        </w:tc>
        <w:tc>
          <w:tcPr>
            <w:tcW w:w="1417" w:type="dxa"/>
          </w:tcPr>
          <w:p w14:paraId="238EF109"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653,630.75</w:t>
            </w:r>
          </w:p>
          <w:p w14:paraId="3DC1B29F" w14:textId="19AC2175"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(17%)</w:t>
            </w:r>
          </w:p>
        </w:tc>
        <w:tc>
          <w:tcPr>
            <w:tcW w:w="1560" w:type="dxa"/>
          </w:tcPr>
          <w:p w14:paraId="4AEE5B1F"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3,373,470.52</w:t>
            </w:r>
          </w:p>
        </w:tc>
        <w:tc>
          <w:tcPr>
            <w:tcW w:w="1500" w:type="dxa"/>
          </w:tcPr>
          <w:p w14:paraId="352A9A8A"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89%</w:t>
            </w:r>
          </w:p>
        </w:tc>
      </w:tr>
      <w:tr w:rsidR="00597A8F" w:rsidRPr="00F569AE" w14:paraId="5367847B" w14:textId="77777777" w:rsidTr="00597A8F">
        <w:tc>
          <w:tcPr>
            <w:tcW w:w="1435" w:type="dxa"/>
            <w:shd w:val="clear" w:color="auto" w:fill="A5C9EB" w:themeFill="text2" w:themeFillTint="40"/>
          </w:tcPr>
          <w:p w14:paraId="0835FB24" w14:textId="303BD4FE"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Outcome 3</w:t>
            </w:r>
            <w:r w:rsidR="0071597F">
              <w:rPr>
                <w:rFonts w:ascii="Calibri" w:hAnsi="Calibri" w:cs="Calibri"/>
                <w:sz w:val="22"/>
                <w:szCs w:val="22"/>
                <w:lang w:val="en-US"/>
              </w:rPr>
              <w:t>: improved water supply and water services</w:t>
            </w:r>
          </w:p>
        </w:tc>
        <w:tc>
          <w:tcPr>
            <w:tcW w:w="1395" w:type="dxa"/>
          </w:tcPr>
          <w:p w14:paraId="19F053C5" w14:textId="77777777" w:rsidR="00597A8F" w:rsidRPr="00F569AE" w:rsidRDefault="00597A8F" w:rsidP="00A5744A">
            <w:pPr>
              <w:jc w:val="center"/>
              <w:rPr>
                <w:rFonts w:ascii="Calibri" w:hAnsi="Calibri" w:cs="Calibri"/>
                <w:b/>
                <w:sz w:val="22"/>
                <w:szCs w:val="22"/>
                <w:lang w:val="en-US"/>
              </w:rPr>
            </w:pPr>
            <w:r w:rsidRPr="00F569AE">
              <w:rPr>
                <w:rFonts w:ascii="Calibri" w:hAnsi="Calibri" w:cs="Calibri"/>
                <w:b/>
                <w:sz w:val="22"/>
                <w:szCs w:val="22"/>
                <w:lang w:val="en-US"/>
              </w:rPr>
              <w:t>2,600,250,27</w:t>
            </w:r>
          </w:p>
          <w:p w14:paraId="33CA6F2E" w14:textId="77777777" w:rsidR="00597A8F" w:rsidRPr="00F569AE" w:rsidRDefault="00597A8F" w:rsidP="00A5744A">
            <w:pPr>
              <w:jc w:val="center"/>
              <w:rPr>
                <w:rFonts w:ascii="Calibri" w:hAnsi="Calibri" w:cs="Calibri"/>
                <w:sz w:val="22"/>
                <w:szCs w:val="22"/>
                <w:lang w:val="en-US"/>
              </w:rPr>
            </w:pPr>
          </w:p>
        </w:tc>
        <w:tc>
          <w:tcPr>
            <w:tcW w:w="1418" w:type="dxa"/>
          </w:tcPr>
          <w:p w14:paraId="7817FD8A" w14:textId="77777777" w:rsidR="00597A8F" w:rsidRPr="00F569AE" w:rsidRDefault="00597A8F" w:rsidP="00A5744A">
            <w:pPr>
              <w:jc w:val="center"/>
              <w:rPr>
                <w:rFonts w:ascii="Calibri" w:hAnsi="Calibri" w:cs="Calibri"/>
                <w:b/>
                <w:sz w:val="22"/>
                <w:szCs w:val="22"/>
                <w:lang w:val="en-US"/>
              </w:rPr>
            </w:pPr>
            <w:r w:rsidRPr="00F569AE">
              <w:rPr>
                <w:rFonts w:ascii="Calibri" w:hAnsi="Calibri" w:cs="Calibri"/>
                <w:b/>
                <w:sz w:val="22"/>
                <w:szCs w:val="22"/>
                <w:lang w:val="en-US"/>
              </w:rPr>
              <w:t>2,603,416.85</w:t>
            </w:r>
          </w:p>
          <w:p w14:paraId="4B66A26D" w14:textId="77777777" w:rsidR="00597A8F" w:rsidRPr="00F569AE" w:rsidRDefault="00597A8F" w:rsidP="00A5744A">
            <w:pPr>
              <w:jc w:val="center"/>
              <w:rPr>
                <w:rFonts w:ascii="Calibri" w:hAnsi="Calibri" w:cs="Calibri"/>
                <w:sz w:val="22"/>
                <w:szCs w:val="22"/>
                <w:lang w:val="en-US"/>
              </w:rPr>
            </w:pPr>
          </w:p>
        </w:tc>
        <w:tc>
          <w:tcPr>
            <w:tcW w:w="1276" w:type="dxa"/>
          </w:tcPr>
          <w:p w14:paraId="3B71FCD9"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89,429.83</w:t>
            </w:r>
          </w:p>
          <w:p w14:paraId="1EFDF517" w14:textId="7FB19E15"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(3%)</w:t>
            </w:r>
          </w:p>
        </w:tc>
        <w:tc>
          <w:tcPr>
            <w:tcW w:w="1417" w:type="dxa"/>
          </w:tcPr>
          <w:p w14:paraId="0FB0282F"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525,406.71</w:t>
            </w:r>
          </w:p>
          <w:p w14:paraId="740248B8" w14:textId="18506269"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(20%)</w:t>
            </w:r>
          </w:p>
        </w:tc>
        <w:tc>
          <w:tcPr>
            <w:tcW w:w="1559" w:type="dxa"/>
          </w:tcPr>
          <w:p w14:paraId="16ACBD26"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418,503.37</w:t>
            </w:r>
          </w:p>
          <w:p w14:paraId="7BE1097B" w14:textId="60692FCB"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(16%)</w:t>
            </w:r>
          </w:p>
        </w:tc>
        <w:tc>
          <w:tcPr>
            <w:tcW w:w="1418" w:type="dxa"/>
          </w:tcPr>
          <w:p w14:paraId="0335BA1C"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603,130.35</w:t>
            </w:r>
          </w:p>
          <w:p w14:paraId="3F317267" w14:textId="51977722"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(23%)</w:t>
            </w:r>
          </w:p>
        </w:tc>
        <w:tc>
          <w:tcPr>
            <w:tcW w:w="1417" w:type="dxa"/>
          </w:tcPr>
          <w:p w14:paraId="66FEB608"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227,365.63</w:t>
            </w:r>
          </w:p>
          <w:p w14:paraId="549A2EDE" w14:textId="4851EB32"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(9%)</w:t>
            </w:r>
          </w:p>
        </w:tc>
        <w:tc>
          <w:tcPr>
            <w:tcW w:w="1560" w:type="dxa"/>
          </w:tcPr>
          <w:p w14:paraId="3A04CBF2"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1,863,835.89</w:t>
            </w:r>
          </w:p>
        </w:tc>
        <w:tc>
          <w:tcPr>
            <w:tcW w:w="1500" w:type="dxa"/>
          </w:tcPr>
          <w:p w14:paraId="6510DFD3" w14:textId="77777777" w:rsidR="00597A8F" w:rsidRPr="00F569AE" w:rsidRDefault="00597A8F" w:rsidP="00A5744A">
            <w:pPr>
              <w:rPr>
                <w:rFonts w:ascii="Calibri" w:hAnsi="Calibri" w:cs="Calibri"/>
                <w:sz w:val="22"/>
                <w:szCs w:val="22"/>
                <w:lang w:val="en-US"/>
              </w:rPr>
            </w:pPr>
            <w:r w:rsidRPr="00F569AE">
              <w:rPr>
                <w:rFonts w:ascii="Calibri" w:hAnsi="Calibri" w:cs="Calibri"/>
                <w:sz w:val="22"/>
                <w:szCs w:val="22"/>
                <w:lang w:val="en-US"/>
              </w:rPr>
              <w:t>72%</w:t>
            </w:r>
          </w:p>
        </w:tc>
      </w:tr>
      <w:bookmarkEnd w:id="203"/>
    </w:tbl>
    <w:p w14:paraId="58092CFD" w14:textId="77777777" w:rsidR="005F288E" w:rsidRPr="00F569AE" w:rsidRDefault="005F288E" w:rsidP="0002596B">
      <w:pPr>
        <w:spacing w:line="276" w:lineRule="auto"/>
        <w:jc w:val="both"/>
        <w:rPr>
          <w:rFonts w:ascii="Calibri" w:eastAsiaTheme="majorEastAsia" w:hAnsi="Calibri" w:cs="Calibri"/>
          <w:color w:val="0F4761" w:themeColor="accent1" w:themeShade="BF"/>
          <w:lang w:val="en-US"/>
        </w:rPr>
      </w:pPr>
    </w:p>
    <w:p w14:paraId="1548FBE3" w14:textId="77777777" w:rsidR="00926A60" w:rsidRPr="00F569AE" w:rsidRDefault="00926A60" w:rsidP="0002596B">
      <w:pPr>
        <w:spacing w:line="276" w:lineRule="auto"/>
        <w:jc w:val="both"/>
        <w:rPr>
          <w:rFonts w:ascii="Calibri" w:eastAsiaTheme="majorEastAsia" w:hAnsi="Calibri" w:cs="Calibri"/>
          <w:color w:val="0F4761" w:themeColor="accent1" w:themeShade="BF"/>
          <w:lang w:val="en-US"/>
        </w:rPr>
      </w:pPr>
    </w:p>
    <w:p w14:paraId="05B87794" w14:textId="77777777" w:rsidR="001D4D99" w:rsidRPr="00F569AE" w:rsidRDefault="001D4D99" w:rsidP="0002596B">
      <w:pPr>
        <w:spacing w:line="276" w:lineRule="auto"/>
        <w:jc w:val="both"/>
        <w:rPr>
          <w:rFonts w:ascii="Calibri" w:eastAsiaTheme="majorEastAsia" w:hAnsi="Calibri" w:cs="Calibri"/>
          <w:color w:val="0F4761" w:themeColor="accent1" w:themeShade="BF"/>
          <w:lang w:val="en-US"/>
        </w:rPr>
      </w:pPr>
    </w:p>
    <w:p w14:paraId="1A962B2C" w14:textId="77777777" w:rsidR="001D4D99" w:rsidRPr="00F569AE" w:rsidRDefault="001D4D99" w:rsidP="0002596B">
      <w:pPr>
        <w:spacing w:line="276" w:lineRule="auto"/>
        <w:jc w:val="both"/>
        <w:rPr>
          <w:rFonts w:ascii="Calibri" w:eastAsiaTheme="majorEastAsia" w:hAnsi="Calibri" w:cs="Calibri"/>
          <w:color w:val="0F4761" w:themeColor="accent1" w:themeShade="BF"/>
          <w:lang w:val="en-US"/>
        </w:rPr>
      </w:pPr>
    </w:p>
    <w:p w14:paraId="238D0426" w14:textId="77777777" w:rsidR="001D4D99" w:rsidRPr="00F569AE" w:rsidRDefault="001D4D99" w:rsidP="0002596B">
      <w:pPr>
        <w:spacing w:line="276" w:lineRule="auto"/>
        <w:jc w:val="both"/>
        <w:rPr>
          <w:rFonts w:ascii="Calibri" w:eastAsiaTheme="majorEastAsia" w:hAnsi="Calibri" w:cs="Calibri"/>
          <w:color w:val="0F4761" w:themeColor="accent1" w:themeShade="BF"/>
          <w:lang w:val="en-US"/>
        </w:rPr>
      </w:pPr>
    </w:p>
    <w:p w14:paraId="31B79F8E" w14:textId="77777777" w:rsidR="001D4D99" w:rsidRPr="00F569AE" w:rsidRDefault="001D4D99" w:rsidP="0002596B">
      <w:pPr>
        <w:spacing w:line="276" w:lineRule="auto"/>
        <w:jc w:val="both"/>
        <w:rPr>
          <w:rFonts w:ascii="Calibri" w:eastAsiaTheme="majorEastAsia" w:hAnsi="Calibri" w:cs="Calibri"/>
          <w:color w:val="0F4761" w:themeColor="accent1" w:themeShade="BF"/>
          <w:lang w:val="en-US"/>
        </w:rPr>
      </w:pPr>
    </w:p>
    <w:p w14:paraId="4253F722" w14:textId="77777777" w:rsidR="001D4D99" w:rsidRPr="00F569AE" w:rsidRDefault="001D4D99" w:rsidP="0002596B">
      <w:pPr>
        <w:spacing w:line="276" w:lineRule="auto"/>
        <w:jc w:val="both"/>
        <w:rPr>
          <w:rFonts w:ascii="Calibri" w:eastAsiaTheme="majorEastAsia" w:hAnsi="Calibri" w:cs="Calibri"/>
          <w:color w:val="0F4761" w:themeColor="accent1" w:themeShade="BF"/>
          <w:lang w:val="en-US"/>
        </w:rPr>
      </w:pPr>
    </w:p>
    <w:p w14:paraId="7237E037" w14:textId="77777777" w:rsidR="001D4D99" w:rsidRPr="00F569AE" w:rsidRDefault="001D4D99" w:rsidP="0002596B">
      <w:pPr>
        <w:spacing w:line="276" w:lineRule="auto"/>
        <w:jc w:val="both"/>
        <w:rPr>
          <w:rFonts w:ascii="Calibri" w:eastAsiaTheme="majorEastAsia" w:hAnsi="Calibri" w:cs="Calibri"/>
          <w:color w:val="0F4761" w:themeColor="accent1" w:themeShade="BF"/>
          <w:lang w:val="en-US"/>
        </w:rPr>
      </w:pPr>
    </w:p>
    <w:p w14:paraId="257DD6FF" w14:textId="77777777" w:rsidR="001D4D99" w:rsidRPr="00F569AE" w:rsidRDefault="001D4D99" w:rsidP="0002596B">
      <w:pPr>
        <w:spacing w:line="276" w:lineRule="auto"/>
        <w:jc w:val="both"/>
        <w:rPr>
          <w:rFonts w:ascii="Calibri" w:eastAsiaTheme="majorEastAsia" w:hAnsi="Calibri" w:cs="Calibri"/>
          <w:color w:val="0F4761" w:themeColor="accent1" w:themeShade="BF"/>
          <w:lang w:val="en-US"/>
        </w:rPr>
      </w:pPr>
    </w:p>
    <w:p w14:paraId="45D3183F" w14:textId="77777777" w:rsidR="001D4D99" w:rsidRPr="00F569AE" w:rsidRDefault="001D4D99" w:rsidP="0002596B">
      <w:pPr>
        <w:spacing w:line="276" w:lineRule="auto"/>
        <w:jc w:val="both"/>
        <w:rPr>
          <w:rFonts w:ascii="Calibri" w:eastAsiaTheme="majorEastAsia" w:hAnsi="Calibri" w:cs="Calibri"/>
          <w:color w:val="0F4761" w:themeColor="accent1" w:themeShade="BF"/>
          <w:lang w:val="en-US"/>
        </w:rPr>
      </w:pPr>
    </w:p>
    <w:p w14:paraId="5271BC3D" w14:textId="77777777" w:rsidR="001D4D99" w:rsidRPr="00F569AE" w:rsidRDefault="001D4D99" w:rsidP="0002596B">
      <w:pPr>
        <w:spacing w:line="276" w:lineRule="auto"/>
        <w:jc w:val="both"/>
        <w:rPr>
          <w:rFonts w:ascii="Calibri" w:eastAsiaTheme="majorEastAsia" w:hAnsi="Calibri" w:cs="Calibri"/>
          <w:color w:val="0F4761" w:themeColor="accent1" w:themeShade="BF"/>
          <w:lang w:val="en-US"/>
        </w:rPr>
      </w:pPr>
    </w:p>
    <w:p w14:paraId="1FF55D6F" w14:textId="77777777" w:rsidR="001D4D99" w:rsidRPr="00F569AE" w:rsidRDefault="001D4D99" w:rsidP="0002596B">
      <w:pPr>
        <w:spacing w:line="276" w:lineRule="auto"/>
        <w:jc w:val="both"/>
        <w:rPr>
          <w:rFonts w:ascii="Calibri" w:eastAsiaTheme="majorEastAsia" w:hAnsi="Calibri" w:cs="Calibri"/>
          <w:color w:val="0F4761" w:themeColor="accent1" w:themeShade="BF"/>
          <w:lang w:val="en-US"/>
        </w:rPr>
        <w:sectPr w:rsidR="001D4D99" w:rsidRPr="00F569AE" w:rsidSect="005F288E">
          <w:pgSz w:w="16820" w:h="11900" w:orient="landscape"/>
          <w:pgMar w:top="1440" w:right="1440" w:bottom="1440" w:left="1440" w:header="708" w:footer="708" w:gutter="0"/>
          <w:cols w:space="708"/>
          <w:titlePg/>
          <w:docGrid w:linePitch="360"/>
        </w:sectPr>
      </w:pPr>
    </w:p>
    <w:p w14:paraId="2DC2BC47" w14:textId="622714CA" w:rsidR="0002596B" w:rsidRPr="00F569AE" w:rsidRDefault="0002596B" w:rsidP="00157115">
      <w:pPr>
        <w:spacing w:line="276" w:lineRule="auto"/>
        <w:jc w:val="both"/>
        <w:rPr>
          <w:rFonts w:ascii="Calibri" w:hAnsi="Calibri" w:cs="Calibri"/>
          <w:i/>
          <w:color w:val="000000"/>
          <w:lang w:val="en-US"/>
        </w:rPr>
      </w:pPr>
      <w:r w:rsidRPr="00F569AE">
        <w:rPr>
          <w:rFonts w:ascii="Calibri" w:hAnsi="Calibri" w:cs="Calibri"/>
          <w:i/>
          <w:color w:val="000000"/>
          <w:lang w:val="en-US"/>
        </w:rPr>
        <w:lastRenderedPageBreak/>
        <w:t>12. To what extent were the reporting, knowledge management and learning systems throughout the project implementation fit for purpose?</w:t>
      </w:r>
    </w:p>
    <w:p w14:paraId="70364AD7" w14:textId="4DCCCCBA" w:rsidR="001D4D99" w:rsidRPr="00F569AE" w:rsidRDefault="00C956EE" w:rsidP="00157115">
      <w:pPr>
        <w:spacing w:line="276" w:lineRule="auto"/>
        <w:jc w:val="both"/>
        <w:rPr>
          <w:rFonts w:ascii="Calibri" w:eastAsiaTheme="majorEastAsia" w:hAnsi="Calibri" w:cs="Calibri"/>
          <w:color w:val="000000" w:themeColor="text1"/>
          <w:lang w:val="en-US"/>
        </w:rPr>
      </w:pPr>
      <w:r>
        <w:rPr>
          <w:rFonts w:ascii="Calibri" w:eastAsiaTheme="majorEastAsia" w:hAnsi="Calibri" w:cs="Calibri"/>
          <w:color w:val="000000" w:themeColor="text1"/>
          <w:lang w:val="en-US"/>
        </w:rPr>
        <w:t xml:space="preserve">The main instrument for the project report was the project annual report. The value of it could be seen through </w:t>
      </w:r>
      <w:r w:rsidR="00157115" w:rsidRPr="00F569AE">
        <w:rPr>
          <w:rFonts w:ascii="Calibri" w:eastAsiaTheme="majorEastAsia" w:hAnsi="Calibri" w:cs="Calibri"/>
          <w:color w:val="000000" w:themeColor="text1"/>
          <w:lang w:val="en-US"/>
        </w:rPr>
        <w:t xml:space="preserve">understanding </w:t>
      </w:r>
      <w:r>
        <w:rPr>
          <w:rFonts w:ascii="Calibri" w:eastAsiaTheme="majorEastAsia" w:hAnsi="Calibri" w:cs="Calibri"/>
          <w:color w:val="000000" w:themeColor="text1"/>
          <w:lang w:val="en-US"/>
        </w:rPr>
        <w:t>its</w:t>
      </w:r>
      <w:r w:rsidR="00157115" w:rsidRPr="00F569AE">
        <w:rPr>
          <w:rFonts w:ascii="Calibri" w:eastAsiaTheme="majorEastAsia" w:hAnsi="Calibri" w:cs="Calibri"/>
          <w:color w:val="000000" w:themeColor="text1"/>
          <w:lang w:val="en-US"/>
        </w:rPr>
        <w:t xml:space="preserve"> purpose. </w:t>
      </w:r>
      <w:r w:rsidR="00575942" w:rsidRPr="00F569AE">
        <w:rPr>
          <w:rFonts w:ascii="Calibri" w:eastAsiaTheme="majorEastAsia" w:hAnsi="Calibri" w:cs="Calibri"/>
          <w:color w:val="000000" w:themeColor="text1"/>
          <w:lang w:val="en-US"/>
        </w:rPr>
        <w:t xml:space="preserve">The format used for the reporting was in line with </w:t>
      </w:r>
      <w:r w:rsidR="00C27C87" w:rsidRPr="00F569AE">
        <w:rPr>
          <w:rFonts w:ascii="Calibri" w:eastAsiaTheme="majorEastAsia" w:hAnsi="Calibri" w:cs="Calibri"/>
          <w:color w:val="000000" w:themeColor="text1"/>
          <w:lang w:val="en-US"/>
        </w:rPr>
        <w:t xml:space="preserve">the </w:t>
      </w:r>
      <w:r w:rsidR="00575942" w:rsidRPr="00F569AE">
        <w:rPr>
          <w:rFonts w:ascii="Calibri" w:eastAsiaTheme="majorEastAsia" w:hAnsi="Calibri" w:cs="Calibri"/>
          <w:color w:val="000000" w:themeColor="text1"/>
          <w:lang w:val="en-US"/>
        </w:rPr>
        <w:t>UNDP corporate requirements. Content-wise t</w:t>
      </w:r>
      <w:r w:rsidR="00157115" w:rsidRPr="00F569AE">
        <w:rPr>
          <w:rFonts w:ascii="Calibri" w:eastAsiaTheme="majorEastAsia" w:hAnsi="Calibri" w:cs="Calibri"/>
          <w:color w:val="000000" w:themeColor="text1"/>
          <w:lang w:val="en-US"/>
        </w:rPr>
        <w:t xml:space="preserve">he document served multiple purposes: to inform and provide accountability to the executive management of UNDP BiH, donors, project stakeholders, and any external partner. </w:t>
      </w:r>
      <w:r w:rsidR="00C27C87" w:rsidRPr="00F569AE">
        <w:rPr>
          <w:rFonts w:ascii="Calibri" w:eastAsiaTheme="majorEastAsia" w:hAnsi="Calibri" w:cs="Calibri"/>
          <w:color w:val="000000" w:themeColor="text1"/>
          <w:lang w:val="en-US"/>
        </w:rPr>
        <w:t xml:space="preserve">To serve such a broad range of audience, the report was sufficiently informative. </w:t>
      </w:r>
    </w:p>
    <w:p w14:paraId="13B3D5EC" w14:textId="77777777" w:rsidR="001D4D99" w:rsidRPr="00F569AE" w:rsidRDefault="001D4D99" w:rsidP="00157115">
      <w:pPr>
        <w:spacing w:line="276" w:lineRule="auto"/>
        <w:jc w:val="both"/>
        <w:rPr>
          <w:rFonts w:ascii="Calibri" w:eastAsiaTheme="majorEastAsia" w:hAnsi="Calibri" w:cs="Calibri"/>
          <w:color w:val="000000" w:themeColor="text1"/>
          <w:lang w:val="en-US"/>
        </w:rPr>
      </w:pPr>
    </w:p>
    <w:p w14:paraId="484F45E6" w14:textId="3FBB1A38" w:rsidR="001D4D99" w:rsidRDefault="00C27C87" w:rsidP="00157115">
      <w:pPr>
        <w:spacing w:line="276" w:lineRule="auto"/>
        <w:jc w:val="both"/>
        <w:rPr>
          <w:rFonts w:ascii="Calibri" w:eastAsiaTheme="majorEastAsia" w:hAnsi="Calibri" w:cs="Calibri"/>
          <w:color w:val="000000" w:themeColor="text1"/>
          <w:lang w:val="en-US"/>
        </w:rPr>
      </w:pPr>
      <w:r w:rsidRPr="00F569AE">
        <w:rPr>
          <w:rFonts w:ascii="Calibri" w:eastAsiaTheme="majorEastAsia" w:hAnsi="Calibri" w:cs="Calibri"/>
          <w:color w:val="000000" w:themeColor="text1"/>
          <w:lang w:val="en-US"/>
        </w:rPr>
        <w:t xml:space="preserve">Knowledge management suggests an organized and formalized processes to create and share knowledge within the organization as well as </w:t>
      </w:r>
      <w:r w:rsidR="00982A87">
        <w:rPr>
          <w:rFonts w:ascii="Calibri" w:eastAsiaTheme="majorEastAsia" w:hAnsi="Calibri" w:cs="Calibri"/>
          <w:color w:val="000000" w:themeColor="text1"/>
          <w:lang w:val="en-US"/>
        </w:rPr>
        <w:t>among</w:t>
      </w:r>
      <w:r w:rsidRPr="00F569AE">
        <w:rPr>
          <w:rFonts w:ascii="Calibri" w:eastAsiaTheme="majorEastAsia" w:hAnsi="Calibri" w:cs="Calibri"/>
          <w:color w:val="000000" w:themeColor="text1"/>
          <w:lang w:val="en-US"/>
        </w:rPr>
        <w:t xml:space="preserve"> its </w:t>
      </w:r>
      <w:r w:rsidR="00AF1A8E" w:rsidRPr="00F569AE">
        <w:rPr>
          <w:rFonts w:ascii="Calibri" w:eastAsiaTheme="majorEastAsia" w:hAnsi="Calibri" w:cs="Calibri"/>
          <w:color w:val="000000" w:themeColor="text1"/>
          <w:lang w:val="en-US"/>
        </w:rPr>
        <w:t>stakeholders</w:t>
      </w:r>
      <w:r w:rsidRPr="00F569AE">
        <w:rPr>
          <w:rFonts w:ascii="Calibri" w:eastAsiaTheme="majorEastAsia" w:hAnsi="Calibri" w:cs="Calibri"/>
          <w:color w:val="000000" w:themeColor="text1"/>
          <w:lang w:val="en-US"/>
        </w:rPr>
        <w:t xml:space="preserve">. This includes </w:t>
      </w:r>
      <w:r w:rsidR="00AF1A8E" w:rsidRPr="00F569AE">
        <w:rPr>
          <w:rFonts w:ascii="Calibri" w:eastAsiaTheme="majorEastAsia" w:hAnsi="Calibri" w:cs="Calibri"/>
          <w:color w:val="000000" w:themeColor="text1"/>
          <w:lang w:val="en-US"/>
        </w:rPr>
        <w:t>primarily</w:t>
      </w:r>
      <w:r w:rsidRPr="00F569AE">
        <w:rPr>
          <w:rFonts w:ascii="Calibri" w:eastAsiaTheme="majorEastAsia" w:hAnsi="Calibri" w:cs="Calibri"/>
          <w:color w:val="000000" w:themeColor="text1"/>
          <w:lang w:val="en-US"/>
        </w:rPr>
        <w:t xml:space="preserve"> explicit knowledge in the form of various knowledge products</w:t>
      </w:r>
      <w:r w:rsidR="00AF1A8E" w:rsidRPr="00F569AE">
        <w:rPr>
          <w:rFonts w:ascii="Calibri" w:eastAsiaTheme="majorEastAsia" w:hAnsi="Calibri" w:cs="Calibri"/>
          <w:color w:val="000000" w:themeColor="text1"/>
          <w:lang w:val="en-US"/>
        </w:rPr>
        <w:t xml:space="preserve">, </w:t>
      </w:r>
      <w:r w:rsidRPr="00F569AE">
        <w:rPr>
          <w:rFonts w:ascii="Calibri" w:eastAsiaTheme="majorEastAsia" w:hAnsi="Calibri" w:cs="Calibri"/>
          <w:color w:val="000000" w:themeColor="text1"/>
          <w:lang w:val="en-US"/>
        </w:rPr>
        <w:t xml:space="preserve">e.g. </w:t>
      </w:r>
      <w:r w:rsidR="00AF1A8E" w:rsidRPr="00F569AE">
        <w:rPr>
          <w:rFonts w:ascii="Calibri" w:eastAsiaTheme="majorEastAsia" w:hAnsi="Calibri" w:cs="Calibri"/>
          <w:color w:val="000000" w:themeColor="text1"/>
          <w:lang w:val="en-US"/>
        </w:rPr>
        <w:t xml:space="preserve">success </w:t>
      </w:r>
      <w:r w:rsidRPr="00F569AE">
        <w:rPr>
          <w:rFonts w:ascii="Calibri" w:eastAsiaTheme="majorEastAsia" w:hAnsi="Calibri" w:cs="Calibri"/>
          <w:color w:val="000000" w:themeColor="text1"/>
          <w:lang w:val="en-US"/>
        </w:rPr>
        <w:t xml:space="preserve">stories, lessons learned, </w:t>
      </w:r>
      <w:r w:rsidR="00AF1A8E" w:rsidRPr="00F569AE">
        <w:rPr>
          <w:rFonts w:ascii="Calibri" w:eastAsiaTheme="majorEastAsia" w:hAnsi="Calibri" w:cs="Calibri"/>
          <w:color w:val="000000" w:themeColor="text1"/>
          <w:lang w:val="en-US"/>
        </w:rPr>
        <w:t xml:space="preserve">deep-dive analysis, and such. </w:t>
      </w:r>
      <w:r w:rsidR="00CA1DAE" w:rsidRPr="00F569AE">
        <w:rPr>
          <w:rFonts w:ascii="Calibri" w:eastAsiaTheme="majorEastAsia" w:hAnsi="Calibri" w:cs="Calibri"/>
          <w:color w:val="000000" w:themeColor="text1"/>
          <w:lang w:val="en-US"/>
        </w:rPr>
        <w:t>The evaluation findings suggest</w:t>
      </w:r>
      <w:r w:rsidR="007B7723" w:rsidRPr="00F569AE">
        <w:rPr>
          <w:rFonts w:ascii="Calibri" w:eastAsiaTheme="majorEastAsia" w:hAnsi="Calibri" w:cs="Calibri"/>
          <w:color w:val="000000" w:themeColor="text1"/>
          <w:lang w:val="en-US"/>
        </w:rPr>
        <w:t>ed</w:t>
      </w:r>
      <w:r w:rsidR="00CA1DAE" w:rsidRPr="00F569AE">
        <w:rPr>
          <w:rFonts w:ascii="Calibri" w:eastAsiaTheme="majorEastAsia" w:hAnsi="Calibri" w:cs="Calibri"/>
          <w:color w:val="000000" w:themeColor="text1"/>
          <w:lang w:val="en-US"/>
        </w:rPr>
        <w:t xml:space="preserve"> that the internal learning within the project and </w:t>
      </w:r>
      <w:r w:rsidR="00B16E25" w:rsidRPr="00F569AE">
        <w:rPr>
          <w:rFonts w:ascii="Calibri" w:eastAsiaTheme="majorEastAsia" w:hAnsi="Calibri" w:cs="Calibri"/>
          <w:color w:val="000000" w:themeColor="text1"/>
          <w:lang w:val="en-US"/>
        </w:rPr>
        <w:t xml:space="preserve">its </w:t>
      </w:r>
      <w:r w:rsidR="007B7723" w:rsidRPr="00F569AE">
        <w:rPr>
          <w:rFonts w:ascii="Calibri" w:eastAsiaTheme="majorEastAsia" w:hAnsi="Calibri" w:cs="Calibri"/>
          <w:color w:val="000000" w:themeColor="text1"/>
          <w:lang w:val="en-US"/>
        </w:rPr>
        <w:t>implementing</w:t>
      </w:r>
      <w:r w:rsidR="00B16E25" w:rsidRPr="00F569AE">
        <w:rPr>
          <w:rFonts w:ascii="Calibri" w:eastAsiaTheme="majorEastAsia" w:hAnsi="Calibri" w:cs="Calibri"/>
          <w:color w:val="000000" w:themeColor="text1"/>
          <w:lang w:val="en-US"/>
        </w:rPr>
        <w:t xml:space="preserve"> partner</w:t>
      </w:r>
      <w:r w:rsidR="00CA1DAE" w:rsidRPr="00F569AE">
        <w:rPr>
          <w:rFonts w:ascii="Calibri" w:eastAsiaTheme="majorEastAsia" w:hAnsi="Calibri" w:cs="Calibri"/>
          <w:color w:val="000000" w:themeColor="text1"/>
          <w:lang w:val="en-US"/>
        </w:rPr>
        <w:t xml:space="preserve"> ha</w:t>
      </w:r>
      <w:r w:rsidR="007B7723" w:rsidRPr="00F569AE">
        <w:rPr>
          <w:rFonts w:ascii="Calibri" w:eastAsiaTheme="majorEastAsia" w:hAnsi="Calibri" w:cs="Calibri"/>
          <w:color w:val="000000" w:themeColor="text1"/>
          <w:lang w:val="en-US"/>
        </w:rPr>
        <w:t>d a large</w:t>
      </w:r>
      <w:r w:rsidR="00CA1DAE" w:rsidRPr="00F569AE">
        <w:rPr>
          <w:rFonts w:ascii="Calibri" w:eastAsiaTheme="majorEastAsia" w:hAnsi="Calibri" w:cs="Calibri"/>
          <w:color w:val="000000" w:themeColor="text1"/>
          <w:lang w:val="en-US"/>
        </w:rPr>
        <w:t xml:space="preserve"> room for improvements during the next</w:t>
      </w:r>
      <w:r w:rsidR="00B16E25" w:rsidRPr="00F569AE">
        <w:rPr>
          <w:rFonts w:ascii="Calibri" w:eastAsiaTheme="majorEastAsia" w:hAnsi="Calibri" w:cs="Calibri"/>
          <w:color w:val="000000" w:themeColor="text1"/>
          <w:lang w:val="en-US"/>
        </w:rPr>
        <w:t xml:space="preserve"> project</w:t>
      </w:r>
      <w:r w:rsidR="00CA1DAE" w:rsidRPr="00F569AE">
        <w:rPr>
          <w:rFonts w:ascii="Calibri" w:eastAsiaTheme="majorEastAsia" w:hAnsi="Calibri" w:cs="Calibri"/>
          <w:color w:val="000000" w:themeColor="text1"/>
          <w:lang w:val="en-US"/>
        </w:rPr>
        <w:t xml:space="preserve"> cycle</w:t>
      </w:r>
      <w:r w:rsidR="007B7723" w:rsidRPr="00F569AE">
        <w:rPr>
          <w:rFonts w:ascii="Calibri" w:eastAsiaTheme="majorEastAsia" w:hAnsi="Calibri" w:cs="Calibri"/>
          <w:color w:val="000000" w:themeColor="text1"/>
          <w:lang w:val="en-US"/>
        </w:rPr>
        <w:t>,</w:t>
      </w:r>
      <w:r w:rsidR="00B16E25" w:rsidRPr="00F569AE">
        <w:rPr>
          <w:rFonts w:ascii="Calibri" w:eastAsiaTheme="majorEastAsia" w:hAnsi="Calibri" w:cs="Calibri"/>
          <w:color w:val="000000" w:themeColor="text1"/>
          <w:lang w:val="en-US"/>
        </w:rPr>
        <w:t xml:space="preserve"> which could be considered as </w:t>
      </w:r>
      <w:r w:rsidR="00545A1B" w:rsidRPr="00F569AE">
        <w:rPr>
          <w:rFonts w:ascii="Calibri" w:eastAsiaTheme="majorEastAsia" w:hAnsi="Calibri" w:cs="Calibri"/>
          <w:color w:val="000000" w:themeColor="text1"/>
          <w:lang w:val="en-US"/>
        </w:rPr>
        <w:t>the</w:t>
      </w:r>
      <w:r w:rsidR="00B16E25" w:rsidRPr="00F569AE">
        <w:rPr>
          <w:rFonts w:ascii="Calibri" w:eastAsiaTheme="majorEastAsia" w:hAnsi="Calibri" w:cs="Calibri"/>
          <w:color w:val="000000" w:themeColor="text1"/>
          <w:lang w:val="en-US"/>
        </w:rPr>
        <w:t xml:space="preserve"> reflexive cycle</w:t>
      </w:r>
      <w:r w:rsidR="00982A87">
        <w:rPr>
          <w:rFonts w:ascii="Calibri" w:eastAsiaTheme="majorEastAsia" w:hAnsi="Calibri" w:cs="Calibri"/>
          <w:color w:val="000000" w:themeColor="text1"/>
          <w:lang w:val="en-US"/>
        </w:rPr>
        <w:t xml:space="preserve"> of the MEG programme</w:t>
      </w:r>
      <w:r w:rsidR="007B7723" w:rsidRPr="00F569AE">
        <w:rPr>
          <w:rFonts w:ascii="Calibri" w:eastAsiaTheme="majorEastAsia" w:hAnsi="Calibri" w:cs="Calibri"/>
          <w:color w:val="000000" w:themeColor="text1"/>
          <w:lang w:val="en-US"/>
        </w:rPr>
        <w:t>.</w:t>
      </w:r>
      <w:r w:rsidR="00B16E25" w:rsidRPr="00F569AE">
        <w:rPr>
          <w:rFonts w:ascii="Calibri" w:eastAsiaTheme="majorEastAsia" w:hAnsi="Calibri" w:cs="Calibri"/>
          <w:color w:val="000000" w:themeColor="text1"/>
          <w:lang w:val="en-US"/>
        </w:rPr>
        <w:t xml:space="preserve"> </w:t>
      </w:r>
      <w:r w:rsidR="007B7723" w:rsidRPr="00F569AE">
        <w:rPr>
          <w:rFonts w:ascii="Calibri" w:eastAsiaTheme="majorEastAsia" w:hAnsi="Calibri" w:cs="Calibri"/>
          <w:color w:val="000000" w:themeColor="text1"/>
          <w:lang w:val="en-US"/>
        </w:rPr>
        <w:t xml:space="preserve">A </w:t>
      </w:r>
      <w:r w:rsidR="00B16E25" w:rsidRPr="00F569AE">
        <w:rPr>
          <w:rFonts w:ascii="Calibri" w:eastAsiaTheme="majorEastAsia" w:hAnsi="Calibri" w:cs="Calibri"/>
          <w:color w:val="000000" w:themeColor="text1"/>
          <w:lang w:val="en-US"/>
        </w:rPr>
        <w:t xml:space="preserve">comprehensive learning and knowledge management function would be required to analyze and document various </w:t>
      </w:r>
      <w:r w:rsidR="007B7723" w:rsidRPr="00F569AE">
        <w:rPr>
          <w:rFonts w:ascii="Calibri" w:eastAsiaTheme="majorEastAsia" w:hAnsi="Calibri" w:cs="Calibri"/>
          <w:color w:val="000000" w:themeColor="text1"/>
          <w:lang w:val="en-US"/>
        </w:rPr>
        <w:t>aspects</w:t>
      </w:r>
      <w:r w:rsidR="00B16E25" w:rsidRPr="00F569AE">
        <w:rPr>
          <w:rFonts w:ascii="Calibri" w:eastAsiaTheme="majorEastAsia" w:hAnsi="Calibri" w:cs="Calibri"/>
          <w:color w:val="000000" w:themeColor="text1"/>
          <w:lang w:val="en-US"/>
        </w:rPr>
        <w:t xml:space="preserve"> of this highly complex </w:t>
      </w:r>
      <w:r w:rsidR="00982A87">
        <w:rPr>
          <w:rFonts w:ascii="Calibri" w:eastAsiaTheme="majorEastAsia" w:hAnsi="Calibri" w:cs="Calibri"/>
          <w:color w:val="000000" w:themeColor="text1"/>
          <w:lang w:val="en-US"/>
        </w:rPr>
        <w:t xml:space="preserve">and innovative </w:t>
      </w:r>
      <w:r w:rsidR="00B16E25" w:rsidRPr="00F569AE">
        <w:rPr>
          <w:rFonts w:ascii="Calibri" w:eastAsiaTheme="majorEastAsia" w:hAnsi="Calibri" w:cs="Calibri"/>
          <w:color w:val="000000" w:themeColor="text1"/>
          <w:lang w:val="en-US"/>
        </w:rPr>
        <w:t>project</w:t>
      </w:r>
      <w:r w:rsidR="007B7723" w:rsidRPr="00F569AE">
        <w:rPr>
          <w:rFonts w:ascii="Calibri" w:eastAsiaTheme="majorEastAsia" w:hAnsi="Calibri" w:cs="Calibri"/>
          <w:color w:val="000000" w:themeColor="text1"/>
          <w:lang w:val="en-US"/>
        </w:rPr>
        <w:t>. This should inform</w:t>
      </w:r>
      <w:r w:rsidR="00B16E25" w:rsidRPr="00F569AE">
        <w:rPr>
          <w:rFonts w:ascii="Calibri" w:eastAsiaTheme="majorEastAsia" w:hAnsi="Calibri" w:cs="Calibri"/>
          <w:color w:val="000000" w:themeColor="text1"/>
          <w:lang w:val="en-US"/>
        </w:rPr>
        <w:t xml:space="preserve"> </w:t>
      </w:r>
      <w:r w:rsidR="007B7723" w:rsidRPr="00F569AE">
        <w:rPr>
          <w:rFonts w:ascii="Calibri" w:eastAsiaTheme="majorEastAsia" w:hAnsi="Calibri" w:cs="Calibri"/>
          <w:color w:val="000000" w:themeColor="text1"/>
          <w:lang w:val="en-US"/>
        </w:rPr>
        <w:t>the project</w:t>
      </w:r>
      <w:r w:rsidR="00B16E25" w:rsidRPr="00F569AE">
        <w:rPr>
          <w:rFonts w:ascii="Calibri" w:eastAsiaTheme="majorEastAsia" w:hAnsi="Calibri" w:cs="Calibri"/>
          <w:color w:val="000000" w:themeColor="text1"/>
          <w:lang w:val="en-US"/>
        </w:rPr>
        <w:t xml:space="preserve"> gradual exit </w:t>
      </w:r>
      <w:r w:rsidR="00982A87">
        <w:rPr>
          <w:rFonts w:ascii="Calibri" w:eastAsiaTheme="majorEastAsia" w:hAnsi="Calibri" w:cs="Calibri"/>
          <w:color w:val="000000" w:themeColor="text1"/>
          <w:lang w:val="en-US"/>
        </w:rPr>
        <w:t xml:space="preserve">strategy </w:t>
      </w:r>
      <w:r w:rsidR="00B16E25" w:rsidRPr="00F569AE">
        <w:rPr>
          <w:rFonts w:ascii="Calibri" w:eastAsiaTheme="majorEastAsia" w:hAnsi="Calibri" w:cs="Calibri"/>
          <w:color w:val="000000" w:themeColor="text1"/>
          <w:lang w:val="en-US"/>
        </w:rPr>
        <w:t xml:space="preserve">as well as increase </w:t>
      </w:r>
      <w:r w:rsidR="007B7723" w:rsidRPr="00F569AE">
        <w:rPr>
          <w:rFonts w:ascii="Calibri" w:eastAsiaTheme="majorEastAsia" w:hAnsi="Calibri" w:cs="Calibri"/>
          <w:color w:val="000000" w:themeColor="text1"/>
          <w:lang w:val="en-US"/>
        </w:rPr>
        <w:t xml:space="preserve">the </w:t>
      </w:r>
      <w:r w:rsidR="00B16E25" w:rsidRPr="00F569AE">
        <w:rPr>
          <w:rFonts w:ascii="Calibri" w:eastAsiaTheme="majorEastAsia" w:hAnsi="Calibri" w:cs="Calibri"/>
          <w:color w:val="000000" w:themeColor="text1"/>
          <w:lang w:val="en-US"/>
        </w:rPr>
        <w:t xml:space="preserve">readiness level </w:t>
      </w:r>
      <w:r w:rsidR="007B7723" w:rsidRPr="00F569AE">
        <w:rPr>
          <w:rFonts w:ascii="Calibri" w:eastAsiaTheme="majorEastAsia" w:hAnsi="Calibri" w:cs="Calibri"/>
          <w:color w:val="000000" w:themeColor="text1"/>
          <w:lang w:val="en-US"/>
        </w:rPr>
        <w:t xml:space="preserve">from new LGs towards the MEG </w:t>
      </w:r>
      <w:r w:rsidR="00982A87">
        <w:rPr>
          <w:rFonts w:ascii="Calibri" w:eastAsiaTheme="majorEastAsia" w:hAnsi="Calibri" w:cs="Calibri"/>
          <w:color w:val="000000" w:themeColor="text1"/>
          <w:lang w:val="en-US"/>
        </w:rPr>
        <w:t>standardization</w:t>
      </w:r>
      <w:r w:rsidR="007B7723" w:rsidRPr="00F569AE">
        <w:rPr>
          <w:rFonts w:ascii="Calibri" w:eastAsiaTheme="majorEastAsia" w:hAnsi="Calibri" w:cs="Calibri"/>
          <w:color w:val="000000" w:themeColor="text1"/>
          <w:lang w:val="en-US"/>
        </w:rPr>
        <w:t xml:space="preserve">, should they get upfront understanding of </w:t>
      </w:r>
      <w:r w:rsidR="00982A87">
        <w:rPr>
          <w:rFonts w:ascii="Calibri" w:eastAsiaTheme="majorEastAsia" w:hAnsi="Calibri" w:cs="Calibri"/>
          <w:color w:val="000000" w:themeColor="text1"/>
          <w:lang w:val="en-US"/>
        </w:rPr>
        <w:t xml:space="preserve">the potential </w:t>
      </w:r>
      <w:r w:rsidR="007B7723" w:rsidRPr="00F569AE">
        <w:rPr>
          <w:rFonts w:ascii="Calibri" w:eastAsiaTheme="majorEastAsia" w:hAnsi="Calibri" w:cs="Calibri"/>
          <w:color w:val="000000" w:themeColor="text1"/>
          <w:lang w:val="en-US"/>
        </w:rPr>
        <w:t xml:space="preserve">pitfalls and opportunities to encounter at the operational and strategic levels. </w:t>
      </w:r>
    </w:p>
    <w:p w14:paraId="45FB78DE" w14:textId="77777777" w:rsidR="00D84CC3" w:rsidRDefault="00D84CC3" w:rsidP="00157115">
      <w:pPr>
        <w:spacing w:line="276" w:lineRule="auto"/>
        <w:jc w:val="both"/>
        <w:rPr>
          <w:rFonts w:ascii="Calibri" w:eastAsiaTheme="majorEastAsia" w:hAnsi="Calibri" w:cs="Calibri"/>
          <w:color w:val="000000" w:themeColor="text1"/>
          <w:lang w:val="en-US"/>
        </w:rPr>
      </w:pPr>
    </w:p>
    <w:p w14:paraId="68FB5C45" w14:textId="43469C75" w:rsidR="00D84CC3" w:rsidRDefault="00D84CC3" w:rsidP="00D84CC3">
      <w:pPr>
        <w:spacing w:line="276" w:lineRule="auto"/>
        <w:jc w:val="both"/>
        <w:rPr>
          <w:rFonts w:ascii="Calibri" w:eastAsiaTheme="majorEastAsia" w:hAnsi="Calibri" w:cs="Calibri"/>
          <w:color w:val="000000" w:themeColor="text1"/>
          <w:lang w:val="en-US"/>
        </w:rPr>
      </w:pPr>
      <w:r>
        <w:rPr>
          <w:rFonts w:ascii="Calibri" w:eastAsiaTheme="majorEastAsia" w:hAnsi="Calibri" w:cs="Calibri"/>
          <w:color w:val="000000" w:themeColor="text1"/>
          <w:lang w:val="en-US"/>
        </w:rPr>
        <w:t>As part of the larger risk management function within the project, the formal project risk register remained static throughout its entire implementation, meaning that it was not updated since the inception of the project.  T</w:t>
      </w:r>
      <w:r w:rsidRPr="00D84CC3">
        <w:rPr>
          <w:rFonts w:ascii="Calibri" w:eastAsiaTheme="majorEastAsia" w:hAnsi="Calibri" w:cs="Calibri"/>
          <w:color w:val="000000" w:themeColor="text1"/>
          <w:lang w:val="en-US"/>
        </w:rPr>
        <w:t xml:space="preserve">he level of abstraction captured by the project risk register was such that it remained static for the period 2021-2025, </w:t>
      </w:r>
      <w:r>
        <w:rPr>
          <w:rFonts w:ascii="Calibri" w:eastAsiaTheme="majorEastAsia" w:hAnsi="Calibri" w:cs="Calibri"/>
          <w:color w:val="000000" w:themeColor="text1"/>
          <w:lang w:val="en-US"/>
        </w:rPr>
        <w:t xml:space="preserve">missing </w:t>
      </w:r>
      <w:r w:rsidRPr="00D84CC3">
        <w:rPr>
          <w:rFonts w:ascii="Calibri" w:eastAsiaTheme="majorEastAsia" w:hAnsi="Calibri" w:cs="Calibri"/>
          <w:color w:val="000000" w:themeColor="text1"/>
          <w:lang w:val="en-US"/>
        </w:rPr>
        <w:t xml:space="preserve">the nuances and specifics of </w:t>
      </w:r>
      <w:r>
        <w:rPr>
          <w:rFonts w:ascii="Calibri" w:eastAsiaTheme="majorEastAsia" w:hAnsi="Calibri" w:cs="Calibri"/>
          <w:color w:val="000000" w:themeColor="text1"/>
          <w:lang w:val="en-US"/>
        </w:rPr>
        <w:t xml:space="preserve">multiple project </w:t>
      </w:r>
      <w:r w:rsidRPr="00D84CC3">
        <w:rPr>
          <w:rFonts w:ascii="Calibri" w:eastAsiaTheme="majorEastAsia" w:hAnsi="Calibri" w:cs="Calibri"/>
          <w:color w:val="000000" w:themeColor="text1"/>
          <w:lang w:val="en-US"/>
        </w:rPr>
        <w:t>risks</w:t>
      </w:r>
      <w:r>
        <w:rPr>
          <w:rFonts w:ascii="Calibri" w:eastAsiaTheme="majorEastAsia" w:hAnsi="Calibri" w:cs="Calibri"/>
          <w:color w:val="000000" w:themeColor="text1"/>
          <w:lang w:val="en-US"/>
        </w:rPr>
        <w:t xml:space="preserve"> (including its causes and impact on various stakeholders) </w:t>
      </w:r>
      <w:r w:rsidRPr="00D84CC3">
        <w:rPr>
          <w:rFonts w:ascii="Calibri" w:eastAsiaTheme="majorEastAsia" w:hAnsi="Calibri" w:cs="Calibri"/>
          <w:color w:val="000000" w:themeColor="text1"/>
          <w:lang w:val="en-US"/>
        </w:rPr>
        <w:t>which would be reflected only through a dynamic risk register.</w:t>
      </w:r>
      <w:r>
        <w:rPr>
          <w:rFonts w:ascii="Calibri" w:eastAsiaTheme="majorEastAsia" w:hAnsi="Calibri" w:cs="Calibri"/>
          <w:color w:val="000000" w:themeColor="text1"/>
          <w:lang w:val="en-US"/>
        </w:rPr>
        <w:t xml:space="preserve"> However, to a certain extent the risk discussion remained part of project progress discussion during the regular staff meeting held throughout the project implementation. </w:t>
      </w:r>
      <w:r w:rsidRPr="00D84CC3">
        <w:rPr>
          <w:rFonts w:ascii="Calibri" w:eastAsiaTheme="majorEastAsia" w:hAnsi="Calibri" w:cs="Calibri"/>
          <w:color w:val="000000" w:themeColor="text1"/>
          <w:lang w:val="en-US"/>
        </w:rPr>
        <w:t xml:space="preserve"> </w:t>
      </w:r>
    </w:p>
    <w:p w14:paraId="497AA31D" w14:textId="77777777" w:rsidR="001D4D99" w:rsidRPr="00F569AE" w:rsidRDefault="001D4D99" w:rsidP="00157115">
      <w:pPr>
        <w:spacing w:line="276" w:lineRule="auto"/>
        <w:jc w:val="both"/>
        <w:rPr>
          <w:rFonts w:ascii="Calibri" w:eastAsiaTheme="majorEastAsia" w:hAnsi="Calibri" w:cs="Calibri"/>
          <w:color w:val="000000" w:themeColor="text1"/>
          <w:lang w:val="en-US"/>
        </w:rPr>
      </w:pPr>
    </w:p>
    <w:p w14:paraId="45F88E9F" w14:textId="3E7811EC" w:rsidR="00E42561" w:rsidRPr="00F569AE" w:rsidRDefault="007B7723" w:rsidP="00157115">
      <w:pPr>
        <w:spacing w:line="276" w:lineRule="auto"/>
        <w:jc w:val="both"/>
        <w:rPr>
          <w:rFonts w:ascii="Calibri" w:eastAsiaTheme="majorEastAsia" w:hAnsi="Calibri" w:cs="Calibri"/>
          <w:color w:val="000000" w:themeColor="text1"/>
          <w:lang w:val="en-US"/>
        </w:rPr>
      </w:pPr>
      <w:r w:rsidRPr="00F569AE">
        <w:rPr>
          <w:rFonts w:ascii="Calibri" w:eastAsiaTheme="majorEastAsia" w:hAnsi="Calibri" w:cs="Calibri"/>
          <w:color w:val="000000" w:themeColor="text1"/>
          <w:lang w:val="en-US"/>
        </w:rPr>
        <w:t xml:space="preserve">While the project implementation was very much focused on addressing operational issues, much of its work remained unnoticed to the broader audience in BiH. </w:t>
      </w:r>
      <w:r w:rsidR="00D84CC3" w:rsidRPr="00F569AE">
        <w:rPr>
          <w:rFonts w:ascii="Calibri" w:eastAsiaTheme="majorEastAsia" w:hAnsi="Calibri" w:cs="Calibri"/>
          <w:color w:val="000000" w:themeColor="text1"/>
          <w:lang w:val="en-US"/>
        </w:rPr>
        <w:t>Also, information about developments within the project – e.g. events, study tours, visits, discussions, etc. – deserved broader publication and dissemination through various channels including but not limited to UNDP website, local media, social media, etc.</w:t>
      </w:r>
      <w:r w:rsidR="00D84CC3">
        <w:rPr>
          <w:rFonts w:ascii="Calibri" w:eastAsiaTheme="majorEastAsia" w:hAnsi="Calibri" w:cs="Calibri"/>
          <w:color w:val="000000" w:themeColor="text1"/>
          <w:lang w:val="en-US"/>
        </w:rPr>
        <w:t xml:space="preserve"> </w:t>
      </w:r>
      <w:r w:rsidRPr="00F569AE">
        <w:rPr>
          <w:rFonts w:ascii="Calibri" w:eastAsiaTheme="majorEastAsia" w:hAnsi="Calibri" w:cs="Calibri"/>
          <w:color w:val="000000" w:themeColor="text1"/>
          <w:lang w:val="en-US"/>
        </w:rPr>
        <w:t xml:space="preserve">Stronger focus on informing communities at the local level about the project and the opportunities it opens for the citizens </w:t>
      </w:r>
      <w:r w:rsidR="001666B8" w:rsidRPr="00F569AE">
        <w:rPr>
          <w:rFonts w:ascii="Calibri" w:eastAsiaTheme="majorEastAsia" w:hAnsi="Calibri" w:cs="Calibri"/>
          <w:color w:val="000000" w:themeColor="text1"/>
          <w:lang w:val="en-US"/>
        </w:rPr>
        <w:t xml:space="preserve">would be essential to ensure that </w:t>
      </w:r>
      <w:r w:rsidR="00982A87">
        <w:rPr>
          <w:rFonts w:ascii="Calibri" w:eastAsiaTheme="majorEastAsia" w:hAnsi="Calibri" w:cs="Calibri"/>
          <w:color w:val="000000" w:themeColor="text1"/>
          <w:lang w:val="en-US"/>
        </w:rPr>
        <w:t xml:space="preserve">the </w:t>
      </w:r>
      <w:r w:rsidR="001666B8" w:rsidRPr="00F569AE">
        <w:rPr>
          <w:rFonts w:ascii="Calibri" w:eastAsiaTheme="majorEastAsia" w:hAnsi="Calibri" w:cs="Calibri"/>
          <w:color w:val="000000" w:themeColor="text1"/>
          <w:lang w:val="en-US"/>
        </w:rPr>
        <w:t xml:space="preserve">MEG solutions get traction from the local communities and </w:t>
      </w:r>
      <w:r w:rsidR="00E42561" w:rsidRPr="00F569AE">
        <w:rPr>
          <w:rFonts w:ascii="Calibri" w:eastAsiaTheme="majorEastAsia" w:hAnsi="Calibri" w:cs="Calibri"/>
          <w:color w:val="000000" w:themeColor="text1"/>
          <w:lang w:val="en-US"/>
        </w:rPr>
        <w:t xml:space="preserve">empower their stronger engagement in </w:t>
      </w:r>
      <w:r w:rsidR="00982A87">
        <w:rPr>
          <w:rFonts w:ascii="Calibri" w:eastAsiaTheme="majorEastAsia" w:hAnsi="Calibri" w:cs="Calibri"/>
          <w:color w:val="000000" w:themeColor="text1"/>
          <w:lang w:val="en-US"/>
        </w:rPr>
        <w:t xml:space="preserve">the </w:t>
      </w:r>
      <w:r w:rsidR="00E42561" w:rsidRPr="00F569AE">
        <w:rPr>
          <w:rFonts w:ascii="Calibri" w:eastAsiaTheme="majorEastAsia" w:hAnsi="Calibri" w:cs="Calibri"/>
          <w:color w:val="000000" w:themeColor="text1"/>
          <w:lang w:val="en-US"/>
        </w:rPr>
        <w:t>municipal decision-making</w:t>
      </w:r>
      <w:r w:rsidR="001666B8" w:rsidRPr="00F569AE">
        <w:rPr>
          <w:rFonts w:ascii="Calibri" w:eastAsiaTheme="majorEastAsia" w:hAnsi="Calibri" w:cs="Calibri"/>
          <w:color w:val="000000" w:themeColor="text1"/>
          <w:lang w:val="en-US"/>
        </w:rPr>
        <w:t xml:space="preserve">. </w:t>
      </w:r>
      <w:r w:rsidR="00982A87">
        <w:rPr>
          <w:rFonts w:ascii="Calibri" w:eastAsiaTheme="majorEastAsia" w:hAnsi="Calibri" w:cs="Calibri"/>
          <w:color w:val="000000" w:themeColor="text1"/>
          <w:lang w:val="en-US"/>
        </w:rPr>
        <w:t xml:space="preserve">The role of CSOs remained critical </w:t>
      </w:r>
      <w:r w:rsidR="00D84CC3">
        <w:rPr>
          <w:rFonts w:ascii="Calibri" w:eastAsiaTheme="majorEastAsia" w:hAnsi="Calibri" w:cs="Calibri"/>
          <w:color w:val="000000" w:themeColor="text1"/>
          <w:lang w:val="en-US"/>
        </w:rPr>
        <w:t xml:space="preserve">to ensure wider reach of the project communication and deeper understanding of the project process and results from the external stakeholders. </w:t>
      </w:r>
    </w:p>
    <w:p w14:paraId="08B5AAAF" w14:textId="77777777" w:rsidR="00896026" w:rsidRPr="00F569AE" w:rsidRDefault="00896026" w:rsidP="0002596B">
      <w:pPr>
        <w:spacing w:line="276" w:lineRule="auto"/>
        <w:rPr>
          <w:rFonts w:ascii="Calibri" w:eastAsiaTheme="majorEastAsia" w:hAnsi="Calibri" w:cs="Calibri"/>
          <w:color w:val="0F4761" w:themeColor="accent1" w:themeShade="BF"/>
          <w:lang w:val="en-US"/>
        </w:rPr>
      </w:pPr>
    </w:p>
    <w:p w14:paraId="32F015D5" w14:textId="77777777" w:rsidR="0002596B" w:rsidRPr="00F569AE" w:rsidRDefault="0002596B" w:rsidP="0002596B">
      <w:pPr>
        <w:spacing w:line="276" w:lineRule="auto"/>
        <w:rPr>
          <w:rFonts w:ascii="Calibri" w:eastAsiaTheme="majorEastAsia" w:hAnsi="Calibri" w:cs="Calibri"/>
          <w:color w:val="0F4761" w:themeColor="accent1" w:themeShade="BF"/>
          <w:lang w:val="en-US"/>
        </w:rPr>
      </w:pPr>
    </w:p>
    <w:p w14:paraId="5CA7C2B5" w14:textId="2F38738C" w:rsidR="0002596B" w:rsidRDefault="0002596B" w:rsidP="0002596B">
      <w:pPr>
        <w:spacing w:line="276" w:lineRule="auto"/>
        <w:rPr>
          <w:rFonts w:ascii="Calibri" w:eastAsiaTheme="majorEastAsia" w:hAnsi="Calibri" w:cs="Calibri"/>
          <w:b/>
          <w:color w:val="0F4761" w:themeColor="accent1" w:themeShade="BF"/>
          <w:sz w:val="26"/>
          <w:szCs w:val="26"/>
          <w:lang w:val="en-US"/>
        </w:rPr>
      </w:pPr>
      <w:r w:rsidRPr="00F569AE">
        <w:rPr>
          <w:rFonts w:ascii="Calibri" w:eastAsiaTheme="majorEastAsia" w:hAnsi="Calibri" w:cs="Calibri"/>
          <w:b/>
          <w:color w:val="0F4761" w:themeColor="accent1" w:themeShade="BF"/>
          <w:sz w:val="26"/>
          <w:szCs w:val="26"/>
          <w:lang w:val="en-US"/>
        </w:rPr>
        <w:t>Sustainability</w:t>
      </w:r>
    </w:p>
    <w:p w14:paraId="503B12F6" w14:textId="77777777" w:rsidR="00AC3D1C" w:rsidRPr="00AC3D1C" w:rsidRDefault="00AC3D1C" w:rsidP="0002596B">
      <w:pPr>
        <w:spacing w:line="276" w:lineRule="auto"/>
        <w:rPr>
          <w:rFonts w:ascii="Calibri" w:eastAsiaTheme="majorEastAsia" w:hAnsi="Calibri" w:cs="Calibri"/>
          <w:b/>
          <w:color w:val="0F4761" w:themeColor="accent1" w:themeShade="BF"/>
          <w:sz w:val="26"/>
          <w:szCs w:val="2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4C0069" w:rsidRPr="00F569AE" w14:paraId="7B3626D2" w14:textId="77777777" w:rsidTr="00831902">
        <w:tc>
          <w:tcPr>
            <w:tcW w:w="9010" w:type="dxa"/>
            <w:shd w:val="clear" w:color="auto" w:fill="F2F2F2" w:themeFill="background1" w:themeFillShade="F2"/>
          </w:tcPr>
          <w:p w14:paraId="432846EF" w14:textId="77BC683B" w:rsidR="004C0069" w:rsidRPr="00F569AE" w:rsidRDefault="004C0069" w:rsidP="00831902">
            <w:pPr>
              <w:spacing w:line="276" w:lineRule="auto"/>
              <w:jc w:val="both"/>
              <w:rPr>
                <w:rFonts w:ascii="Calibri" w:eastAsiaTheme="majorEastAsia" w:hAnsi="Calibri" w:cs="Calibri"/>
                <w:color w:val="0F4761" w:themeColor="accent1" w:themeShade="BF"/>
                <w:lang w:val="en-US"/>
              </w:rPr>
            </w:pPr>
            <w:r w:rsidRPr="00F569AE">
              <w:rPr>
                <w:rFonts w:ascii="Calibri" w:eastAsiaTheme="majorEastAsia" w:hAnsi="Calibri" w:cs="Calibri"/>
                <w:lang w:val="en-US"/>
              </w:rPr>
              <w:t>The MEG/EU4MEG project ha</w:t>
            </w:r>
            <w:r w:rsidR="00834449">
              <w:rPr>
                <w:rFonts w:ascii="Calibri" w:eastAsiaTheme="majorEastAsia" w:hAnsi="Calibri" w:cs="Calibri"/>
                <w:lang w:val="en-US"/>
              </w:rPr>
              <w:t>s</w:t>
            </w:r>
            <w:r w:rsidRPr="00F569AE">
              <w:rPr>
                <w:rFonts w:ascii="Calibri" w:eastAsiaTheme="majorEastAsia" w:hAnsi="Calibri" w:cs="Calibri"/>
                <w:lang w:val="en-US"/>
              </w:rPr>
              <w:t xml:space="preserve"> set the stage for long-term system transformation through</w:t>
            </w:r>
            <w:r w:rsidRPr="00F569AE">
              <w:rPr>
                <w:rFonts w:eastAsiaTheme="majorEastAsia"/>
                <w:lang w:val="en-US"/>
              </w:rPr>
              <w:t xml:space="preserve"> </w:t>
            </w:r>
            <w:r w:rsidRPr="00F569AE">
              <w:rPr>
                <w:rFonts w:ascii="Calibri" w:hAnsi="Calibri" w:cs="Calibri"/>
                <w:color w:val="000000"/>
                <w:lang w:val="en-US"/>
              </w:rPr>
              <w:t>very diverse benefits for different stakeholders</w:t>
            </w:r>
            <w:r w:rsidR="00990779">
              <w:rPr>
                <w:rFonts w:ascii="Calibri" w:hAnsi="Calibri" w:cs="Calibri"/>
                <w:color w:val="000000"/>
                <w:lang w:val="en-US"/>
              </w:rPr>
              <w:t xml:space="preserve">, though </w:t>
            </w:r>
            <w:r w:rsidR="00990779" w:rsidRPr="00F569AE">
              <w:rPr>
                <w:rFonts w:ascii="Calibri" w:hAnsi="Calibri" w:cs="Calibri"/>
                <w:color w:val="000000"/>
                <w:lang w:val="en-US"/>
              </w:rPr>
              <w:t xml:space="preserve">the extremely high exposure of the governance to political influence poses significant limitations to the project sustainability. </w:t>
            </w:r>
            <w:r w:rsidRPr="00F569AE">
              <w:rPr>
                <w:rFonts w:ascii="Calibri" w:hAnsi="Calibri" w:cs="Calibri"/>
                <w:color w:val="000000"/>
                <w:lang w:val="en-US"/>
              </w:rPr>
              <w:t xml:space="preserve"> To enhance its sustainability promise for the next cycle of the project implementation, it would be </w:t>
            </w:r>
            <w:r w:rsidR="00275E53">
              <w:rPr>
                <w:rFonts w:ascii="Calibri" w:hAnsi="Calibri" w:cs="Calibri"/>
                <w:color w:val="000000"/>
                <w:lang w:val="en-US"/>
              </w:rPr>
              <w:t xml:space="preserve">critical to ensure few steps: (i) </w:t>
            </w:r>
            <w:r w:rsidR="00834449">
              <w:rPr>
                <w:rFonts w:ascii="Calibri" w:hAnsi="Calibri" w:cs="Calibri"/>
                <w:color w:val="000000"/>
                <w:lang w:val="en-US"/>
              </w:rPr>
              <w:t xml:space="preserve">continuous </w:t>
            </w:r>
            <w:r w:rsidR="00275E53">
              <w:rPr>
                <w:rFonts w:ascii="Calibri" w:hAnsi="Calibri" w:cs="Calibri"/>
                <w:color w:val="000000"/>
                <w:lang w:val="en-US"/>
              </w:rPr>
              <w:t xml:space="preserve">policy dialogue on water and governance sector issues, </w:t>
            </w:r>
            <w:r w:rsidR="00834449">
              <w:rPr>
                <w:rFonts w:ascii="Calibri" w:hAnsi="Calibri" w:cs="Calibri"/>
                <w:color w:val="000000"/>
                <w:lang w:val="en-US"/>
              </w:rPr>
              <w:t xml:space="preserve">formalization of ‘MEG standardization’, and </w:t>
            </w:r>
            <w:r w:rsidR="00275E53">
              <w:rPr>
                <w:rFonts w:ascii="Calibri" w:hAnsi="Calibri" w:cs="Calibri"/>
                <w:color w:val="000000"/>
                <w:lang w:val="en-US"/>
              </w:rPr>
              <w:t xml:space="preserve">grassroot mobilization of LGs </w:t>
            </w:r>
            <w:r w:rsidR="00834449">
              <w:rPr>
                <w:rFonts w:ascii="Calibri" w:hAnsi="Calibri" w:cs="Calibri"/>
                <w:color w:val="000000"/>
                <w:lang w:val="en-US"/>
              </w:rPr>
              <w:t>to undergo</w:t>
            </w:r>
            <w:r w:rsidR="00275E53">
              <w:rPr>
                <w:rFonts w:ascii="Calibri" w:hAnsi="Calibri" w:cs="Calibri"/>
                <w:color w:val="000000"/>
                <w:lang w:val="en-US"/>
              </w:rPr>
              <w:t xml:space="preserve"> MEG </w:t>
            </w:r>
            <w:r w:rsidR="00834449">
              <w:rPr>
                <w:rFonts w:ascii="Calibri" w:hAnsi="Calibri" w:cs="Calibri"/>
                <w:color w:val="000000"/>
                <w:lang w:val="en-US"/>
              </w:rPr>
              <w:t>standardization</w:t>
            </w:r>
            <w:r w:rsidR="00275E53">
              <w:rPr>
                <w:rFonts w:ascii="Calibri" w:hAnsi="Calibri" w:cs="Calibri"/>
                <w:color w:val="000000"/>
                <w:lang w:val="en-US"/>
              </w:rPr>
              <w:t xml:space="preserve">,; (ii) develop strategy how to </w:t>
            </w:r>
            <w:r w:rsidR="00834449">
              <w:rPr>
                <w:rFonts w:ascii="Calibri" w:hAnsi="Calibri" w:cs="Calibri"/>
                <w:color w:val="000000"/>
                <w:lang w:val="en-US"/>
              </w:rPr>
              <w:t>institutionalize</w:t>
            </w:r>
            <w:r w:rsidR="00275E53">
              <w:rPr>
                <w:rFonts w:ascii="Calibri" w:hAnsi="Calibri" w:cs="Calibri"/>
                <w:color w:val="000000"/>
                <w:lang w:val="en-US"/>
              </w:rPr>
              <w:t xml:space="preserve"> knowledge products designed within MEG/EU4MEG project and MEG programme, (iii) ensure platform for continuous exchange between LGs after the project live cycle, (iv) mobilize donor support to condition investments in water sector infrastructure development with MEG standardization process; (v) advocate </w:t>
            </w:r>
            <w:r w:rsidR="00834449">
              <w:rPr>
                <w:rFonts w:ascii="Calibri" w:hAnsi="Calibri" w:cs="Calibri"/>
                <w:color w:val="000000"/>
                <w:lang w:val="en-US"/>
              </w:rPr>
              <w:t>for</w:t>
            </w:r>
            <w:r w:rsidR="00275E53">
              <w:rPr>
                <w:rFonts w:ascii="Calibri" w:hAnsi="Calibri" w:cs="Calibri"/>
                <w:color w:val="000000"/>
                <w:lang w:val="en-US"/>
              </w:rPr>
              <w:t xml:space="preserve"> citizens’ participation in municipal decision-making across all avenues and future programmatic interventions </w:t>
            </w:r>
            <w:r w:rsidR="00834449">
              <w:rPr>
                <w:rFonts w:ascii="Calibri" w:hAnsi="Calibri" w:cs="Calibri"/>
                <w:color w:val="000000"/>
                <w:lang w:val="en-US"/>
              </w:rPr>
              <w:t xml:space="preserve">within </w:t>
            </w:r>
            <w:r w:rsidR="00275E53">
              <w:rPr>
                <w:rFonts w:ascii="Calibri" w:hAnsi="Calibri" w:cs="Calibri"/>
                <w:color w:val="000000"/>
                <w:lang w:val="en-US"/>
              </w:rPr>
              <w:t>UN BiH.</w:t>
            </w:r>
          </w:p>
        </w:tc>
      </w:tr>
    </w:tbl>
    <w:p w14:paraId="3064DBF8" w14:textId="77777777" w:rsidR="004C0069" w:rsidRPr="00F569AE" w:rsidRDefault="004C0069" w:rsidP="0002596B">
      <w:pPr>
        <w:spacing w:line="276" w:lineRule="auto"/>
        <w:rPr>
          <w:rFonts w:ascii="Calibri" w:eastAsiaTheme="majorEastAsia" w:hAnsi="Calibri" w:cs="Calibri"/>
          <w:color w:val="0F4761" w:themeColor="accent1" w:themeShade="BF"/>
          <w:lang w:val="en-US"/>
        </w:rPr>
      </w:pPr>
    </w:p>
    <w:p w14:paraId="201AC277" w14:textId="3513AF81" w:rsidR="0002596B" w:rsidRPr="00F569AE" w:rsidRDefault="0002596B" w:rsidP="000F3FFE">
      <w:pPr>
        <w:pStyle w:val="p1"/>
        <w:spacing w:line="276" w:lineRule="auto"/>
        <w:jc w:val="both"/>
        <w:rPr>
          <w:rFonts w:ascii="Calibri" w:hAnsi="Calibri" w:cs="Calibri"/>
          <w:i/>
          <w:sz w:val="24"/>
          <w:szCs w:val="24"/>
        </w:rPr>
      </w:pPr>
      <w:r w:rsidRPr="00F569AE">
        <w:rPr>
          <w:rFonts w:ascii="Calibri" w:hAnsi="Calibri" w:cs="Calibri"/>
          <w:i/>
          <w:sz w:val="24"/>
          <w:szCs w:val="24"/>
        </w:rPr>
        <w:t>13.  To what extend did the Project contribute to the enabling environment in local governance and water services sector in Bosnia and Herzegovina to enable future transformative change in this area?</w:t>
      </w:r>
    </w:p>
    <w:p w14:paraId="36ACE7F3" w14:textId="048500A3" w:rsidR="00AC3D1C" w:rsidRDefault="00AC3D1C" w:rsidP="00294657">
      <w:pPr>
        <w:spacing w:line="276" w:lineRule="auto"/>
        <w:jc w:val="both"/>
        <w:rPr>
          <w:rFonts w:ascii="Calibri" w:hAnsi="Calibri" w:cs="Calibri"/>
          <w:color w:val="000000"/>
          <w:lang w:val="en-US"/>
        </w:rPr>
      </w:pPr>
      <w:r w:rsidRPr="00F569AE">
        <w:rPr>
          <w:rFonts w:ascii="Calibri" w:eastAsiaTheme="majorEastAsia" w:hAnsi="Calibri" w:cs="Calibri"/>
          <w:lang w:val="en-US"/>
        </w:rPr>
        <w:t>The MEG/EU4MEG project ha</w:t>
      </w:r>
      <w:r w:rsidR="00834449">
        <w:rPr>
          <w:rFonts w:ascii="Calibri" w:eastAsiaTheme="majorEastAsia" w:hAnsi="Calibri" w:cs="Calibri"/>
          <w:lang w:val="en-US"/>
        </w:rPr>
        <w:t>s</w:t>
      </w:r>
      <w:r w:rsidRPr="00F569AE">
        <w:rPr>
          <w:rFonts w:ascii="Calibri" w:eastAsiaTheme="majorEastAsia" w:hAnsi="Calibri" w:cs="Calibri"/>
          <w:lang w:val="en-US"/>
        </w:rPr>
        <w:t xml:space="preserve"> set the stage for long-term system transformation through</w:t>
      </w:r>
      <w:r w:rsidRPr="00F569AE">
        <w:rPr>
          <w:rFonts w:eastAsiaTheme="majorEastAsia"/>
          <w:lang w:val="en-US"/>
        </w:rPr>
        <w:t xml:space="preserve"> </w:t>
      </w:r>
      <w:r w:rsidR="00834449" w:rsidRPr="00834449">
        <w:rPr>
          <w:rFonts w:ascii="Calibri" w:hAnsi="Calibri" w:cs="Calibri"/>
          <w:color w:val="000000"/>
          <w:lang w:val="en-US"/>
        </w:rPr>
        <w:t xml:space="preserve">initiating </w:t>
      </w:r>
      <w:r w:rsidRPr="00F569AE">
        <w:rPr>
          <w:rFonts w:ascii="Calibri" w:hAnsi="Calibri" w:cs="Calibri"/>
          <w:color w:val="000000"/>
          <w:lang w:val="en-US"/>
        </w:rPr>
        <w:t xml:space="preserve">very diverse benefits for different stakeholders. Yet, one distinct feature underlines the sustainability considerations - the extremely high exposure of the governance to political influence poses significant limitations to the project sustainability. When governance structures, practices and priorities could be easily influenced by shifting political agendas or leadership changes, here is a risk to the continuity of reforms and the consistent implementation of project recommendations.  </w:t>
      </w:r>
    </w:p>
    <w:p w14:paraId="18AF25E7" w14:textId="77777777" w:rsidR="00AC3D1C" w:rsidRDefault="00AC3D1C" w:rsidP="00294657">
      <w:pPr>
        <w:spacing w:line="276" w:lineRule="auto"/>
        <w:jc w:val="both"/>
        <w:rPr>
          <w:rFonts w:ascii="Calibri" w:hAnsi="Calibri" w:cs="Calibri"/>
          <w:color w:val="000000"/>
          <w:lang w:val="en-US"/>
        </w:rPr>
      </w:pPr>
    </w:p>
    <w:p w14:paraId="5223E097" w14:textId="414B50CD" w:rsidR="00FB607F" w:rsidRPr="00FB607F" w:rsidRDefault="00FB607F" w:rsidP="00FB607F">
      <w:pPr>
        <w:spacing w:line="276" w:lineRule="auto"/>
        <w:jc w:val="both"/>
        <w:rPr>
          <w:rFonts w:ascii="Calibri" w:hAnsi="Calibri" w:cs="Calibri"/>
          <w:color w:val="000000"/>
          <w:lang w:val="en-US"/>
        </w:rPr>
      </w:pPr>
      <w:r>
        <w:rPr>
          <w:rFonts w:ascii="Calibri" w:hAnsi="Calibri" w:cs="Calibri"/>
          <w:color w:val="000000"/>
          <w:lang w:val="en-US"/>
        </w:rPr>
        <w:t xml:space="preserve">Sustainability of the transformative change delivered by the MEG/EU4MEG project and importantly, </w:t>
      </w:r>
      <w:r w:rsidR="004A67A4">
        <w:rPr>
          <w:rFonts w:ascii="Calibri" w:hAnsi="Calibri" w:cs="Calibri"/>
          <w:color w:val="000000"/>
          <w:lang w:val="en-US"/>
        </w:rPr>
        <w:t xml:space="preserve">by </w:t>
      </w:r>
      <w:r>
        <w:rPr>
          <w:rFonts w:ascii="Calibri" w:hAnsi="Calibri" w:cs="Calibri"/>
          <w:color w:val="000000"/>
          <w:lang w:val="en-US"/>
        </w:rPr>
        <w:t xml:space="preserve">the MEG programme, would </w:t>
      </w:r>
      <w:r w:rsidR="004A67A4">
        <w:rPr>
          <w:rFonts w:ascii="Calibri" w:hAnsi="Calibri" w:cs="Calibri"/>
          <w:color w:val="000000"/>
          <w:lang w:val="en-US"/>
        </w:rPr>
        <w:t xml:space="preserve">depend on </w:t>
      </w:r>
      <w:r w:rsidRPr="00F569AE">
        <w:rPr>
          <w:rFonts w:ascii="Calibri" w:hAnsi="Calibri" w:cs="Calibri"/>
          <w:lang w:val="en-US"/>
        </w:rPr>
        <w:t>tailor</w:t>
      </w:r>
      <w:r w:rsidR="004A67A4">
        <w:rPr>
          <w:rFonts w:ascii="Calibri" w:hAnsi="Calibri" w:cs="Calibri"/>
          <w:lang w:val="en-US"/>
        </w:rPr>
        <w:t>ed</w:t>
      </w:r>
      <w:r w:rsidRPr="00F569AE">
        <w:rPr>
          <w:rFonts w:ascii="Calibri" w:hAnsi="Calibri" w:cs="Calibri"/>
          <w:lang w:val="en-US"/>
        </w:rPr>
        <w:t xml:space="preserve"> </w:t>
      </w:r>
      <w:r w:rsidR="004A67A4">
        <w:rPr>
          <w:rFonts w:ascii="Calibri" w:hAnsi="Calibri" w:cs="Calibri"/>
          <w:lang w:val="en-US"/>
        </w:rPr>
        <w:t xml:space="preserve">sustainability and </w:t>
      </w:r>
      <w:r w:rsidRPr="00F569AE">
        <w:rPr>
          <w:rFonts w:ascii="Calibri" w:hAnsi="Calibri" w:cs="Calibri"/>
          <w:lang w:val="en-US"/>
        </w:rPr>
        <w:t>exit strategy, informed by continuous and rigorous analysis of accumulated lessons. Such strategic planning will help secure the durability of project achievements and facilitate the transfer of knowledge and capacities, thereby fostering further innovation beyond the project’s lifecycle.</w:t>
      </w:r>
    </w:p>
    <w:p w14:paraId="44B47D80" w14:textId="77777777" w:rsidR="00FB607F" w:rsidRDefault="00FB607F" w:rsidP="00294657">
      <w:pPr>
        <w:spacing w:line="276" w:lineRule="auto"/>
        <w:jc w:val="both"/>
        <w:rPr>
          <w:rFonts w:ascii="Calibri" w:hAnsi="Calibri" w:cs="Calibri"/>
          <w:color w:val="000000"/>
          <w:lang w:val="en-US"/>
        </w:rPr>
      </w:pPr>
    </w:p>
    <w:p w14:paraId="6B14679A" w14:textId="256ED8E6" w:rsidR="00FB607F" w:rsidRDefault="002C68C3" w:rsidP="00294657">
      <w:pPr>
        <w:spacing w:line="276" w:lineRule="auto"/>
        <w:jc w:val="both"/>
        <w:rPr>
          <w:rFonts w:ascii="Calibri" w:hAnsi="Calibri" w:cs="Calibri"/>
          <w:color w:val="000000"/>
          <w:lang w:val="en-US"/>
        </w:rPr>
      </w:pPr>
      <w:r>
        <w:rPr>
          <w:rFonts w:ascii="Calibri" w:hAnsi="Calibri" w:cs="Calibri"/>
          <w:color w:val="000000"/>
          <w:lang w:val="en-US"/>
        </w:rPr>
        <w:t>The reflections on sustainability of the MEG/EU4MEG project include:</w:t>
      </w:r>
    </w:p>
    <w:p w14:paraId="6B126048" w14:textId="77777777" w:rsidR="002C68C3" w:rsidRDefault="002C68C3" w:rsidP="00294657">
      <w:pPr>
        <w:spacing w:line="276" w:lineRule="auto"/>
        <w:jc w:val="both"/>
        <w:rPr>
          <w:rFonts w:ascii="Calibri" w:hAnsi="Calibri" w:cs="Calibri"/>
          <w:color w:val="000000"/>
          <w:lang w:val="en-US"/>
        </w:rPr>
      </w:pPr>
    </w:p>
    <w:p w14:paraId="3B65B94C" w14:textId="5F481875" w:rsidR="00294657" w:rsidRPr="00AC3D1C" w:rsidRDefault="00AC3D1C" w:rsidP="00294657">
      <w:pPr>
        <w:spacing w:line="276" w:lineRule="auto"/>
        <w:jc w:val="both"/>
        <w:rPr>
          <w:rFonts w:ascii="Calibri" w:hAnsi="Calibri" w:cs="Calibri"/>
          <w:color w:val="000000"/>
          <w:lang w:val="en-US"/>
        </w:rPr>
      </w:pPr>
      <w:r w:rsidRPr="00AC3D1C">
        <w:rPr>
          <w:rFonts w:ascii="Calibri" w:hAnsi="Calibri" w:cs="Calibri"/>
          <w:i/>
          <w:color w:val="000000"/>
          <w:lang w:val="en-US"/>
        </w:rPr>
        <w:t xml:space="preserve">(i) </w:t>
      </w:r>
      <w:r w:rsidRPr="00AC3D1C">
        <w:rPr>
          <w:rFonts w:ascii="Calibri" w:hAnsi="Calibri" w:cs="Calibri"/>
          <w:i/>
          <w:lang w:val="en-US"/>
        </w:rPr>
        <w:t>Harmonized legal frameworks in water services sector in both entities:</w:t>
      </w:r>
      <w:r>
        <w:rPr>
          <w:rFonts w:ascii="Calibri" w:hAnsi="Calibri" w:cs="Calibri"/>
          <w:lang w:val="en-US"/>
        </w:rPr>
        <w:t xml:space="preserve"> </w:t>
      </w:r>
      <w:r>
        <w:rPr>
          <w:rFonts w:ascii="Calibri" w:hAnsi="Calibri" w:cs="Calibri"/>
          <w:color w:val="000000"/>
          <w:lang w:val="en-US"/>
        </w:rPr>
        <w:t xml:space="preserve">the high susceptibility of the policy context to political influence rendered efforts towards harmonized legal frameworks in water sector highly fragile. </w:t>
      </w:r>
      <w:r w:rsidR="00294657" w:rsidRPr="00F569AE">
        <w:rPr>
          <w:rFonts w:ascii="Calibri" w:hAnsi="Calibri" w:cs="Calibri"/>
          <w:color w:val="000000"/>
          <w:lang w:val="en-US"/>
        </w:rPr>
        <w:t xml:space="preserve">To mitigate this situation, it is essential to establish a robust counter-power mechanism within the sector with three interdependent elements: (i) </w:t>
      </w:r>
      <w:r w:rsidR="00294657" w:rsidRPr="00F569AE">
        <w:rPr>
          <w:rFonts w:ascii="Calibri" w:hAnsi="Calibri" w:cs="Calibri"/>
          <w:b/>
          <w:i/>
          <w:color w:val="000000"/>
          <w:lang w:val="en-US"/>
        </w:rPr>
        <w:t>ongoing policy dialogues</w:t>
      </w:r>
      <w:r w:rsidR="00294657" w:rsidRPr="00F569AE">
        <w:rPr>
          <w:rFonts w:ascii="Calibri" w:hAnsi="Calibri" w:cs="Calibri"/>
          <w:color w:val="000000"/>
          <w:lang w:val="en-US"/>
        </w:rPr>
        <w:t xml:space="preserve"> - to maintain sectoral priorities prominently on the </w:t>
      </w:r>
      <w:r w:rsidR="00294657" w:rsidRPr="00F569AE">
        <w:rPr>
          <w:rFonts w:ascii="Calibri" w:hAnsi="Calibri" w:cs="Calibri"/>
          <w:color w:val="000000"/>
          <w:lang w:val="en-US"/>
        </w:rPr>
        <w:lastRenderedPageBreak/>
        <w:t xml:space="preserve">agenda of the highest policy level and fostering evidence-based policymaking within BiH; (ii) </w:t>
      </w:r>
      <w:r w:rsidR="00294657" w:rsidRPr="00F569AE">
        <w:rPr>
          <w:rFonts w:ascii="Calibri" w:hAnsi="Calibri" w:cs="Calibri"/>
          <w:b/>
          <w:i/>
          <w:color w:val="000000"/>
          <w:lang w:val="en-US"/>
        </w:rPr>
        <w:t>grassroot mobilization</w:t>
      </w:r>
      <w:r w:rsidR="00294657" w:rsidRPr="00F569AE">
        <w:rPr>
          <w:rFonts w:ascii="Calibri" w:hAnsi="Calibri" w:cs="Calibri"/>
          <w:color w:val="000000"/>
          <w:lang w:val="en-US"/>
        </w:rPr>
        <w:t xml:space="preserve"> - to allow emergence of ‘critical mass’ of municipalities engaged in collective quality transformation and peer accountability, gradually setting informal MEG standards for quality and effectiveness across the water and local governance </w:t>
      </w:r>
      <w:r w:rsidR="0071152D">
        <w:rPr>
          <w:rFonts w:ascii="Calibri" w:hAnsi="Calibri" w:cs="Calibri"/>
          <w:color w:val="000000"/>
          <w:lang w:val="en-US"/>
        </w:rPr>
        <w:t>sectors</w:t>
      </w:r>
      <w:r w:rsidR="00294657" w:rsidRPr="00F569AE">
        <w:rPr>
          <w:rFonts w:ascii="Calibri" w:hAnsi="Calibri" w:cs="Calibri"/>
          <w:color w:val="000000"/>
          <w:lang w:val="en-US"/>
        </w:rPr>
        <w:t xml:space="preserve"> in BiH; (iii) </w:t>
      </w:r>
      <w:r w:rsidR="00294657" w:rsidRPr="00F569AE">
        <w:rPr>
          <w:rFonts w:ascii="Calibri" w:hAnsi="Calibri" w:cs="Calibri"/>
          <w:b/>
          <w:i/>
          <w:color w:val="000000"/>
          <w:lang w:val="en-US"/>
        </w:rPr>
        <w:t>formalized ‘MEG standardization’</w:t>
      </w:r>
      <w:r w:rsidR="00294657" w:rsidRPr="00F569AE">
        <w:rPr>
          <w:rFonts w:ascii="Calibri" w:hAnsi="Calibri" w:cs="Calibri"/>
          <w:color w:val="000000"/>
          <w:lang w:val="en-US"/>
        </w:rPr>
        <w:t xml:space="preserve"> -</w:t>
      </w:r>
      <w:r w:rsidR="00463D5B">
        <w:rPr>
          <w:rFonts w:ascii="Calibri" w:hAnsi="Calibri" w:cs="Calibri"/>
          <w:color w:val="000000"/>
          <w:lang w:val="en-US"/>
        </w:rPr>
        <w:t xml:space="preserve"> </w:t>
      </w:r>
      <w:r w:rsidR="00294657" w:rsidRPr="00F569AE">
        <w:rPr>
          <w:rFonts w:ascii="Calibri" w:hAnsi="Calibri" w:cs="Calibri"/>
          <w:color w:val="000000"/>
          <w:lang w:val="en-US"/>
        </w:rPr>
        <w:t xml:space="preserve">to promote consistent, transparent, long-term and sustainable system transformation processes. The critical element of MEG standardization would be to </w:t>
      </w:r>
      <w:r w:rsidR="00294657" w:rsidRPr="00463D5B">
        <w:rPr>
          <w:rFonts w:ascii="Calibri" w:hAnsi="Calibri" w:cs="Calibri"/>
          <w:color w:val="000000"/>
          <w:lang w:val="en-US"/>
        </w:rPr>
        <w:t>pack the MEG solutions</w:t>
      </w:r>
      <w:r w:rsidR="00294657" w:rsidRPr="00F569AE">
        <w:rPr>
          <w:rFonts w:ascii="Calibri" w:hAnsi="Calibri" w:cs="Calibri"/>
          <w:b/>
          <w:i/>
          <w:color w:val="000000"/>
          <w:lang w:val="en-US"/>
        </w:rPr>
        <w:t xml:space="preserve"> </w:t>
      </w:r>
      <w:r w:rsidR="00294657" w:rsidRPr="00F569AE">
        <w:rPr>
          <w:rFonts w:ascii="Calibri" w:hAnsi="Calibri" w:cs="Calibri"/>
          <w:color w:val="000000"/>
          <w:lang w:val="en-US"/>
        </w:rPr>
        <w:t xml:space="preserve">(e.g. codification of best practices, guidelines, and standards into official protocols) and to </w:t>
      </w:r>
      <w:r w:rsidR="00294657" w:rsidRPr="00463D5B">
        <w:rPr>
          <w:rFonts w:ascii="Calibri" w:hAnsi="Calibri" w:cs="Calibri"/>
          <w:color w:val="000000"/>
          <w:lang w:val="en-US"/>
        </w:rPr>
        <w:t>support their institutionalization</w:t>
      </w:r>
      <w:r w:rsidR="00294657" w:rsidRPr="00F569AE">
        <w:rPr>
          <w:rFonts w:ascii="Calibri" w:hAnsi="Calibri" w:cs="Calibri"/>
          <w:lang w:val="en-US"/>
        </w:rPr>
        <w:t>.</w:t>
      </w:r>
      <w:r w:rsidR="00294657" w:rsidRPr="00F569AE">
        <w:rPr>
          <w:lang w:val="en-US"/>
        </w:rPr>
        <w:t xml:space="preserve"> </w:t>
      </w:r>
      <w:r w:rsidR="00294657" w:rsidRPr="00F569AE">
        <w:rPr>
          <w:rFonts w:ascii="Calibri" w:hAnsi="Calibri" w:cs="Calibri"/>
          <w:color w:val="000000"/>
          <w:lang w:val="en-US"/>
        </w:rPr>
        <w:t xml:space="preserve">Standardization also facilitates clearer communication, easier replication of successes, and more effective monitoring and evaluation, all of which would be vital for scaling up improvements across municipalities. </w:t>
      </w:r>
      <w:r w:rsidR="00294657" w:rsidRPr="00F569AE">
        <w:rPr>
          <w:rFonts w:ascii="Calibri" w:hAnsi="Calibri" w:cs="Calibri"/>
          <w:lang w:val="en-US"/>
        </w:rPr>
        <w:t>By simultaneously advancing along these pathways, the legacy of project solutions could transcend multiple highly successful initiatives demonstrated within MEG/EU4MEG</w:t>
      </w:r>
      <w:r w:rsidR="0071152D">
        <w:rPr>
          <w:rFonts w:ascii="Calibri" w:hAnsi="Calibri" w:cs="Calibri"/>
          <w:lang w:val="en-US"/>
        </w:rPr>
        <w:t xml:space="preserve"> project</w:t>
      </w:r>
      <w:r w:rsidR="00294657" w:rsidRPr="00F569AE">
        <w:rPr>
          <w:rFonts w:ascii="Calibri" w:hAnsi="Calibri" w:cs="Calibri"/>
          <w:lang w:val="en-US"/>
        </w:rPr>
        <w:t>, becoming embedded as common practices, shielded from political oscillations, and capable of propelling the water sector and local governance in BiH towards a future of sustained, transformative change.</w:t>
      </w:r>
    </w:p>
    <w:p w14:paraId="1BCFE36A" w14:textId="77777777" w:rsidR="00D7143F" w:rsidRPr="00F569AE" w:rsidRDefault="00D7143F" w:rsidP="0000580D">
      <w:pPr>
        <w:spacing w:line="276" w:lineRule="auto"/>
        <w:jc w:val="both"/>
        <w:rPr>
          <w:rFonts w:ascii="Calibri" w:hAnsi="Calibri" w:cs="Calibri"/>
          <w:lang w:val="en-US"/>
        </w:rPr>
      </w:pPr>
    </w:p>
    <w:p w14:paraId="4468BFDF" w14:textId="64C1FF2E" w:rsidR="00BF1406" w:rsidRDefault="000B6C69" w:rsidP="0000580D">
      <w:pPr>
        <w:spacing w:line="276" w:lineRule="auto"/>
        <w:jc w:val="both"/>
        <w:rPr>
          <w:rFonts w:ascii="Calibri" w:hAnsi="Calibri" w:cs="Calibri"/>
          <w:lang w:val="en-US"/>
        </w:rPr>
      </w:pPr>
      <w:r w:rsidRPr="000B6C69">
        <w:rPr>
          <w:rFonts w:ascii="Calibri" w:hAnsi="Calibri" w:cs="Calibri"/>
          <w:i/>
          <w:lang w:val="en-US"/>
        </w:rPr>
        <w:t>(ii) Broad repositorium of knowledge products (e.g. tools, methodologies, guidelines, etc.):</w:t>
      </w:r>
      <w:r>
        <w:rPr>
          <w:rFonts w:ascii="Calibri" w:hAnsi="Calibri" w:cs="Calibri"/>
          <w:lang w:val="en-US"/>
        </w:rPr>
        <w:t xml:space="preserve"> </w:t>
      </w:r>
      <w:r w:rsidR="00211871" w:rsidRPr="00F569AE">
        <w:rPr>
          <w:rFonts w:ascii="Calibri" w:hAnsi="Calibri" w:cs="Calibri"/>
          <w:lang w:val="en-US"/>
        </w:rPr>
        <w:t xml:space="preserve">During its implementation cycle, the </w:t>
      </w:r>
      <w:r w:rsidR="00D7143F" w:rsidRPr="00F569AE">
        <w:rPr>
          <w:rFonts w:ascii="Calibri" w:hAnsi="Calibri" w:cs="Calibri"/>
          <w:lang w:val="en-US"/>
        </w:rPr>
        <w:t xml:space="preserve">MEG/EU4MEG </w:t>
      </w:r>
      <w:r w:rsidR="0071152D">
        <w:rPr>
          <w:rFonts w:ascii="Calibri" w:hAnsi="Calibri" w:cs="Calibri"/>
          <w:lang w:val="en-US"/>
        </w:rPr>
        <w:t xml:space="preserve">project </w:t>
      </w:r>
      <w:r w:rsidR="00D7143F" w:rsidRPr="00F569AE">
        <w:rPr>
          <w:rFonts w:ascii="Calibri" w:hAnsi="Calibri" w:cs="Calibri"/>
          <w:lang w:val="en-US"/>
        </w:rPr>
        <w:t xml:space="preserve">has </w:t>
      </w:r>
      <w:r w:rsidR="001F5EC5" w:rsidRPr="00F569AE">
        <w:rPr>
          <w:rFonts w:ascii="Calibri" w:hAnsi="Calibri" w:cs="Calibri"/>
          <w:lang w:val="en-US"/>
        </w:rPr>
        <w:t xml:space="preserve">successfully </w:t>
      </w:r>
      <w:r w:rsidR="00211871" w:rsidRPr="00F569AE">
        <w:rPr>
          <w:rFonts w:ascii="Calibri" w:hAnsi="Calibri" w:cs="Calibri"/>
          <w:lang w:val="en-US"/>
        </w:rPr>
        <w:t>established</w:t>
      </w:r>
      <w:r w:rsidR="00D7143F" w:rsidRPr="00F569AE">
        <w:rPr>
          <w:rFonts w:ascii="Calibri" w:hAnsi="Calibri" w:cs="Calibri"/>
          <w:lang w:val="en-US"/>
        </w:rPr>
        <w:t xml:space="preserve"> </w:t>
      </w:r>
      <w:r w:rsidR="00D7143F" w:rsidRPr="00F569AE">
        <w:rPr>
          <w:rFonts w:ascii="Calibri" w:hAnsi="Calibri" w:cs="Calibri"/>
          <w:b/>
          <w:i/>
          <w:lang w:val="en-US"/>
        </w:rPr>
        <w:t>‘proof of concept’</w:t>
      </w:r>
      <w:r w:rsidR="00DC2AFF" w:rsidRPr="00F569AE">
        <w:rPr>
          <w:rFonts w:ascii="Calibri" w:hAnsi="Calibri" w:cs="Calibri"/>
          <w:b/>
          <w:i/>
          <w:lang w:val="en-US"/>
        </w:rPr>
        <w:t xml:space="preserve"> </w:t>
      </w:r>
      <w:r w:rsidR="00211871" w:rsidRPr="00F569AE">
        <w:rPr>
          <w:rFonts w:ascii="Calibri" w:hAnsi="Calibri" w:cs="Calibri"/>
          <w:lang w:val="en-US"/>
        </w:rPr>
        <w:t xml:space="preserve">whereby the project </w:t>
      </w:r>
      <w:r w:rsidR="00211871" w:rsidRPr="00F569AE">
        <w:rPr>
          <w:rFonts w:ascii="Calibri" w:eastAsiaTheme="majorEastAsia" w:hAnsi="Calibri" w:cs="Calibri"/>
          <w:lang w:val="en-US"/>
        </w:rPr>
        <w:t xml:space="preserve">illustrated that targeted interventions can effectively alter entrenched practices and mindsets at both sectoral and local governance levels, creating quality </w:t>
      </w:r>
      <w:r w:rsidR="00DC2AFF" w:rsidRPr="00F569AE">
        <w:rPr>
          <w:rFonts w:ascii="Calibri" w:hAnsi="Calibri" w:cs="Calibri"/>
          <w:lang w:val="en-US"/>
        </w:rPr>
        <w:t xml:space="preserve">shift </w:t>
      </w:r>
      <w:r w:rsidR="00211871" w:rsidRPr="00F569AE">
        <w:rPr>
          <w:rFonts w:ascii="Calibri" w:hAnsi="Calibri" w:cs="Calibri"/>
          <w:lang w:val="en-US"/>
        </w:rPr>
        <w:t xml:space="preserve">of </w:t>
      </w:r>
      <w:r w:rsidR="00DC2AFF" w:rsidRPr="00F569AE">
        <w:rPr>
          <w:rFonts w:ascii="Calibri" w:hAnsi="Calibri" w:cs="Calibri"/>
          <w:lang w:val="en-US"/>
        </w:rPr>
        <w:t xml:space="preserve">system level dynamics in water sector and in local governance in BiH. </w:t>
      </w:r>
      <w:r w:rsidR="00F54E62" w:rsidRPr="00F569AE">
        <w:rPr>
          <w:rFonts w:ascii="Calibri" w:hAnsi="Calibri" w:cs="Calibri"/>
          <w:lang w:val="en-US"/>
        </w:rPr>
        <w:t xml:space="preserve">The facilitation of capacity development organized within the project set the foundational steps for improved system performance, however, they were facilitated by the third parties (e.g. UNDP BiH, consortium members, external consultants). Efforts would be required to embed the knowledge and knowledge transfer processes within the water sector and across </w:t>
      </w:r>
      <w:r w:rsidR="0071152D">
        <w:rPr>
          <w:rFonts w:ascii="Calibri" w:hAnsi="Calibri" w:cs="Calibri"/>
          <w:lang w:val="en-US"/>
        </w:rPr>
        <w:t xml:space="preserve">the </w:t>
      </w:r>
      <w:r w:rsidR="00F54E62" w:rsidRPr="00F569AE">
        <w:rPr>
          <w:rFonts w:ascii="Calibri" w:hAnsi="Calibri" w:cs="Calibri"/>
          <w:lang w:val="en-US"/>
        </w:rPr>
        <w:t xml:space="preserve">local governance system in BiH. </w:t>
      </w:r>
      <w:r w:rsidR="0078720B" w:rsidRPr="0078720B">
        <w:rPr>
          <w:rFonts w:ascii="Calibri" w:hAnsi="Calibri" w:cs="Calibri"/>
          <w:lang w:val="en-US"/>
        </w:rPr>
        <w:t>A clear strategy for the transfer and stewardship of these knowledge assets must be established to ensure their ongoing relevance and accessibility.</w:t>
      </w:r>
      <w:r w:rsidR="0071152D">
        <w:rPr>
          <w:rFonts w:ascii="Calibri" w:hAnsi="Calibri" w:cs="Calibri"/>
          <w:lang w:val="en-US"/>
        </w:rPr>
        <w:t xml:space="preserve"> The knowledge transfer should be accompanied with tailored capacity development for the future host institution.</w:t>
      </w:r>
      <w:r w:rsidR="0078720B" w:rsidRPr="0078720B">
        <w:rPr>
          <w:rFonts w:ascii="Calibri" w:hAnsi="Calibri" w:cs="Calibri"/>
          <w:lang w:val="en-US"/>
        </w:rPr>
        <w:t xml:space="preserve"> This approach will help guarantee that the expertise and tools generated by the project continue to benefit municipalities and other stakeholders, supporting sustained improvements in public administration beyond the project’s duration.</w:t>
      </w:r>
      <w:r w:rsidR="0078720B">
        <w:rPr>
          <w:rFonts w:ascii="Calibri" w:hAnsi="Calibri" w:cs="Calibri"/>
          <w:lang w:val="en-US"/>
        </w:rPr>
        <w:t xml:space="preserve"> For instance, the large number of knowledge products developed within the project to </w:t>
      </w:r>
      <w:r w:rsidR="00BF1406">
        <w:rPr>
          <w:rFonts w:ascii="Calibri" w:hAnsi="Calibri" w:cs="Calibri"/>
          <w:lang w:val="en-US"/>
        </w:rPr>
        <w:t>build capacities of the</w:t>
      </w:r>
      <w:r w:rsidR="0078720B">
        <w:rPr>
          <w:rFonts w:ascii="Calibri" w:hAnsi="Calibri" w:cs="Calibri"/>
          <w:lang w:val="en-US"/>
        </w:rPr>
        <w:t xml:space="preserve"> WUCs </w:t>
      </w:r>
      <w:r w:rsidR="00BF1406">
        <w:rPr>
          <w:rFonts w:ascii="Calibri" w:hAnsi="Calibri" w:cs="Calibri"/>
          <w:lang w:val="en-US"/>
        </w:rPr>
        <w:t xml:space="preserve">would need to be embedded in Water Academy, a to-be-established knowledge institution and platform hosted by the Water Utility Associations.  Similarly, the CAF-related knowledge products and the function to continue building capacities of the LGs </w:t>
      </w:r>
      <w:r w:rsidR="00BF1406" w:rsidRPr="00BF1406">
        <w:rPr>
          <w:rFonts w:ascii="Calibri" w:hAnsi="Calibri" w:cs="Calibri"/>
          <w:lang w:val="en-US"/>
        </w:rPr>
        <w:t>to apply quality management in public administration</w:t>
      </w:r>
      <w:r w:rsidR="00BF1406">
        <w:rPr>
          <w:rFonts w:ascii="Calibri" w:hAnsi="Calibri" w:cs="Calibri"/>
          <w:lang w:val="en-US"/>
        </w:rPr>
        <w:t xml:space="preserve"> require an institutional host. This decision should be carefully balanced vis-à-vis normative landscape in both entities but also the commitments from the potential candidate institutions. The Associations of Cities in both entities might be the partners to host CAF-related knowledge products. While the decision on transferring knowledge products from the project to potential host institutions is yet to be made as part of the project exit and sustainability strategy, one precondition </w:t>
      </w:r>
      <w:r w:rsidR="0071152D">
        <w:rPr>
          <w:rFonts w:ascii="Calibri" w:hAnsi="Calibri" w:cs="Calibri"/>
          <w:lang w:val="en-US"/>
        </w:rPr>
        <w:t>should</w:t>
      </w:r>
      <w:r w:rsidR="00BF1406">
        <w:rPr>
          <w:rFonts w:ascii="Calibri" w:hAnsi="Calibri" w:cs="Calibri"/>
          <w:lang w:val="en-US"/>
        </w:rPr>
        <w:t xml:space="preserve"> be </w:t>
      </w:r>
      <w:r w:rsidR="00BF1406">
        <w:rPr>
          <w:rFonts w:ascii="Calibri" w:hAnsi="Calibri" w:cs="Calibri"/>
          <w:lang w:val="en-US"/>
        </w:rPr>
        <w:lastRenderedPageBreak/>
        <w:t>respected – all knowledge products developed within the project must be open access, meaning that users can</w:t>
      </w:r>
      <w:r w:rsidR="00BF1406">
        <w:rPr>
          <w:rStyle w:val="apple-converted-space"/>
          <w:rFonts w:ascii="Helvetica Neue" w:eastAsiaTheme="majorEastAsia" w:hAnsi="Helvetica Neue"/>
          <w:color w:val="545D7E"/>
          <w:spacing w:val="2"/>
          <w:shd w:val="clear" w:color="auto" w:fill="FFFFFF"/>
        </w:rPr>
        <w:t> </w:t>
      </w:r>
      <w:r w:rsidR="00BF1406" w:rsidRPr="00BF1406">
        <w:rPr>
          <w:rFonts w:ascii="Calibri" w:hAnsi="Calibri" w:cs="Calibri"/>
          <w:lang w:val="en-US"/>
        </w:rPr>
        <w:t xml:space="preserve">read, download, copy, and distribute </w:t>
      </w:r>
      <w:r w:rsidR="00BF1406">
        <w:rPr>
          <w:rFonts w:ascii="Calibri" w:hAnsi="Calibri" w:cs="Calibri"/>
          <w:lang w:val="en-US"/>
        </w:rPr>
        <w:t>these knowledge products without charge.</w:t>
      </w:r>
      <w:r w:rsidR="005A7E59">
        <w:rPr>
          <w:rFonts w:ascii="Calibri" w:hAnsi="Calibri" w:cs="Calibri"/>
          <w:lang w:val="en-US"/>
        </w:rPr>
        <w:t xml:space="preserve"> </w:t>
      </w:r>
    </w:p>
    <w:p w14:paraId="75588D7D" w14:textId="77777777" w:rsidR="0078720B" w:rsidRDefault="0078720B" w:rsidP="0000580D">
      <w:pPr>
        <w:spacing w:line="276" w:lineRule="auto"/>
        <w:jc w:val="both"/>
        <w:rPr>
          <w:rFonts w:ascii="Calibri" w:hAnsi="Calibri" w:cs="Calibri"/>
          <w:lang w:val="en-US"/>
        </w:rPr>
      </w:pPr>
    </w:p>
    <w:p w14:paraId="4E5E53A3" w14:textId="21B54535" w:rsidR="00D008C4" w:rsidRPr="00D008C4" w:rsidRDefault="00BF1406" w:rsidP="00D008C4">
      <w:pPr>
        <w:rPr>
          <w:rFonts w:ascii="Calibri" w:hAnsi="Calibri" w:cs="Calibri"/>
          <w:i/>
          <w:lang w:val="en-US"/>
        </w:rPr>
      </w:pPr>
      <w:r w:rsidRPr="00D008C4">
        <w:rPr>
          <w:rFonts w:ascii="Calibri" w:hAnsi="Calibri" w:cs="Calibri"/>
          <w:i/>
          <w:lang w:val="en-US"/>
        </w:rPr>
        <w:t xml:space="preserve">(iii) </w:t>
      </w:r>
      <w:r w:rsidR="00D008C4" w:rsidRPr="00D008C4">
        <w:rPr>
          <w:rFonts w:ascii="Calibri" w:hAnsi="Calibri" w:cs="Calibri"/>
          <w:i/>
          <w:lang w:val="en-US"/>
        </w:rPr>
        <w:t xml:space="preserve">peer-support mechanism among the partner LGs: </w:t>
      </w:r>
    </w:p>
    <w:p w14:paraId="4BE41E48" w14:textId="35F761A7" w:rsidR="0078720B" w:rsidRDefault="00D008C4" w:rsidP="0000580D">
      <w:pPr>
        <w:spacing w:line="276" w:lineRule="auto"/>
        <w:jc w:val="both"/>
        <w:rPr>
          <w:rFonts w:ascii="Calibri" w:hAnsi="Calibri" w:cs="Calibri"/>
          <w:lang w:val="en-US"/>
        </w:rPr>
      </w:pPr>
      <w:r>
        <w:rPr>
          <w:rFonts w:ascii="Calibri" w:hAnsi="Calibri" w:cs="Calibri"/>
          <w:lang w:val="en-US"/>
        </w:rPr>
        <w:t xml:space="preserve">The mentorship scheme among the partner LGs was very well received by all stakeholders. The sustainability of the mentorship scheme would be difficult, if possible, to maintain beyond the project lifetime, however, there could be </w:t>
      </w:r>
      <w:r w:rsidR="005A7E59">
        <w:rPr>
          <w:rFonts w:ascii="Calibri" w:hAnsi="Calibri" w:cs="Calibri"/>
          <w:lang w:val="en-US"/>
        </w:rPr>
        <w:t xml:space="preserve">comparable </w:t>
      </w:r>
      <w:r>
        <w:rPr>
          <w:rFonts w:ascii="Calibri" w:hAnsi="Calibri" w:cs="Calibri"/>
          <w:lang w:val="en-US"/>
        </w:rPr>
        <w:t>alternative</w:t>
      </w:r>
      <w:r w:rsidR="005A7E59">
        <w:rPr>
          <w:rFonts w:ascii="Calibri" w:hAnsi="Calibri" w:cs="Calibri"/>
          <w:lang w:val="en-US"/>
        </w:rPr>
        <w:t>s to facilitate continuous exchange among the LGs.</w:t>
      </w:r>
      <w:r>
        <w:rPr>
          <w:rFonts w:ascii="Calibri" w:hAnsi="Calibri" w:cs="Calibri"/>
          <w:lang w:val="en-US"/>
        </w:rPr>
        <w:t xml:space="preserve"> </w:t>
      </w:r>
      <w:r w:rsidR="005A7E59">
        <w:rPr>
          <w:rFonts w:ascii="Calibri" w:hAnsi="Calibri" w:cs="Calibri"/>
          <w:lang w:val="en-US"/>
        </w:rPr>
        <w:t xml:space="preserve">For instance, </w:t>
      </w:r>
      <w:r>
        <w:rPr>
          <w:rFonts w:ascii="Calibri" w:hAnsi="Calibri" w:cs="Calibri"/>
          <w:lang w:val="en-US"/>
        </w:rPr>
        <w:t xml:space="preserve">a ‘forum’ </w:t>
      </w:r>
      <w:r w:rsidR="005A7E59">
        <w:rPr>
          <w:rFonts w:ascii="Calibri" w:hAnsi="Calibri" w:cs="Calibri"/>
          <w:lang w:val="en-US"/>
        </w:rPr>
        <w:t>function</w:t>
      </w:r>
      <w:r>
        <w:rPr>
          <w:rFonts w:ascii="Calibri" w:hAnsi="Calibri" w:cs="Calibri"/>
          <w:lang w:val="en-US"/>
        </w:rPr>
        <w:t xml:space="preserve"> could be established under </w:t>
      </w:r>
      <w:r w:rsidR="001F5342">
        <w:rPr>
          <w:rFonts w:ascii="Calibri" w:hAnsi="Calibri" w:cs="Calibri"/>
          <w:lang w:val="en-US"/>
        </w:rPr>
        <w:t>e</w:t>
      </w:r>
      <w:r>
        <w:rPr>
          <w:rFonts w:ascii="Calibri" w:hAnsi="Calibri" w:cs="Calibri"/>
          <w:lang w:val="en-US"/>
        </w:rPr>
        <w:t>-Citizens platform</w:t>
      </w:r>
      <w:r w:rsidR="00474A44">
        <w:rPr>
          <w:rFonts w:ascii="Calibri" w:hAnsi="Calibri" w:cs="Calibri"/>
          <w:lang w:val="en-US"/>
        </w:rPr>
        <w:t xml:space="preserve"> open to any LG in BiH</w:t>
      </w:r>
      <w:r>
        <w:rPr>
          <w:rFonts w:ascii="Calibri" w:hAnsi="Calibri" w:cs="Calibri"/>
          <w:lang w:val="en-US"/>
        </w:rPr>
        <w:t>, which already gained much traction from all partner LGs and beyond. Some indication of the strengths of each LG (or profile) might made it easy to guide inquiries from peer municipalities.</w:t>
      </w:r>
    </w:p>
    <w:p w14:paraId="3AD4A693" w14:textId="77777777" w:rsidR="00D26AB2" w:rsidRDefault="00D26AB2" w:rsidP="0000580D">
      <w:pPr>
        <w:spacing w:line="276" w:lineRule="auto"/>
        <w:jc w:val="both"/>
        <w:rPr>
          <w:rFonts w:ascii="Calibri" w:hAnsi="Calibri" w:cs="Calibri"/>
          <w:lang w:val="en-US"/>
        </w:rPr>
      </w:pPr>
    </w:p>
    <w:p w14:paraId="30729540" w14:textId="50DD456C" w:rsidR="00D008C4" w:rsidRPr="00D008C4" w:rsidRDefault="00D008C4" w:rsidP="0000580D">
      <w:pPr>
        <w:spacing w:line="276" w:lineRule="auto"/>
        <w:jc w:val="both"/>
        <w:rPr>
          <w:rFonts w:ascii="Calibri" w:hAnsi="Calibri" w:cs="Calibri"/>
          <w:i/>
          <w:lang w:val="en-US"/>
        </w:rPr>
      </w:pPr>
      <w:r w:rsidRPr="00D008C4">
        <w:rPr>
          <w:rFonts w:ascii="Calibri" w:hAnsi="Calibri" w:cs="Calibri"/>
          <w:i/>
          <w:lang w:val="en-US"/>
        </w:rPr>
        <w:t>(iv) expanding access to drinking water:</w:t>
      </w:r>
    </w:p>
    <w:p w14:paraId="4FEA0DF6" w14:textId="0F4601F9" w:rsidR="00DE75F6" w:rsidRDefault="00463D5B" w:rsidP="00463D5B">
      <w:pPr>
        <w:spacing w:line="276" w:lineRule="auto"/>
        <w:jc w:val="both"/>
        <w:rPr>
          <w:rFonts w:ascii="Calibri" w:hAnsi="Calibri" w:cs="Calibri"/>
          <w:lang w:val="en-US"/>
        </w:rPr>
      </w:pPr>
      <w:r w:rsidRPr="00463D5B">
        <w:rPr>
          <w:rFonts w:ascii="Calibri" w:hAnsi="Calibri" w:cs="Calibri"/>
          <w:lang w:val="en-US"/>
        </w:rPr>
        <w:t xml:space="preserve">Despite notable progress in water sector governance, considerable efforts are still required to ensure that all people—and especially vulnerable groups—have reliable access to drinking water. </w:t>
      </w:r>
      <w:r w:rsidR="0071152D">
        <w:rPr>
          <w:rFonts w:ascii="Calibri" w:hAnsi="Calibri" w:cs="Calibri"/>
          <w:lang w:val="en-US"/>
        </w:rPr>
        <w:t>The project showcased the subsidy mechanism to allow vulnerable population to have access to drinking water under change</w:t>
      </w:r>
      <w:r w:rsidR="00B422B4">
        <w:rPr>
          <w:rFonts w:ascii="Calibri" w:hAnsi="Calibri" w:cs="Calibri"/>
          <w:lang w:val="en-US"/>
        </w:rPr>
        <w:t xml:space="preserve">d price regime. </w:t>
      </w:r>
      <w:r w:rsidR="00DE75F6" w:rsidRPr="00DE75F6">
        <w:rPr>
          <w:rFonts w:ascii="Calibri" w:hAnsi="Calibri" w:cs="Calibri"/>
          <w:lang w:val="en-US"/>
        </w:rPr>
        <w:t>27 partner LGs, in collaboration with their Centers for Social Welfare, implemented monthly water bill subsidies for 2,377 socially vulnerable citizens as of 2025.</w:t>
      </w:r>
    </w:p>
    <w:p w14:paraId="25141F07" w14:textId="77777777" w:rsidR="006867A6" w:rsidRDefault="006867A6" w:rsidP="00463D5B">
      <w:pPr>
        <w:spacing w:line="276" w:lineRule="auto"/>
        <w:jc w:val="both"/>
        <w:rPr>
          <w:rFonts w:ascii="Calibri" w:hAnsi="Calibri" w:cs="Calibri"/>
          <w:lang w:val="en-US"/>
        </w:rPr>
      </w:pPr>
    </w:p>
    <w:p w14:paraId="07BB1FF2" w14:textId="18FFB6CA" w:rsidR="00463D5B" w:rsidRDefault="006867A6" w:rsidP="00463D5B">
      <w:pPr>
        <w:spacing w:line="276" w:lineRule="auto"/>
        <w:jc w:val="both"/>
        <w:rPr>
          <w:rFonts w:ascii="Calibri" w:hAnsi="Calibri" w:cs="Calibri"/>
          <w:lang w:val="en-US"/>
        </w:rPr>
      </w:pPr>
      <w:r>
        <w:rPr>
          <w:rFonts w:ascii="Calibri" w:hAnsi="Calibri" w:cs="Calibri"/>
          <w:lang w:val="en-US"/>
        </w:rPr>
        <w:t>Besides, i</w:t>
      </w:r>
      <w:r w:rsidR="00463D5B" w:rsidRPr="00463D5B">
        <w:rPr>
          <w:rFonts w:ascii="Calibri" w:hAnsi="Calibri" w:cs="Calibri"/>
          <w:lang w:val="en-US"/>
        </w:rPr>
        <w:t xml:space="preserve">mprovements in governance must be complemented by ongoing investments in drinking water infrastructure, with a particular emphasis on raising standards and quality. This calls for robust oversight of construction activities and, as a fundamental precondition, the establishment and enforcement of strong procurement regulations at both the state and municipal levels. </w:t>
      </w:r>
      <w:r w:rsidR="0071152D">
        <w:rPr>
          <w:rFonts w:ascii="Calibri" w:hAnsi="Calibri" w:cs="Calibri"/>
          <w:lang w:val="en-US"/>
        </w:rPr>
        <w:t>T</w:t>
      </w:r>
      <w:r w:rsidR="00463D5B" w:rsidRPr="00463D5B">
        <w:rPr>
          <w:rFonts w:ascii="Calibri" w:hAnsi="Calibri" w:cs="Calibri"/>
          <w:lang w:val="en-US"/>
        </w:rPr>
        <w:t xml:space="preserve">hrough this dual approach </w:t>
      </w:r>
      <w:r w:rsidR="0071152D">
        <w:rPr>
          <w:rFonts w:ascii="Calibri" w:hAnsi="Calibri" w:cs="Calibri"/>
          <w:lang w:val="en-US"/>
        </w:rPr>
        <w:t>could</w:t>
      </w:r>
      <w:r w:rsidR="00463D5B" w:rsidRPr="00463D5B">
        <w:rPr>
          <w:rFonts w:ascii="Calibri" w:hAnsi="Calibri" w:cs="Calibri"/>
          <w:lang w:val="en-US"/>
        </w:rPr>
        <w:t xml:space="preserve"> inclusive and equitable access to safe drinking water be achieved and sustained across all communities.</w:t>
      </w:r>
      <w:r w:rsidR="002C68C3">
        <w:rPr>
          <w:rFonts w:ascii="Calibri" w:hAnsi="Calibri" w:cs="Calibri"/>
          <w:lang w:val="en-US"/>
        </w:rPr>
        <w:t xml:space="preserve"> These efforts would directly contribute to </w:t>
      </w:r>
      <w:r w:rsidR="0071152D">
        <w:rPr>
          <w:rFonts w:ascii="Calibri" w:hAnsi="Calibri" w:cs="Calibri"/>
          <w:lang w:val="en-US"/>
        </w:rPr>
        <w:t xml:space="preserve">the </w:t>
      </w:r>
      <w:r w:rsidR="002C68C3">
        <w:rPr>
          <w:rFonts w:ascii="Calibri" w:hAnsi="Calibri" w:cs="Calibri"/>
          <w:lang w:val="en-US"/>
        </w:rPr>
        <w:t>reduction of still very high NRW in BiH.</w:t>
      </w:r>
      <w:r w:rsidR="00FE44AE">
        <w:rPr>
          <w:rFonts w:ascii="Calibri" w:hAnsi="Calibri" w:cs="Calibri"/>
          <w:lang w:val="en-US"/>
        </w:rPr>
        <w:t xml:space="preserve"> </w:t>
      </w:r>
      <w:r w:rsidR="00765CCA">
        <w:rPr>
          <w:rFonts w:ascii="Calibri" w:hAnsi="Calibri" w:cs="Calibri"/>
          <w:lang w:val="en-US"/>
        </w:rPr>
        <w:t xml:space="preserve">Water Alliance has a strong role to play here by linking water sector infrastructure investment with MEG standardization (following example of the Czech partners) and by advocating for fair procurement regime for the construction investment in </w:t>
      </w:r>
      <w:r w:rsidR="0071152D">
        <w:rPr>
          <w:rFonts w:ascii="Calibri" w:hAnsi="Calibri" w:cs="Calibri"/>
          <w:lang w:val="en-US"/>
        </w:rPr>
        <w:t xml:space="preserve">the </w:t>
      </w:r>
      <w:r w:rsidR="00765CCA">
        <w:rPr>
          <w:rFonts w:ascii="Calibri" w:hAnsi="Calibri" w:cs="Calibri"/>
          <w:lang w:val="en-US"/>
        </w:rPr>
        <w:t xml:space="preserve">water sector. </w:t>
      </w:r>
    </w:p>
    <w:p w14:paraId="27809090" w14:textId="77777777" w:rsidR="002C68C3" w:rsidRDefault="002C68C3" w:rsidP="002C68C3">
      <w:pPr>
        <w:spacing w:line="276" w:lineRule="auto"/>
        <w:jc w:val="both"/>
        <w:rPr>
          <w:rFonts w:ascii="Calibri" w:hAnsi="Calibri" w:cs="Calibri"/>
          <w:lang w:val="en-US"/>
        </w:rPr>
      </w:pPr>
    </w:p>
    <w:p w14:paraId="71F28C0E" w14:textId="289C547B" w:rsidR="002C68C3" w:rsidRPr="002C68C3" w:rsidRDefault="002C68C3" w:rsidP="002C68C3">
      <w:pPr>
        <w:spacing w:line="276" w:lineRule="auto"/>
        <w:jc w:val="both"/>
        <w:rPr>
          <w:rFonts w:ascii="Calibri" w:hAnsi="Calibri" w:cs="Calibri"/>
          <w:i/>
          <w:lang w:val="en-US"/>
        </w:rPr>
      </w:pPr>
      <w:r w:rsidRPr="002C68C3">
        <w:rPr>
          <w:rFonts w:ascii="Calibri" w:hAnsi="Calibri" w:cs="Calibri"/>
          <w:i/>
          <w:lang w:val="en-US"/>
        </w:rPr>
        <w:t>(v) citizens’ participation in local decision-making:</w:t>
      </w:r>
    </w:p>
    <w:p w14:paraId="21157DA5" w14:textId="08417F47" w:rsidR="002C68C3" w:rsidRDefault="002C68C3" w:rsidP="00DD4B85">
      <w:pPr>
        <w:spacing w:line="276" w:lineRule="auto"/>
        <w:jc w:val="both"/>
        <w:rPr>
          <w:rFonts w:ascii="Calibri" w:hAnsi="Calibri" w:cs="Calibri"/>
          <w:lang w:val="en-US"/>
        </w:rPr>
      </w:pPr>
      <w:r>
        <w:rPr>
          <w:rFonts w:ascii="Calibri" w:hAnsi="Calibri" w:cs="Calibri"/>
          <w:lang w:val="en-US"/>
        </w:rPr>
        <w:t xml:space="preserve">The project set first steps to ensure participation of all citizens in </w:t>
      </w:r>
      <w:r w:rsidR="0071152D">
        <w:rPr>
          <w:rFonts w:ascii="Calibri" w:hAnsi="Calibri" w:cs="Calibri"/>
          <w:lang w:val="en-US"/>
        </w:rPr>
        <w:t xml:space="preserve">the </w:t>
      </w:r>
      <w:r>
        <w:rPr>
          <w:rFonts w:ascii="Calibri" w:hAnsi="Calibri" w:cs="Calibri"/>
          <w:lang w:val="en-US"/>
        </w:rPr>
        <w:t>local decision-making - especially women, youth, people with disabilities. This was the beginning of the journey. There is a need for continuous efforts across all UN programming to create and sustain a momentum of efforts, ensuring citizens’ active influence on decision</w:t>
      </w:r>
      <w:r w:rsidR="00F023EB">
        <w:rPr>
          <w:rFonts w:ascii="Calibri" w:hAnsi="Calibri" w:cs="Calibri"/>
          <w:lang w:val="en-US"/>
        </w:rPr>
        <w:t>-making</w:t>
      </w:r>
      <w:r>
        <w:rPr>
          <w:rFonts w:ascii="Calibri" w:hAnsi="Calibri" w:cs="Calibri"/>
          <w:lang w:val="en-US"/>
        </w:rPr>
        <w:t xml:space="preserve"> at </w:t>
      </w:r>
      <w:r w:rsidR="00F023EB">
        <w:rPr>
          <w:rFonts w:ascii="Calibri" w:hAnsi="Calibri" w:cs="Calibri"/>
          <w:lang w:val="en-US"/>
        </w:rPr>
        <w:t xml:space="preserve">the </w:t>
      </w:r>
      <w:r>
        <w:rPr>
          <w:rFonts w:ascii="Calibri" w:hAnsi="Calibri" w:cs="Calibri"/>
          <w:lang w:val="en-US"/>
        </w:rPr>
        <w:t xml:space="preserve">municipal level. </w:t>
      </w:r>
      <w:r w:rsidR="00F023EB">
        <w:rPr>
          <w:rFonts w:ascii="Calibri" w:hAnsi="Calibri" w:cs="Calibri"/>
          <w:lang w:val="en-US"/>
        </w:rPr>
        <w:t xml:space="preserve">Keeping this focus central for all relevant UN programming in BiH through the </w:t>
      </w:r>
      <w:r>
        <w:rPr>
          <w:rFonts w:ascii="Calibri" w:hAnsi="Calibri" w:cs="Calibri"/>
          <w:lang w:val="en-US"/>
        </w:rPr>
        <w:t xml:space="preserve">portfolio approach </w:t>
      </w:r>
      <w:r w:rsidR="00F023EB">
        <w:rPr>
          <w:rFonts w:ascii="Calibri" w:hAnsi="Calibri" w:cs="Calibri"/>
          <w:lang w:val="en-US"/>
        </w:rPr>
        <w:t>would open new opportunities to improve local governance in BiH.</w:t>
      </w:r>
    </w:p>
    <w:p w14:paraId="07B88410" w14:textId="269AD1B9" w:rsidR="002C68C3" w:rsidRPr="00463D5B" w:rsidRDefault="002C68C3" w:rsidP="00463D5B">
      <w:pPr>
        <w:spacing w:line="276" w:lineRule="auto"/>
        <w:jc w:val="both"/>
        <w:rPr>
          <w:rFonts w:ascii="Calibri" w:hAnsi="Calibri" w:cs="Calibri"/>
          <w:lang w:val="en-US"/>
        </w:rPr>
      </w:pPr>
    </w:p>
    <w:p w14:paraId="57D9D7C3" w14:textId="77777777" w:rsidR="00313EDC" w:rsidRDefault="00313EDC" w:rsidP="0002596B">
      <w:pPr>
        <w:spacing w:line="276" w:lineRule="auto"/>
        <w:rPr>
          <w:rFonts w:ascii="Calibri" w:eastAsiaTheme="majorEastAsia" w:hAnsi="Calibri" w:cs="Calibri"/>
          <w:color w:val="0F4761" w:themeColor="accent1" w:themeShade="BF"/>
          <w:lang w:val="en-US"/>
        </w:rPr>
      </w:pPr>
    </w:p>
    <w:p w14:paraId="159A01B2" w14:textId="77777777" w:rsidR="006867A6" w:rsidRPr="00F569AE" w:rsidRDefault="006867A6" w:rsidP="0002596B">
      <w:pPr>
        <w:spacing w:line="276" w:lineRule="auto"/>
        <w:rPr>
          <w:rFonts w:ascii="Calibri" w:eastAsiaTheme="majorEastAsia" w:hAnsi="Calibri" w:cs="Calibri"/>
          <w:color w:val="0F4761" w:themeColor="accent1" w:themeShade="BF"/>
          <w:lang w:val="en-US"/>
        </w:rPr>
      </w:pPr>
    </w:p>
    <w:p w14:paraId="0F0927A6" w14:textId="3D2263DE" w:rsidR="0002596B" w:rsidRPr="00F569AE" w:rsidRDefault="0002596B" w:rsidP="0002596B">
      <w:pPr>
        <w:spacing w:line="276" w:lineRule="auto"/>
        <w:rPr>
          <w:rFonts w:ascii="Calibri" w:eastAsiaTheme="majorEastAsia" w:hAnsi="Calibri" w:cs="Calibri"/>
          <w:b/>
          <w:color w:val="0F4761" w:themeColor="accent1" w:themeShade="BF"/>
          <w:sz w:val="26"/>
          <w:szCs w:val="26"/>
          <w:lang w:val="en-US"/>
        </w:rPr>
      </w:pPr>
      <w:r w:rsidRPr="00F569AE">
        <w:rPr>
          <w:rFonts w:ascii="Calibri" w:eastAsiaTheme="majorEastAsia" w:hAnsi="Calibri" w:cs="Calibri"/>
          <w:b/>
          <w:color w:val="0F4761" w:themeColor="accent1" w:themeShade="BF"/>
          <w:sz w:val="26"/>
          <w:szCs w:val="26"/>
          <w:lang w:val="en-US"/>
        </w:rPr>
        <w:t>Impact orientation</w:t>
      </w:r>
    </w:p>
    <w:p w14:paraId="124BBB05" w14:textId="77777777" w:rsidR="0002596B" w:rsidRPr="00F569AE" w:rsidRDefault="0002596B" w:rsidP="0002596B">
      <w:pPr>
        <w:spacing w:line="276" w:lineRule="auto"/>
        <w:rPr>
          <w:rFonts w:ascii="Calibri" w:eastAsiaTheme="majorEastAsia" w:hAnsi="Calibri" w:cs="Calibri"/>
          <w:b/>
          <w:color w:val="0F4761" w:themeColor="accent1" w:themeShade="BF"/>
          <w:sz w:val="26"/>
          <w:szCs w:val="2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831902" w:rsidRPr="00F569AE" w14:paraId="16ADA16E" w14:textId="77777777" w:rsidTr="00B11148">
        <w:tc>
          <w:tcPr>
            <w:tcW w:w="9010" w:type="dxa"/>
            <w:shd w:val="clear" w:color="auto" w:fill="F2F2F2" w:themeFill="background1" w:themeFillShade="F2"/>
          </w:tcPr>
          <w:p w14:paraId="68B5E33C" w14:textId="4501C7BF" w:rsidR="00831902" w:rsidRDefault="008525CD" w:rsidP="008525CD">
            <w:pPr>
              <w:spacing w:line="276" w:lineRule="auto"/>
              <w:jc w:val="both"/>
              <w:rPr>
                <w:rFonts w:ascii="Calibri" w:eastAsiaTheme="majorEastAsia" w:hAnsi="Calibri" w:cs="Calibri"/>
                <w:lang w:val="en-US"/>
              </w:rPr>
            </w:pPr>
            <w:r w:rsidRPr="00F569AE">
              <w:rPr>
                <w:rFonts w:ascii="Calibri" w:hAnsi="Calibri" w:cs="Calibri"/>
                <w:lang w:val="en-US"/>
              </w:rPr>
              <w:t xml:space="preserve">There were multiple signs of transformative change in the water ecosystem that could be attributed to the actions and resources invested by the project. Most noticeable, the culture of collaboration and learning among LGs and WUCs; institutionalized performance-based management within the LGs and WUCs; fostered climate of good governance </w:t>
            </w:r>
            <w:r w:rsidR="00252A45" w:rsidRPr="00F569AE">
              <w:rPr>
                <w:rFonts w:ascii="Calibri" w:hAnsi="Calibri" w:cs="Calibri"/>
                <w:lang w:val="en-US"/>
              </w:rPr>
              <w:t xml:space="preserve">and accountability, </w:t>
            </w:r>
            <w:r w:rsidRPr="00F569AE">
              <w:rPr>
                <w:rFonts w:ascii="Calibri" w:hAnsi="Calibri" w:cs="Calibri"/>
                <w:lang w:val="en-US"/>
              </w:rPr>
              <w:t>whereby citizens’ participation is institutionalized and mainstreamed in the planning, monitoring and reporting of the LGs; opportunities o</w:t>
            </w:r>
            <w:r w:rsidR="00B11148" w:rsidRPr="00F569AE">
              <w:rPr>
                <w:rFonts w:ascii="Calibri" w:hAnsi="Calibri" w:cs="Calibri"/>
                <w:lang w:val="en-US"/>
              </w:rPr>
              <w:t>f</w:t>
            </w:r>
            <w:r w:rsidRPr="00F569AE">
              <w:rPr>
                <w:rFonts w:ascii="Calibri" w:hAnsi="Calibri" w:cs="Calibri"/>
                <w:lang w:val="en-US"/>
              </w:rPr>
              <w:t xml:space="preserve"> access</w:t>
            </w:r>
            <w:r w:rsidR="00B11148" w:rsidRPr="00F569AE">
              <w:rPr>
                <w:rFonts w:ascii="Calibri" w:hAnsi="Calibri" w:cs="Calibri"/>
                <w:lang w:val="en-US"/>
              </w:rPr>
              <w:t xml:space="preserve">ing </w:t>
            </w:r>
            <w:r w:rsidRPr="00F569AE">
              <w:rPr>
                <w:rFonts w:ascii="Calibri" w:hAnsi="Calibri" w:cs="Calibri"/>
                <w:lang w:val="en-US"/>
              </w:rPr>
              <w:t>water infrastructure funding from other sources in BiH</w:t>
            </w:r>
            <w:r w:rsidR="00B11148" w:rsidRPr="00F569AE">
              <w:rPr>
                <w:rFonts w:ascii="Calibri" w:hAnsi="Calibri" w:cs="Calibri"/>
                <w:lang w:val="en-US"/>
              </w:rPr>
              <w:t xml:space="preserve">. </w:t>
            </w:r>
          </w:p>
          <w:p w14:paraId="0F52D323" w14:textId="77777777" w:rsidR="00FA2A06" w:rsidRDefault="00FA2A06" w:rsidP="008525CD">
            <w:pPr>
              <w:spacing w:line="276" w:lineRule="auto"/>
              <w:jc w:val="both"/>
              <w:rPr>
                <w:rFonts w:ascii="Calibri" w:eastAsiaTheme="majorEastAsia" w:hAnsi="Calibri" w:cs="Calibri"/>
                <w:b/>
                <w:color w:val="0F4761" w:themeColor="accent1" w:themeShade="BF"/>
                <w:sz w:val="26"/>
                <w:szCs w:val="26"/>
                <w:lang w:val="en-US"/>
              </w:rPr>
            </w:pPr>
          </w:p>
          <w:p w14:paraId="1B89F5F6" w14:textId="7EF3CD07" w:rsidR="00FA2A06" w:rsidRPr="00FA2A06" w:rsidRDefault="00FA2A06" w:rsidP="008525CD">
            <w:pPr>
              <w:spacing w:line="276" w:lineRule="auto"/>
              <w:jc w:val="both"/>
              <w:rPr>
                <w:rFonts w:ascii="Calibri" w:eastAsiaTheme="majorEastAsia" w:hAnsi="Calibri" w:cs="Calibri"/>
                <w:color w:val="0F4761" w:themeColor="accent1" w:themeShade="BF"/>
                <w:sz w:val="26"/>
                <w:szCs w:val="26"/>
                <w:lang w:val="en-US"/>
              </w:rPr>
            </w:pPr>
            <w:r w:rsidRPr="00FA2A06">
              <w:rPr>
                <w:rFonts w:ascii="Calibri" w:hAnsi="Calibri" w:cs="Calibri"/>
                <w:lang w:val="en-US"/>
              </w:rPr>
              <w:t>At its current stage, the project has demonstrated full ‘proof of concept’ by shaping and applying a model for improved water services performance linked to an improved local governance in BiH. However, for this model to became fully embedded within all LGs and WUCs, there is a need for its horizontal scale up and potential replication across the entire spectrum of water services. The project performance indicated strong potential for its replication and scale up.</w:t>
            </w:r>
          </w:p>
        </w:tc>
      </w:tr>
    </w:tbl>
    <w:p w14:paraId="6D907B4C" w14:textId="77777777" w:rsidR="00A8210B" w:rsidRPr="00F569AE" w:rsidRDefault="00A8210B" w:rsidP="0002596B">
      <w:pPr>
        <w:spacing w:line="276" w:lineRule="auto"/>
        <w:rPr>
          <w:rFonts w:ascii="Calibri" w:hAnsi="Calibri" w:cs="Calibri"/>
          <w:lang w:val="en-US" w:eastAsia="sr-Latn-BA"/>
        </w:rPr>
      </w:pPr>
    </w:p>
    <w:p w14:paraId="6D85DC1F" w14:textId="2C63B985" w:rsidR="0002596B" w:rsidRPr="00F569AE" w:rsidRDefault="0002596B" w:rsidP="003736D8">
      <w:pPr>
        <w:pStyle w:val="p1"/>
        <w:spacing w:line="276" w:lineRule="auto"/>
        <w:jc w:val="both"/>
        <w:rPr>
          <w:rFonts w:ascii="Calibri" w:hAnsi="Calibri" w:cs="Calibri"/>
          <w:i/>
          <w:sz w:val="24"/>
          <w:szCs w:val="24"/>
        </w:rPr>
      </w:pPr>
      <w:r w:rsidRPr="00F569AE">
        <w:rPr>
          <w:rFonts w:ascii="Calibri" w:hAnsi="Calibri" w:cs="Calibri"/>
          <w:i/>
          <w:sz w:val="24"/>
          <w:szCs w:val="24"/>
        </w:rPr>
        <w:t>14. Are there any signs of transformative change in the water sector ecosystem, that is a plausible contribution of the MEG / EU4MEG interventions?</w:t>
      </w:r>
    </w:p>
    <w:p w14:paraId="793F10AA" w14:textId="11FEE28E" w:rsidR="00C27C93" w:rsidRDefault="00294657" w:rsidP="008B217F">
      <w:pPr>
        <w:spacing w:line="276" w:lineRule="auto"/>
        <w:jc w:val="both"/>
        <w:rPr>
          <w:rFonts w:ascii="Calibri" w:hAnsi="Calibri" w:cs="Calibri"/>
          <w:lang w:val="en-US"/>
        </w:rPr>
      </w:pPr>
      <w:r w:rsidRPr="00F569AE">
        <w:rPr>
          <w:rFonts w:ascii="Calibri" w:hAnsi="Calibri" w:cs="Calibri"/>
          <w:lang w:val="en-US"/>
        </w:rPr>
        <w:t xml:space="preserve">There </w:t>
      </w:r>
      <w:r w:rsidR="008525CD" w:rsidRPr="00F569AE">
        <w:rPr>
          <w:rFonts w:ascii="Calibri" w:hAnsi="Calibri" w:cs="Calibri"/>
          <w:lang w:val="en-US"/>
        </w:rPr>
        <w:t>were</w:t>
      </w:r>
      <w:r w:rsidRPr="00F569AE">
        <w:rPr>
          <w:rFonts w:ascii="Calibri" w:hAnsi="Calibri" w:cs="Calibri"/>
          <w:lang w:val="en-US"/>
        </w:rPr>
        <w:t xml:space="preserve"> </w:t>
      </w:r>
      <w:r w:rsidRPr="00F569AE">
        <w:rPr>
          <w:rFonts w:ascii="Calibri" w:hAnsi="Calibri" w:cs="Calibri"/>
          <w:b/>
          <w:i/>
          <w:lang w:val="en-US"/>
        </w:rPr>
        <w:t>multiple signs of transformative change</w:t>
      </w:r>
      <w:r w:rsidRPr="00F569AE">
        <w:rPr>
          <w:rFonts w:ascii="Calibri" w:hAnsi="Calibri" w:cs="Calibri"/>
          <w:lang w:val="en-US"/>
        </w:rPr>
        <w:t xml:space="preserve"> in the water ecosystem that could be attributed to the actions and resources invested by the project</w:t>
      </w:r>
      <w:r w:rsidR="001F68D5">
        <w:rPr>
          <w:rFonts w:ascii="Calibri" w:hAnsi="Calibri" w:cs="Calibri"/>
          <w:lang w:val="en-US"/>
        </w:rPr>
        <w:t>.</w:t>
      </w:r>
    </w:p>
    <w:p w14:paraId="1711032A" w14:textId="77777777" w:rsidR="001F68D5" w:rsidRDefault="001F68D5" w:rsidP="001F68D5">
      <w:pPr>
        <w:spacing w:line="276" w:lineRule="auto"/>
        <w:jc w:val="both"/>
        <w:rPr>
          <w:rFonts w:ascii="Calibri" w:hAnsi="Calibri" w:cs="Calibri"/>
          <w:b/>
          <w:i/>
        </w:rPr>
      </w:pPr>
    </w:p>
    <w:p w14:paraId="606C3EB4" w14:textId="1DC4829C" w:rsidR="001F68D5" w:rsidRPr="001F68D5" w:rsidRDefault="00DD30B2" w:rsidP="006C530E">
      <w:pPr>
        <w:pStyle w:val="ListParagraph"/>
        <w:numPr>
          <w:ilvl w:val="0"/>
          <w:numId w:val="44"/>
        </w:numPr>
        <w:spacing w:line="276" w:lineRule="auto"/>
        <w:jc w:val="both"/>
        <w:rPr>
          <w:rFonts w:ascii="Calibri" w:hAnsi="Calibri" w:cs="Calibri"/>
          <w:b/>
          <w:i/>
        </w:rPr>
      </w:pPr>
      <w:r w:rsidRPr="001F68D5">
        <w:rPr>
          <w:rFonts w:ascii="Calibri" w:hAnsi="Calibri" w:cs="Calibri"/>
          <w:b/>
          <w:i/>
        </w:rPr>
        <w:t>Signs</w:t>
      </w:r>
      <w:r w:rsidR="001F68D5" w:rsidRPr="001F68D5">
        <w:rPr>
          <w:rFonts w:ascii="Calibri" w:hAnsi="Calibri" w:cs="Calibri"/>
          <w:b/>
          <w:i/>
        </w:rPr>
        <w:t xml:space="preserve"> of transformative change on LGs and WUCs: </w:t>
      </w:r>
    </w:p>
    <w:p w14:paraId="19FDA7E7" w14:textId="44BC6E64" w:rsidR="008525CD" w:rsidRDefault="00726453" w:rsidP="008B217F">
      <w:pPr>
        <w:spacing w:line="276" w:lineRule="auto"/>
        <w:jc w:val="both"/>
        <w:rPr>
          <w:rFonts w:ascii="Calibri" w:hAnsi="Calibri" w:cs="Calibri"/>
          <w:lang w:val="en-US"/>
        </w:rPr>
      </w:pPr>
      <w:r>
        <w:rPr>
          <w:rFonts w:ascii="Calibri" w:eastAsiaTheme="majorEastAsia" w:hAnsi="Calibri" w:cs="Calibri"/>
        </w:rPr>
        <w:t xml:space="preserve">There were multiple signs of </w:t>
      </w:r>
      <w:r w:rsidR="00BE3B1F">
        <w:rPr>
          <w:rFonts w:ascii="Calibri" w:eastAsiaTheme="majorEastAsia" w:hAnsi="Calibri" w:cs="Calibri"/>
        </w:rPr>
        <w:t xml:space="preserve">potential </w:t>
      </w:r>
      <w:r>
        <w:rPr>
          <w:rFonts w:ascii="Calibri" w:eastAsiaTheme="majorEastAsia" w:hAnsi="Calibri" w:cs="Calibri"/>
        </w:rPr>
        <w:t xml:space="preserve">impact at the level of the partner LGs and WUCs, including but not limited to the following: (i) </w:t>
      </w:r>
      <w:r w:rsidR="001F68D5" w:rsidRPr="001F68D5">
        <w:rPr>
          <w:rFonts w:ascii="Calibri" w:eastAsiaTheme="majorEastAsia" w:hAnsi="Calibri" w:cs="Calibri"/>
        </w:rPr>
        <w:t>T</w:t>
      </w:r>
      <w:r w:rsidR="00294657" w:rsidRPr="001F68D5">
        <w:rPr>
          <w:rFonts w:ascii="Calibri" w:eastAsiaTheme="majorEastAsia" w:hAnsi="Calibri" w:cs="Calibri"/>
        </w:rPr>
        <w:t xml:space="preserve">he project has fostered a culture of collaboration and learning among LGs and </w:t>
      </w:r>
      <w:r w:rsidR="008525CD" w:rsidRPr="001F68D5">
        <w:rPr>
          <w:rFonts w:ascii="Calibri" w:eastAsiaTheme="majorEastAsia" w:hAnsi="Calibri" w:cs="Calibri"/>
        </w:rPr>
        <w:t>WUCs</w:t>
      </w:r>
      <w:r w:rsidR="00294657" w:rsidRPr="001F68D5">
        <w:rPr>
          <w:rFonts w:ascii="Calibri" w:eastAsiaTheme="majorEastAsia" w:hAnsi="Calibri" w:cs="Calibri"/>
        </w:rPr>
        <w:t xml:space="preserve">, enabling the dissemination and uptake of innovative practices across the sector. </w:t>
      </w:r>
      <w:r>
        <w:rPr>
          <w:rFonts w:ascii="Calibri" w:eastAsiaTheme="majorEastAsia" w:hAnsi="Calibri" w:cs="Calibri"/>
        </w:rPr>
        <w:t>(ii)</w:t>
      </w:r>
      <w:r w:rsidR="001F68D5">
        <w:rPr>
          <w:rFonts w:ascii="Calibri" w:eastAsiaTheme="majorEastAsia" w:hAnsi="Calibri" w:cs="Calibri"/>
        </w:rPr>
        <w:t xml:space="preserve"> </w:t>
      </w:r>
      <w:r>
        <w:rPr>
          <w:rFonts w:ascii="Calibri" w:eastAsiaTheme="majorEastAsia" w:hAnsi="Calibri" w:cs="Calibri"/>
        </w:rPr>
        <w:t>T</w:t>
      </w:r>
      <w:r w:rsidR="00294657" w:rsidRPr="001F68D5">
        <w:rPr>
          <w:rFonts w:ascii="Calibri" w:eastAsiaTheme="majorEastAsia" w:hAnsi="Calibri" w:cs="Calibri"/>
        </w:rPr>
        <w:t xml:space="preserve">he </w:t>
      </w:r>
      <w:r w:rsidR="00294657" w:rsidRPr="001F68D5">
        <w:rPr>
          <w:rFonts w:ascii="Calibri" w:hAnsi="Calibri" w:cs="Calibri"/>
        </w:rPr>
        <w:t xml:space="preserve">PSAs </w:t>
      </w:r>
      <w:r w:rsidR="00294657" w:rsidRPr="001F68D5">
        <w:rPr>
          <w:rFonts w:ascii="Calibri" w:eastAsiaTheme="majorEastAsia" w:hAnsi="Calibri" w:cs="Calibri"/>
        </w:rPr>
        <w:t>have laid the groundwork for greater transparency and efficiency</w:t>
      </w:r>
      <w:r w:rsidR="001F68D5" w:rsidRPr="001F68D5">
        <w:rPr>
          <w:rFonts w:ascii="Calibri" w:eastAsiaTheme="majorEastAsia" w:hAnsi="Calibri" w:cs="Calibri"/>
        </w:rPr>
        <w:t xml:space="preserve"> of the partner LGs and WUCs</w:t>
      </w:r>
      <w:r w:rsidR="00294657" w:rsidRPr="001F68D5">
        <w:rPr>
          <w:rFonts w:ascii="Calibri" w:eastAsiaTheme="majorEastAsia" w:hAnsi="Calibri" w:cs="Calibri"/>
        </w:rPr>
        <w:t xml:space="preserve">, ensuring that </w:t>
      </w:r>
      <w:r w:rsidR="00BE3B1F">
        <w:rPr>
          <w:rFonts w:ascii="Calibri" w:eastAsiaTheme="majorEastAsia" w:hAnsi="Calibri" w:cs="Calibri"/>
        </w:rPr>
        <w:t xml:space="preserve">water </w:t>
      </w:r>
      <w:r w:rsidR="00294657" w:rsidRPr="001F68D5">
        <w:rPr>
          <w:rFonts w:ascii="Calibri" w:eastAsiaTheme="majorEastAsia" w:hAnsi="Calibri" w:cs="Calibri"/>
        </w:rPr>
        <w:t>service</w:t>
      </w:r>
      <w:r w:rsidR="00BE3B1F">
        <w:rPr>
          <w:rFonts w:ascii="Calibri" w:eastAsiaTheme="majorEastAsia" w:hAnsi="Calibri" w:cs="Calibri"/>
        </w:rPr>
        <w:t>s</w:t>
      </w:r>
      <w:r w:rsidR="00294657" w:rsidRPr="001F68D5">
        <w:rPr>
          <w:rFonts w:ascii="Calibri" w:eastAsiaTheme="majorEastAsia" w:hAnsi="Calibri" w:cs="Calibri"/>
        </w:rPr>
        <w:t xml:space="preserve"> provision </w:t>
      </w:r>
      <w:r w:rsidR="00BE3B1F">
        <w:rPr>
          <w:rFonts w:ascii="Calibri" w:eastAsiaTheme="majorEastAsia" w:hAnsi="Calibri" w:cs="Calibri"/>
        </w:rPr>
        <w:t>were</w:t>
      </w:r>
      <w:r w:rsidR="00294657" w:rsidRPr="001F68D5">
        <w:rPr>
          <w:rFonts w:ascii="Calibri" w:eastAsiaTheme="majorEastAsia" w:hAnsi="Calibri" w:cs="Calibri"/>
        </w:rPr>
        <w:t xml:space="preserve"> more closely aligned with citizens' needs and sectoral standards</w:t>
      </w:r>
      <w:r w:rsidR="00294657" w:rsidRPr="001F68D5">
        <w:rPr>
          <w:rFonts w:ascii="Calibri" w:hAnsi="Calibri" w:cs="Calibri"/>
        </w:rPr>
        <w:t xml:space="preserve">. </w:t>
      </w:r>
      <w:r>
        <w:rPr>
          <w:rFonts w:ascii="Calibri" w:hAnsi="Calibri" w:cs="Calibri"/>
        </w:rPr>
        <w:t>(iii) Water tariff methodology created a predictable and transparent water costing mechanism across all LGs, with spill over effect of being used beyon</w:t>
      </w:r>
      <w:r w:rsidR="00641247">
        <w:rPr>
          <w:rFonts w:ascii="Calibri" w:hAnsi="Calibri" w:cs="Calibri"/>
        </w:rPr>
        <w:t>d</w:t>
      </w:r>
      <w:r>
        <w:rPr>
          <w:rFonts w:ascii="Calibri" w:hAnsi="Calibri" w:cs="Calibri"/>
        </w:rPr>
        <w:t xml:space="preserve"> calculating drinking water price (e.g. calculating wastewater price). (iii) </w:t>
      </w:r>
      <w:r w:rsidR="00515EA8">
        <w:rPr>
          <w:rFonts w:ascii="Calibri" w:hAnsi="Calibri" w:cs="Calibri"/>
        </w:rPr>
        <w:t xml:space="preserve">The project impacted </w:t>
      </w:r>
      <w:r w:rsidR="00515EA8" w:rsidRPr="00AE3F77">
        <w:rPr>
          <w:rFonts w:ascii="Calibri" w:hAnsi="Calibri" w:cs="Calibri"/>
        </w:rPr>
        <w:t>municipal engagement with their communities</w:t>
      </w:r>
      <w:r w:rsidR="006A6B3E">
        <w:rPr>
          <w:rFonts w:ascii="Calibri" w:hAnsi="Calibri" w:cs="Calibri"/>
        </w:rPr>
        <w:t xml:space="preserve"> and</w:t>
      </w:r>
      <w:r w:rsidR="00515EA8" w:rsidRPr="00AE3F77">
        <w:rPr>
          <w:rFonts w:ascii="Calibri" w:hAnsi="Calibri" w:cs="Calibri"/>
        </w:rPr>
        <w:t xml:space="preserve"> greater inclusivity in municipal decision-making</w:t>
      </w:r>
      <w:r w:rsidR="00515EA8">
        <w:rPr>
          <w:rFonts w:ascii="Calibri" w:hAnsi="Calibri" w:cs="Calibri"/>
        </w:rPr>
        <w:t>, fostering thereby the climate of good governance and accountability at the municipal level.</w:t>
      </w:r>
      <w:r>
        <w:rPr>
          <w:rFonts w:ascii="Calibri" w:hAnsi="Calibri" w:cs="Calibri"/>
        </w:rPr>
        <w:t xml:space="preserve"> (iv) </w:t>
      </w:r>
      <w:r w:rsidR="00AE3F77">
        <w:rPr>
          <w:rFonts w:ascii="Calibri" w:hAnsi="Calibri" w:cs="Calibri"/>
        </w:rPr>
        <w:t xml:space="preserve">The project </w:t>
      </w:r>
      <w:r w:rsidR="00515EA8">
        <w:rPr>
          <w:rFonts w:ascii="Calibri" w:hAnsi="Calibri" w:cs="Calibri"/>
        </w:rPr>
        <w:t>supported</w:t>
      </w:r>
      <w:r w:rsidR="00AE3F77">
        <w:rPr>
          <w:rFonts w:ascii="Calibri" w:hAnsi="Calibri" w:cs="Calibri"/>
        </w:rPr>
        <w:t xml:space="preserve"> </w:t>
      </w:r>
      <w:r w:rsidR="00515EA8">
        <w:rPr>
          <w:rFonts w:ascii="Calibri" w:hAnsi="Calibri" w:cs="Calibri"/>
          <w:lang w:val="en-US"/>
        </w:rPr>
        <w:t xml:space="preserve">the partner </w:t>
      </w:r>
      <w:r w:rsidR="00AE3F77" w:rsidRPr="00F569AE">
        <w:rPr>
          <w:rFonts w:ascii="Calibri" w:hAnsi="Calibri" w:cs="Calibri"/>
          <w:lang w:val="en-US"/>
        </w:rPr>
        <w:t xml:space="preserve">LGs and WUCs </w:t>
      </w:r>
      <w:r w:rsidR="00AE3F77">
        <w:rPr>
          <w:rFonts w:ascii="Calibri" w:hAnsi="Calibri" w:cs="Calibri"/>
          <w:lang w:val="en-US"/>
        </w:rPr>
        <w:t>to</w:t>
      </w:r>
      <w:r w:rsidR="00AE3F77" w:rsidRPr="00F569AE">
        <w:rPr>
          <w:rFonts w:ascii="Calibri" w:hAnsi="Calibri" w:cs="Calibri"/>
          <w:lang w:val="en-US"/>
        </w:rPr>
        <w:t xml:space="preserve"> integrate performance-based management tools into their regular operations</w:t>
      </w:r>
      <w:r w:rsidR="00AE3F77">
        <w:rPr>
          <w:rFonts w:ascii="Calibri" w:hAnsi="Calibri" w:cs="Calibri"/>
          <w:lang w:val="en-US"/>
        </w:rPr>
        <w:t>.</w:t>
      </w:r>
      <w:r w:rsidR="00AE3F77">
        <w:rPr>
          <w:rFonts w:ascii="Calibri" w:hAnsi="Calibri" w:cs="Calibri"/>
        </w:rPr>
        <w:t xml:space="preserve"> </w:t>
      </w:r>
      <w:r w:rsidR="008525CD" w:rsidRPr="00F569AE">
        <w:rPr>
          <w:rFonts w:ascii="Calibri" w:hAnsi="Calibri" w:cs="Calibri"/>
          <w:lang w:val="en-US"/>
        </w:rPr>
        <w:t>This suggests a shift from ad-hoc to more systematic, data-driven management at the local level.</w:t>
      </w:r>
      <w:r>
        <w:rPr>
          <w:rFonts w:ascii="Calibri" w:hAnsi="Calibri" w:cs="Calibri"/>
          <w:lang w:val="en-US"/>
        </w:rPr>
        <w:t xml:space="preserve"> (v) </w:t>
      </w:r>
      <w:r w:rsidR="00641247">
        <w:rPr>
          <w:rFonts w:ascii="Calibri" w:hAnsi="Calibri" w:cs="Calibri"/>
          <w:lang w:val="en-US"/>
        </w:rPr>
        <w:t>Introducing</w:t>
      </w:r>
      <w:r>
        <w:rPr>
          <w:rFonts w:ascii="Calibri" w:hAnsi="Calibri" w:cs="Calibri"/>
          <w:lang w:val="en-US"/>
        </w:rPr>
        <w:t xml:space="preserve"> CAF as the only quality measurement instrument in public sector created a novel culture of self-assessment within the LGs, triggering cross-departmental collaboration within </w:t>
      </w:r>
      <w:r w:rsidR="00205CBB">
        <w:rPr>
          <w:rFonts w:ascii="Calibri" w:hAnsi="Calibri" w:cs="Calibri"/>
          <w:lang w:val="en-US"/>
        </w:rPr>
        <w:t xml:space="preserve">the </w:t>
      </w:r>
      <w:r>
        <w:rPr>
          <w:rFonts w:ascii="Calibri" w:hAnsi="Calibri" w:cs="Calibri"/>
          <w:lang w:val="en-US"/>
        </w:rPr>
        <w:t xml:space="preserve">municipalities. </w:t>
      </w:r>
    </w:p>
    <w:p w14:paraId="46F5F148" w14:textId="77777777" w:rsidR="004B6408" w:rsidRPr="004B6408" w:rsidRDefault="004B6408" w:rsidP="008B217F">
      <w:pPr>
        <w:spacing w:line="276" w:lineRule="auto"/>
        <w:jc w:val="both"/>
        <w:rPr>
          <w:rFonts w:ascii="Calibri" w:eastAsiaTheme="majorEastAsia" w:hAnsi="Calibri" w:cs="Calibri"/>
          <w:lang w:val="en-US"/>
        </w:rPr>
      </w:pPr>
    </w:p>
    <w:p w14:paraId="704E356B" w14:textId="77777777" w:rsidR="00313EDC" w:rsidRDefault="00313EDC" w:rsidP="00E16730">
      <w:pPr>
        <w:spacing w:line="276" w:lineRule="auto"/>
        <w:jc w:val="both"/>
        <w:rPr>
          <w:rFonts w:ascii="Calibri" w:hAnsi="Calibri" w:cs="Calibri"/>
          <w:lang w:val="en-US"/>
        </w:rPr>
      </w:pPr>
    </w:p>
    <w:p w14:paraId="63462EBA" w14:textId="09D815E1" w:rsidR="00AE3F77" w:rsidRPr="00AE3F77" w:rsidRDefault="00C30E62" w:rsidP="006C530E">
      <w:pPr>
        <w:pStyle w:val="ListParagraph"/>
        <w:numPr>
          <w:ilvl w:val="0"/>
          <w:numId w:val="44"/>
        </w:numPr>
        <w:spacing w:line="276" w:lineRule="auto"/>
        <w:jc w:val="both"/>
        <w:rPr>
          <w:rFonts w:ascii="Calibri" w:hAnsi="Calibri" w:cs="Calibri"/>
          <w:b/>
          <w:i/>
        </w:rPr>
      </w:pPr>
      <w:r w:rsidRPr="001F68D5">
        <w:rPr>
          <w:rFonts w:ascii="Calibri" w:hAnsi="Calibri" w:cs="Calibri"/>
          <w:b/>
          <w:i/>
        </w:rPr>
        <w:t>Signs</w:t>
      </w:r>
      <w:r w:rsidR="00BC0EF3" w:rsidRPr="001F68D5">
        <w:rPr>
          <w:rFonts w:ascii="Calibri" w:hAnsi="Calibri" w:cs="Calibri"/>
          <w:b/>
          <w:i/>
        </w:rPr>
        <w:t xml:space="preserve"> of transformative change on </w:t>
      </w:r>
      <w:r w:rsidR="00BC0EF3">
        <w:rPr>
          <w:rFonts w:ascii="Calibri" w:hAnsi="Calibri" w:cs="Calibri"/>
          <w:b/>
          <w:i/>
        </w:rPr>
        <w:t>c</w:t>
      </w:r>
      <w:r w:rsidR="00AE3F77" w:rsidRPr="00AE3F77">
        <w:rPr>
          <w:rFonts w:ascii="Calibri" w:hAnsi="Calibri" w:cs="Calibri"/>
          <w:b/>
          <w:i/>
        </w:rPr>
        <w:t xml:space="preserve">itizens </w:t>
      </w:r>
      <w:r w:rsidR="00AB4D82">
        <w:rPr>
          <w:rFonts w:ascii="Calibri" w:hAnsi="Calibri" w:cs="Calibri"/>
          <w:b/>
          <w:i/>
        </w:rPr>
        <w:t>engagement with the LGs</w:t>
      </w:r>
    </w:p>
    <w:p w14:paraId="3180F3E4" w14:textId="4AF91F73" w:rsidR="006A6B3E" w:rsidRPr="0069540D" w:rsidRDefault="0069540D" w:rsidP="0069540D">
      <w:pPr>
        <w:spacing w:line="276" w:lineRule="auto"/>
        <w:jc w:val="both"/>
        <w:rPr>
          <w:rFonts w:ascii="Calibri" w:hAnsi="Calibri" w:cs="Calibri"/>
        </w:rPr>
      </w:pPr>
      <w:r>
        <w:rPr>
          <w:rFonts w:ascii="Calibri" w:hAnsi="Calibri" w:cs="Calibri"/>
        </w:rPr>
        <w:t>Several avenues for public engagement in munici</w:t>
      </w:r>
      <w:r w:rsidR="002F2B02">
        <w:rPr>
          <w:rFonts w:ascii="Calibri" w:hAnsi="Calibri" w:cs="Calibri"/>
        </w:rPr>
        <w:t>pa</w:t>
      </w:r>
      <w:r>
        <w:rPr>
          <w:rFonts w:ascii="Calibri" w:hAnsi="Calibri" w:cs="Calibri"/>
        </w:rPr>
        <w:t>l decision-making were introduced</w:t>
      </w:r>
      <w:r w:rsidR="00597DED">
        <w:rPr>
          <w:rFonts w:ascii="Calibri" w:hAnsi="Calibri" w:cs="Calibri"/>
        </w:rPr>
        <w:t xml:space="preserve">, e.g. through participating in public consultations or through utilizing direct communication channel with the LGs provided by </w:t>
      </w:r>
      <w:r w:rsidR="001F5342">
        <w:rPr>
          <w:rFonts w:ascii="Calibri" w:hAnsi="Calibri" w:cs="Calibri"/>
        </w:rPr>
        <w:t>e</w:t>
      </w:r>
      <w:r w:rsidR="00597DED">
        <w:rPr>
          <w:rFonts w:ascii="Calibri" w:hAnsi="Calibri" w:cs="Calibri"/>
        </w:rPr>
        <w:t>-Citizens platform</w:t>
      </w:r>
      <w:r>
        <w:rPr>
          <w:rFonts w:ascii="Calibri" w:hAnsi="Calibri" w:cs="Calibri"/>
        </w:rPr>
        <w:t xml:space="preserve">. For instance, in municipality of </w:t>
      </w:r>
      <w:r w:rsidRPr="004F3B9C">
        <w:rPr>
          <w:rFonts w:ascii="Calibri" w:hAnsi="Calibri" w:cs="Calibri"/>
        </w:rPr>
        <w:t>Tešanj</w:t>
      </w:r>
      <w:r>
        <w:rPr>
          <w:rFonts w:ascii="Calibri" w:hAnsi="Calibri" w:cs="Calibri"/>
        </w:rPr>
        <w:t>, c</w:t>
      </w:r>
      <w:r w:rsidRPr="00505219">
        <w:rPr>
          <w:rFonts w:ascii="Calibri" w:hAnsi="Calibri" w:cs="Calibri"/>
        </w:rPr>
        <w:t xml:space="preserve">itizens from the local community were invited to </w:t>
      </w:r>
      <w:r w:rsidR="00597DED">
        <w:rPr>
          <w:rFonts w:ascii="Calibri" w:hAnsi="Calibri" w:cs="Calibri"/>
        </w:rPr>
        <w:t>public consultations</w:t>
      </w:r>
      <w:r w:rsidRPr="00505219">
        <w:rPr>
          <w:rFonts w:ascii="Calibri" w:hAnsi="Calibri" w:cs="Calibri"/>
        </w:rPr>
        <w:t xml:space="preserve"> to express their opinions on priority infrastructur</w:t>
      </w:r>
      <w:r w:rsidR="00597DED">
        <w:rPr>
          <w:rFonts w:ascii="Calibri" w:hAnsi="Calibri" w:cs="Calibri"/>
        </w:rPr>
        <w:t>al</w:t>
      </w:r>
      <w:r w:rsidRPr="00505219">
        <w:rPr>
          <w:rFonts w:ascii="Calibri" w:hAnsi="Calibri" w:cs="Calibri"/>
        </w:rPr>
        <w:t xml:space="preserve"> intervention.</w:t>
      </w:r>
      <w:r>
        <w:rPr>
          <w:rFonts w:ascii="Calibri" w:hAnsi="Calibri" w:cs="Calibri"/>
          <w:lang w:val="en-US"/>
        </w:rPr>
        <w:t xml:space="preserve"> </w:t>
      </w:r>
      <w:r>
        <w:rPr>
          <w:rFonts w:ascii="Calibri" w:hAnsi="Calibri" w:cs="Calibri"/>
        </w:rPr>
        <w:t xml:space="preserve">Even if at the novice level, through institutionalizing citizens' participation in municipal decision-making, </w:t>
      </w:r>
      <w:r w:rsidRPr="00505219">
        <w:rPr>
          <w:rFonts w:ascii="Calibri" w:hAnsi="Calibri" w:cs="Calibri"/>
        </w:rPr>
        <w:t xml:space="preserve">the project </w:t>
      </w:r>
      <w:r w:rsidR="00597DED">
        <w:rPr>
          <w:rFonts w:ascii="Calibri" w:hAnsi="Calibri" w:cs="Calibri"/>
        </w:rPr>
        <w:t>introduced</w:t>
      </w:r>
      <w:r w:rsidRPr="00505219">
        <w:rPr>
          <w:rFonts w:ascii="Calibri" w:hAnsi="Calibri" w:cs="Calibri"/>
        </w:rPr>
        <w:t xml:space="preserve"> preconditions for improved social cohesion within the target communities</w:t>
      </w:r>
      <w:r w:rsidR="00597DED">
        <w:rPr>
          <w:rFonts w:ascii="Calibri" w:hAnsi="Calibri" w:cs="Calibri"/>
        </w:rPr>
        <w:t xml:space="preserve"> and </w:t>
      </w:r>
      <w:r w:rsidR="006A6B3E" w:rsidRPr="0069540D">
        <w:rPr>
          <w:rFonts w:ascii="Calibri" w:hAnsi="Calibri" w:cs="Calibri"/>
        </w:rPr>
        <w:t xml:space="preserve">more inclusive approach to governance. These mechanisms allowed </w:t>
      </w:r>
      <w:r w:rsidR="00597DED">
        <w:rPr>
          <w:rFonts w:ascii="Calibri" w:hAnsi="Calibri" w:cs="Calibri"/>
        </w:rPr>
        <w:t>vulnerable</w:t>
      </w:r>
      <w:r w:rsidR="006A6B3E" w:rsidRPr="0069540D">
        <w:rPr>
          <w:rFonts w:ascii="Calibri" w:hAnsi="Calibri" w:cs="Calibri"/>
        </w:rPr>
        <w:t xml:space="preserve"> groups, including women, youth, and people with disabilities, to have a tangible influence on municipal priorities and resource allocation, thus making local governance more responsive and representative.</w:t>
      </w:r>
      <w:r w:rsidRPr="0069540D">
        <w:rPr>
          <w:rFonts w:ascii="Calibri" w:hAnsi="Calibri" w:cs="Calibri"/>
        </w:rPr>
        <w:t xml:space="preserve"> </w:t>
      </w:r>
      <w:r>
        <w:rPr>
          <w:rFonts w:ascii="Calibri" w:hAnsi="Calibri" w:cs="Calibri"/>
        </w:rPr>
        <w:t>While the mechanisms has been created, it would still require much targeted efforts to inform the public of such mechanisms and to encourage public to get involved in municipal decision-making.</w:t>
      </w:r>
    </w:p>
    <w:p w14:paraId="45F6D05A" w14:textId="77777777" w:rsidR="00AE3F77" w:rsidRDefault="00AE3F77" w:rsidP="00AE3F77">
      <w:pPr>
        <w:spacing w:line="276" w:lineRule="auto"/>
        <w:jc w:val="both"/>
        <w:rPr>
          <w:rFonts w:ascii="Calibri" w:hAnsi="Calibri" w:cs="Calibri"/>
        </w:rPr>
      </w:pPr>
    </w:p>
    <w:p w14:paraId="6719DD10" w14:textId="5B9DC703" w:rsidR="00AE3F77" w:rsidRPr="00505219" w:rsidRDefault="009769B2" w:rsidP="006C530E">
      <w:pPr>
        <w:pStyle w:val="ListParagraph"/>
        <w:numPr>
          <w:ilvl w:val="0"/>
          <w:numId w:val="44"/>
        </w:numPr>
        <w:spacing w:line="276" w:lineRule="auto"/>
        <w:jc w:val="both"/>
        <w:rPr>
          <w:rFonts w:ascii="Calibri" w:hAnsi="Calibri" w:cs="Calibri"/>
        </w:rPr>
      </w:pPr>
      <w:r w:rsidRPr="00505219">
        <w:rPr>
          <w:rFonts w:ascii="Calibri" w:hAnsi="Calibri" w:cs="Calibri"/>
          <w:b/>
          <w:i/>
        </w:rPr>
        <w:t>Signs</w:t>
      </w:r>
      <w:r w:rsidR="00505219" w:rsidRPr="00505219">
        <w:rPr>
          <w:rFonts w:ascii="Calibri" w:hAnsi="Calibri" w:cs="Calibri"/>
          <w:b/>
          <w:i/>
        </w:rPr>
        <w:t xml:space="preserve"> of transformative change </w:t>
      </w:r>
      <w:r w:rsidR="00597DED">
        <w:rPr>
          <w:rFonts w:ascii="Calibri" w:hAnsi="Calibri" w:cs="Calibri"/>
          <w:b/>
          <w:i/>
        </w:rPr>
        <w:t>at the</w:t>
      </w:r>
      <w:r w:rsidR="00505219">
        <w:rPr>
          <w:rFonts w:ascii="Calibri" w:hAnsi="Calibri" w:cs="Calibri"/>
          <w:b/>
          <w:i/>
        </w:rPr>
        <w:t xml:space="preserve"> policy level</w:t>
      </w:r>
    </w:p>
    <w:p w14:paraId="783832B9" w14:textId="6046F281" w:rsidR="00505219" w:rsidRDefault="00505219" w:rsidP="00E16730">
      <w:pPr>
        <w:spacing w:line="276" w:lineRule="auto"/>
        <w:jc w:val="both"/>
        <w:rPr>
          <w:rFonts w:ascii="Calibri" w:hAnsi="Calibri" w:cs="Calibri"/>
          <w:lang w:val="en-US"/>
        </w:rPr>
      </w:pPr>
      <w:r>
        <w:rPr>
          <w:rFonts w:ascii="Calibri" w:hAnsi="Calibri" w:cs="Calibri"/>
          <w:lang w:val="en-US"/>
        </w:rPr>
        <w:t>Facilitation of policy harmonization in water sector provided solid foundation for more data-driven monitoring, analytics, and decision-making as well as more harmonized efforts for water sector modernization in BiH.</w:t>
      </w:r>
      <w:r w:rsidR="004B6408">
        <w:rPr>
          <w:rFonts w:ascii="Calibri" w:hAnsi="Calibri" w:cs="Calibri"/>
          <w:lang w:val="en-US"/>
        </w:rPr>
        <w:t xml:space="preserve"> </w:t>
      </w:r>
      <w:r w:rsidR="004B6408" w:rsidRPr="00F569AE">
        <w:rPr>
          <w:rFonts w:ascii="Calibri" w:eastAsiaTheme="majorEastAsia" w:hAnsi="Calibri" w:cs="Calibri"/>
          <w:lang w:val="en-US"/>
        </w:rPr>
        <w:t xml:space="preserve">Stronger impact to be expected when </w:t>
      </w:r>
      <w:r w:rsidR="00597DED" w:rsidRPr="00F569AE">
        <w:rPr>
          <w:rFonts w:ascii="Calibri" w:eastAsiaTheme="majorEastAsia" w:hAnsi="Calibri" w:cs="Calibri"/>
          <w:lang w:val="en-US"/>
        </w:rPr>
        <w:t xml:space="preserve">through the adoption of the laws on provision of water services in both entities </w:t>
      </w:r>
      <w:r w:rsidR="00597DED">
        <w:rPr>
          <w:rFonts w:ascii="Calibri" w:eastAsiaTheme="majorEastAsia" w:hAnsi="Calibri" w:cs="Calibri"/>
          <w:lang w:val="en-US"/>
        </w:rPr>
        <w:t xml:space="preserve">the </w:t>
      </w:r>
      <w:r w:rsidR="004B6408" w:rsidRPr="00F569AE">
        <w:rPr>
          <w:rFonts w:ascii="Calibri" w:eastAsiaTheme="majorEastAsia" w:hAnsi="Calibri" w:cs="Calibri"/>
          <w:lang w:val="en-US"/>
        </w:rPr>
        <w:t xml:space="preserve">normative framework </w:t>
      </w:r>
      <w:r w:rsidR="00597DED">
        <w:rPr>
          <w:rFonts w:ascii="Calibri" w:eastAsiaTheme="majorEastAsia" w:hAnsi="Calibri" w:cs="Calibri"/>
          <w:lang w:val="en-US"/>
        </w:rPr>
        <w:t xml:space="preserve">would </w:t>
      </w:r>
      <w:r w:rsidR="004B6408" w:rsidRPr="00F569AE">
        <w:rPr>
          <w:rFonts w:ascii="Calibri" w:eastAsiaTheme="majorEastAsia" w:hAnsi="Calibri" w:cs="Calibri"/>
          <w:lang w:val="en-US"/>
        </w:rPr>
        <w:t xml:space="preserve">became tuned </w:t>
      </w:r>
      <w:r w:rsidR="00C6403F">
        <w:rPr>
          <w:rFonts w:ascii="Calibri" w:eastAsiaTheme="majorEastAsia" w:hAnsi="Calibri" w:cs="Calibri"/>
          <w:lang w:val="en-US"/>
        </w:rPr>
        <w:t>with</w:t>
      </w:r>
      <w:r w:rsidR="004B6408" w:rsidRPr="00F569AE">
        <w:rPr>
          <w:rFonts w:ascii="Calibri" w:eastAsiaTheme="majorEastAsia" w:hAnsi="Calibri" w:cs="Calibri"/>
          <w:lang w:val="en-US"/>
        </w:rPr>
        <w:t xml:space="preserve"> </w:t>
      </w:r>
      <w:r w:rsidR="004B6408" w:rsidRPr="00F569AE">
        <w:rPr>
          <w:rFonts w:ascii="Calibri" w:eastAsiaTheme="majorEastAsia" w:hAnsi="Calibri" w:cs="Calibri"/>
          <w:i/>
          <w:lang w:val="en-US"/>
        </w:rPr>
        <w:t>'de facto'</w:t>
      </w:r>
      <w:r w:rsidR="004B6408" w:rsidRPr="00F569AE">
        <w:rPr>
          <w:rFonts w:ascii="Calibri" w:eastAsiaTheme="majorEastAsia" w:hAnsi="Calibri" w:cs="Calibri"/>
          <w:lang w:val="en-US"/>
        </w:rPr>
        <w:t xml:space="preserve"> advancement in water sector.</w:t>
      </w:r>
    </w:p>
    <w:p w14:paraId="1D600094" w14:textId="77777777" w:rsidR="004E152E" w:rsidRDefault="004E152E" w:rsidP="00E16730">
      <w:pPr>
        <w:spacing w:line="276" w:lineRule="auto"/>
        <w:jc w:val="both"/>
        <w:rPr>
          <w:rFonts w:ascii="Calibri" w:hAnsi="Calibri" w:cs="Calibri"/>
          <w:lang w:val="en-US"/>
        </w:rPr>
      </w:pPr>
    </w:p>
    <w:p w14:paraId="3E69E1FA" w14:textId="55F032DE" w:rsidR="00C6403F" w:rsidRDefault="00CD3205" w:rsidP="006C530E">
      <w:pPr>
        <w:pStyle w:val="ListParagraph"/>
        <w:numPr>
          <w:ilvl w:val="0"/>
          <w:numId w:val="44"/>
        </w:numPr>
        <w:spacing w:line="276" w:lineRule="auto"/>
        <w:jc w:val="both"/>
        <w:rPr>
          <w:rFonts w:ascii="Calibri" w:hAnsi="Calibri" w:cs="Calibri"/>
          <w:b/>
          <w:i/>
        </w:rPr>
      </w:pPr>
      <w:r>
        <w:rPr>
          <w:rFonts w:ascii="Calibri" w:hAnsi="Calibri" w:cs="Calibri"/>
          <w:b/>
          <w:i/>
        </w:rPr>
        <w:t>Signs</w:t>
      </w:r>
      <w:r w:rsidR="00C6403F">
        <w:rPr>
          <w:rFonts w:ascii="Calibri" w:hAnsi="Calibri" w:cs="Calibri"/>
          <w:b/>
          <w:i/>
        </w:rPr>
        <w:t xml:space="preserve"> of increased knowledge on good governance and management of water sector</w:t>
      </w:r>
    </w:p>
    <w:p w14:paraId="31338C46" w14:textId="5A4242CB" w:rsidR="00C6403F" w:rsidRPr="00C6403F" w:rsidRDefault="00C6403F" w:rsidP="00C6403F">
      <w:pPr>
        <w:spacing w:line="276" w:lineRule="auto"/>
        <w:jc w:val="both"/>
        <w:rPr>
          <w:rFonts w:ascii="Calibri" w:hAnsi="Calibri" w:cs="Calibri"/>
        </w:rPr>
      </w:pPr>
      <w:r w:rsidRPr="00C6403F">
        <w:rPr>
          <w:rFonts w:ascii="Calibri" w:hAnsi="Calibri" w:cs="Calibri"/>
        </w:rPr>
        <w:t xml:space="preserve">The </w:t>
      </w:r>
      <w:r w:rsidRPr="008532E2">
        <w:rPr>
          <w:rFonts w:ascii="Calibri" w:hAnsi="Calibri" w:cs="Calibri"/>
        </w:rPr>
        <w:t>capacity-building</w:t>
      </w:r>
      <w:r w:rsidRPr="00C6403F">
        <w:rPr>
          <w:rFonts w:ascii="Calibri" w:hAnsi="Calibri" w:cs="Calibri"/>
        </w:rPr>
        <w:t xml:space="preserve"> efforts of the project were expected to have long-term impact through the focus on both individual and institutional capacities at the local level (i.e. the partner LGs and WUCs) but also at the level of state and entity stakeholders (e.g. ministries, associations, etc.).</w:t>
      </w:r>
      <w:r w:rsidR="009049AC">
        <w:rPr>
          <w:rFonts w:ascii="Calibri" w:hAnsi="Calibri" w:cs="Calibri"/>
        </w:rPr>
        <w:t xml:space="preserve"> The high turnover of the staff remain one of the key risks to ensure expected impact. The solutions lies in making the knowledge easily available, accessible, and continuously updated. Continuous efforts in this direction remain the critical precondition for the impact to be observable and endured. </w:t>
      </w:r>
    </w:p>
    <w:p w14:paraId="61EF7BEA" w14:textId="77777777" w:rsidR="00C6403F" w:rsidRPr="00C6403F" w:rsidRDefault="00C6403F" w:rsidP="00C6403F">
      <w:pPr>
        <w:spacing w:line="276" w:lineRule="auto"/>
        <w:ind w:left="360"/>
        <w:jc w:val="both"/>
        <w:rPr>
          <w:rFonts w:ascii="Calibri" w:hAnsi="Calibri" w:cs="Calibri"/>
          <w:b/>
          <w:i/>
          <w:lang w:val="en-US"/>
        </w:rPr>
      </w:pPr>
    </w:p>
    <w:p w14:paraId="7FA01031" w14:textId="71EF3CE5" w:rsidR="00252A45" w:rsidRPr="004E152E" w:rsidRDefault="00CD3205" w:rsidP="006C530E">
      <w:pPr>
        <w:pStyle w:val="ListParagraph"/>
        <w:numPr>
          <w:ilvl w:val="0"/>
          <w:numId w:val="44"/>
        </w:numPr>
        <w:spacing w:line="276" w:lineRule="auto"/>
        <w:jc w:val="both"/>
        <w:rPr>
          <w:rFonts w:ascii="Calibri" w:hAnsi="Calibri" w:cs="Calibri"/>
          <w:b/>
          <w:i/>
        </w:rPr>
      </w:pPr>
      <w:r w:rsidRPr="004E152E">
        <w:rPr>
          <w:rFonts w:ascii="Calibri" w:hAnsi="Calibri" w:cs="Calibri"/>
          <w:b/>
          <w:i/>
        </w:rPr>
        <w:t>Signs</w:t>
      </w:r>
      <w:r w:rsidR="004E152E" w:rsidRPr="004E152E">
        <w:rPr>
          <w:rFonts w:ascii="Calibri" w:hAnsi="Calibri" w:cs="Calibri"/>
          <w:b/>
          <w:i/>
        </w:rPr>
        <w:t xml:space="preserve"> for replication and scale up</w:t>
      </w:r>
    </w:p>
    <w:p w14:paraId="5B2B77BF" w14:textId="222741DC" w:rsidR="000D37CA" w:rsidRDefault="000D37CA" w:rsidP="000D37CA">
      <w:pPr>
        <w:spacing w:line="276" w:lineRule="auto"/>
        <w:jc w:val="both"/>
        <w:rPr>
          <w:rFonts w:ascii="Calibri" w:eastAsiaTheme="majorEastAsia" w:hAnsi="Calibri" w:cs="Calibri"/>
        </w:rPr>
      </w:pPr>
      <w:r w:rsidRPr="000D37CA">
        <w:rPr>
          <w:rFonts w:ascii="Calibri" w:eastAsiaTheme="majorEastAsia" w:hAnsi="Calibri" w:cs="Calibri"/>
        </w:rPr>
        <w:t xml:space="preserve">By the end of its second phase, the MEG programme demonstrated solid potential for replication </w:t>
      </w:r>
      <w:r>
        <w:rPr>
          <w:rFonts w:ascii="Calibri" w:eastAsiaTheme="majorEastAsia" w:hAnsi="Calibri" w:cs="Calibri"/>
        </w:rPr>
        <w:t xml:space="preserve">and scale up </w:t>
      </w:r>
      <w:r w:rsidRPr="000D37CA">
        <w:rPr>
          <w:rFonts w:ascii="Calibri" w:eastAsiaTheme="majorEastAsia" w:hAnsi="Calibri" w:cs="Calibri"/>
        </w:rPr>
        <w:t>of the MEG solutions across all LGs in BiH.</w:t>
      </w:r>
    </w:p>
    <w:p w14:paraId="088C08F4" w14:textId="7941EE70" w:rsidR="00540A12" w:rsidRDefault="00313EDC" w:rsidP="00B86DD5">
      <w:pPr>
        <w:spacing w:line="276" w:lineRule="auto"/>
        <w:jc w:val="both"/>
        <w:rPr>
          <w:rFonts w:ascii="Calibri" w:hAnsi="Calibri" w:cs="Calibri"/>
          <w:lang w:val="en-US"/>
        </w:rPr>
      </w:pPr>
      <w:r w:rsidRPr="00F569AE">
        <w:rPr>
          <w:rFonts w:ascii="Calibri" w:hAnsi="Calibri" w:cs="Calibri"/>
          <w:lang w:val="en-US"/>
        </w:rPr>
        <w:t>T</w:t>
      </w:r>
      <w:r w:rsidR="007E62E6" w:rsidRPr="00F569AE">
        <w:rPr>
          <w:rFonts w:ascii="Calibri" w:hAnsi="Calibri" w:cs="Calibri"/>
          <w:lang w:val="en-US"/>
        </w:rPr>
        <w:t xml:space="preserve">he </w:t>
      </w:r>
      <w:r w:rsidR="007E62E6" w:rsidRPr="009049AC">
        <w:rPr>
          <w:rFonts w:ascii="Calibri" w:hAnsi="Calibri" w:cs="Calibri"/>
          <w:lang w:val="en-US"/>
        </w:rPr>
        <w:t xml:space="preserve">MEG </w:t>
      </w:r>
      <w:r w:rsidR="00A91CA2" w:rsidRPr="009049AC">
        <w:rPr>
          <w:rFonts w:ascii="Calibri" w:hAnsi="Calibri" w:cs="Calibri"/>
          <w:lang w:val="en-US"/>
        </w:rPr>
        <w:t>standardization</w:t>
      </w:r>
      <w:r w:rsidR="007E62E6" w:rsidRPr="009049AC">
        <w:rPr>
          <w:rFonts w:ascii="Calibri" w:hAnsi="Calibri" w:cs="Calibri"/>
          <w:lang w:val="en-US"/>
        </w:rPr>
        <w:t xml:space="preserve"> process</w:t>
      </w:r>
      <w:r w:rsidR="007E62E6" w:rsidRPr="00F569AE">
        <w:rPr>
          <w:rFonts w:ascii="Calibri" w:hAnsi="Calibri" w:cs="Calibri"/>
          <w:b/>
          <w:i/>
          <w:lang w:val="en-US"/>
        </w:rPr>
        <w:t xml:space="preserve"> </w:t>
      </w:r>
      <w:r w:rsidR="00104958" w:rsidRPr="00F569AE">
        <w:rPr>
          <w:rFonts w:ascii="Calibri" w:hAnsi="Calibri" w:cs="Calibri"/>
          <w:lang w:val="en-US"/>
        </w:rPr>
        <w:t>emerged as</w:t>
      </w:r>
      <w:r w:rsidR="007E62E6" w:rsidRPr="00F569AE">
        <w:rPr>
          <w:rFonts w:ascii="Calibri" w:hAnsi="Calibri" w:cs="Calibri"/>
          <w:lang w:val="en-US"/>
        </w:rPr>
        <w:t xml:space="preserve"> a recognizable path to</w:t>
      </w:r>
      <w:r w:rsidR="004E152E">
        <w:rPr>
          <w:rFonts w:ascii="Calibri" w:hAnsi="Calibri" w:cs="Calibri"/>
          <w:lang w:val="en-US"/>
        </w:rPr>
        <w:t xml:space="preserve"> improve performance in water services provision and </w:t>
      </w:r>
      <w:r w:rsidR="009049AC">
        <w:rPr>
          <w:rFonts w:ascii="Calibri" w:hAnsi="Calibri" w:cs="Calibri"/>
          <w:lang w:val="en-US"/>
        </w:rPr>
        <w:t xml:space="preserve">in </w:t>
      </w:r>
      <w:r w:rsidR="004E152E">
        <w:rPr>
          <w:rFonts w:ascii="Calibri" w:hAnsi="Calibri" w:cs="Calibri"/>
          <w:lang w:val="en-US"/>
        </w:rPr>
        <w:t xml:space="preserve">local governance. </w:t>
      </w:r>
      <w:r w:rsidR="00540A12">
        <w:rPr>
          <w:rFonts w:ascii="Calibri" w:hAnsi="Calibri" w:cs="Calibri"/>
          <w:lang w:val="en-US"/>
        </w:rPr>
        <w:t xml:space="preserve">To secure significant impact for water sector, the MEG standardization should become a mainstream in BiH – e.g. to be expanded from current 30 LGs to </w:t>
      </w:r>
      <w:r w:rsidR="000D37CA">
        <w:rPr>
          <w:rFonts w:ascii="Calibri" w:hAnsi="Calibri" w:cs="Calibri"/>
          <w:lang w:val="en-US"/>
        </w:rPr>
        <w:t>most</w:t>
      </w:r>
      <w:r w:rsidR="00540A12">
        <w:rPr>
          <w:rFonts w:ascii="Calibri" w:hAnsi="Calibri" w:cs="Calibri"/>
          <w:lang w:val="en-US"/>
        </w:rPr>
        <w:t xml:space="preserve"> LGs in BiH. </w:t>
      </w:r>
      <w:r w:rsidR="000D37CA" w:rsidRPr="00F569AE">
        <w:rPr>
          <w:rFonts w:ascii="Calibri" w:hAnsi="Calibri" w:cs="Calibri"/>
          <w:lang w:val="en-US"/>
        </w:rPr>
        <w:t xml:space="preserve">Some </w:t>
      </w:r>
      <w:r w:rsidR="000D37CA">
        <w:rPr>
          <w:rFonts w:ascii="Calibri" w:hAnsi="Calibri" w:cs="Calibri"/>
          <w:lang w:val="en-US"/>
        </w:rPr>
        <w:t xml:space="preserve">of the </w:t>
      </w:r>
      <w:r w:rsidR="000D37CA" w:rsidRPr="00F569AE">
        <w:rPr>
          <w:rFonts w:ascii="Calibri" w:hAnsi="Calibri" w:cs="Calibri"/>
          <w:lang w:val="en-US"/>
        </w:rPr>
        <w:t xml:space="preserve">project practices have sparked interest in replication beyond pilot municipalities. This included broader uptake of benchmarking </w:t>
      </w:r>
      <w:r w:rsidR="000D37CA" w:rsidRPr="00F569AE">
        <w:rPr>
          <w:rFonts w:ascii="Calibri" w:hAnsi="Calibri" w:cs="Calibri"/>
          <w:lang w:val="en-US"/>
        </w:rPr>
        <w:lastRenderedPageBreak/>
        <w:t>systems and IT solutions (</w:t>
      </w:r>
      <w:r w:rsidR="001F5342">
        <w:rPr>
          <w:rFonts w:ascii="Calibri" w:hAnsi="Calibri" w:cs="Calibri"/>
          <w:lang w:val="en-US"/>
        </w:rPr>
        <w:t>e</w:t>
      </w:r>
      <w:r w:rsidR="000D37CA" w:rsidRPr="00F569AE">
        <w:rPr>
          <w:rFonts w:ascii="Calibri" w:hAnsi="Calibri" w:cs="Calibri"/>
          <w:lang w:val="en-US"/>
        </w:rPr>
        <w:t>-Citizen), PMS, and PSA.</w:t>
      </w:r>
      <w:r w:rsidR="000D37CA">
        <w:rPr>
          <w:rFonts w:ascii="Calibri" w:hAnsi="Calibri" w:cs="Calibri"/>
          <w:lang w:val="en-US"/>
        </w:rPr>
        <w:t xml:space="preserve"> It remains particularly critical to introduce mechanisms to build competencies of the youth (e.g. though certificate-based vocational trainings) and facilitate their career participation in the water sector in BiH</w:t>
      </w:r>
      <w:r w:rsidR="005D6FA8">
        <w:rPr>
          <w:rFonts w:ascii="Calibri" w:hAnsi="Calibri" w:cs="Calibri"/>
          <w:lang w:val="en-US"/>
        </w:rPr>
        <w:t xml:space="preserve"> </w:t>
      </w:r>
      <w:r w:rsidR="005D6FA8" w:rsidRPr="005D6FA8">
        <w:rPr>
          <w:rFonts w:ascii="Calibri" w:hAnsi="Calibri" w:cs="Calibri"/>
          <w:lang w:val="en-US"/>
        </w:rPr>
        <w:t>to bridge the gap between the professionals exiting their career and those at the entry level.</w:t>
      </w:r>
    </w:p>
    <w:p w14:paraId="1C535DD9" w14:textId="77777777" w:rsidR="00540A12" w:rsidRDefault="00540A12" w:rsidP="00B86DD5">
      <w:pPr>
        <w:spacing w:line="276" w:lineRule="auto"/>
        <w:jc w:val="both"/>
        <w:rPr>
          <w:rFonts w:ascii="Calibri" w:hAnsi="Calibri" w:cs="Calibri"/>
          <w:lang w:val="en-US"/>
        </w:rPr>
      </w:pPr>
    </w:p>
    <w:p w14:paraId="06EDEF8C" w14:textId="1EAF40FF" w:rsidR="003736D8" w:rsidRDefault="00540A12" w:rsidP="00B86DD5">
      <w:pPr>
        <w:spacing w:line="276" w:lineRule="auto"/>
        <w:jc w:val="both"/>
        <w:rPr>
          <w:rFonts w:ascii="Calibri" w:hAnsi="Calibri" w:cs="Calibri"/>
          <w:lang w:val="en-US"/>
        </w:rPr>
      </w:pPr>
      <w:r>
        <w:rPr>
          <w:rFonts w:ascii="Calibri" w:hAnsi="Calibri" w:cs="Calibri"/>
          <w:lang w:val="en-US"/>
        </w:rPr>
        <w:t>The MEG standardization process</w:t>
      </w:r>
      <w:r w:rsidR="004E152E">
        <w:rPr>
          <w:rFonts w:ascii="Calibri" w:hAnsi="Calibri" w:cs="Calibri"/>
          <w:lang w:val="en-US"/>
        </w:rPr>
        <w:t xml:space="preserve"> has also emerged as </w:t>
      </w:r>
      <w:r w:rsidR="009049AC">
        <w:rPr>
          <w:rFonts w:ascii="Calibri" w:hAnsi="Calibri" w:cs="Calibri"/>
          <w:lang w:val="en-US"/>
        </w:rPr>
        <w:t>a possible</w:t>
      </w:r>
      <w:r w:rsidR="004E152E">
        <w:rPr>
          <w:rFonts w:ascii="Calibri" w:hAnsi="Calibri" w:cs="Calibri"/>
          <w:lang w:val="en-US"/>
        </w:rPr>
        <w:t xml:space="preserve"> path to </w:t>
      </w:r>
      <w:r w:rsidR="007E62E6" w:rsidRPr="009049AC">
        <w:rPr>
          <w:rFonts w:ascii="Calibri" w:hAnsi="Calibri" w:cs="Calibri"/>
          <w:lang w:val="en-US"/>
        </w:rPr>
        <w:t>access water infrastructure funding</w:t>
      </w:r>
      <w:r w:rsidR="007E62E6" w:rsidRPr="00F569AE">
        <w:rPr>
          <w:rFonts w:ascii="Calibri" w:hAnsi="Calibri" w:cs="Calibri"/>
          <w:lang w:val="en-US"/>
        </w:rPr>
        <w:t xml:space="preserve"> for many LGs in BiH. </w:t>
      </w:r>
      <w:r>
        <w:rPr>
          <w:rFonts w:ascii="Calibri" w:hAnsi="Calibri" w:cs="Calibri"/>
          <w:lang w:val="en-US"/>
        </w:rPr>
        <w:t>This opens up an opportunity for strategic partnerships with donors to acknowledge the added value of the MEG standardization for the quality of infrastructure projects and reinforce this link throughout their infrastructure tenders. The role of WA could be instrumental in pursuing this strategic objective.</w:t>
      </w:r>
    </w:p>
    <w:p w14:paraId="558C7CFC" w14:textId="77777777" w:rsidR="00E65BE7" w:rsidRDefault="00E65BE7" w:rsidP="00B86DD5">
      <w:pPr>
        <w:spacing w:line="276" w:lineRule="auto"/>
        <w:jc w:val="both"/>
        <w:rPr>
          <w:rFonts w:ascii="Calibri" w:hAnsi="Calibri" w:cs="Calibri"/>
          <w:lang w:val="en-US"/>
        </w:rPr>
      </w:pPr>
    </w:p>
    <w:p w14:paraId="67C4F6FD" w14:textId="363A7AFF" w:rsidR="00E65BE7" w:rsidRPr="00E65BE7" w:rsidRDefault="00E65BE7" w:rsidP="00E65BE7">
      <w:pPr>
        <w:pStyle w:val="ListParagraph"/>
        <w:numPr>
          <w:ilvl w:val="0"/>
          <w:numId w:val="44"/>
        </w:numPr>
        <w:spacing w:line="276" w:lineRule="auto"/>
        <w:jc w:val="both"/>
        <w:rPr>
          <w:rFonts w:ascii="Calibri" w:hAnsi="Calibri" w:cs="Calibri"/>
          <w:b/>
          <w:i/>
        </w:rPr>
      </w:pPr>
      <w:r w:rsidRPr="00E65BE7">
        <w:rPr>
          <w:rFonts w:ascii="Calibri" w:hAnsi="Calibri" w:cs="Calibri"/>
          <w:b/>
          <w:i/>
        </w:rPr>
        <w:t xml:space="preserve">Signs </w:t>
      </w:r>
      <w:r>
        <w:rPr>
          <w:rFonts w:ascii="Calibri" w:hAnsi="Calibri" w:cs="Calibri"/>
          <w:b/>
          <w:i/>
        </w:rPr>
        <w:t>of the project impact on vulnerable groups</w:t>
      </w:r>
    </w:p>
    <w:p w14:paraId="68C83410" w14:textId="3FCC4CB2" w:rsidR="00E65BE7" w:rsidRDefault="00E65BE7" w:rsidP="00B86DD5">
      <w:pPr>
        <w:spacing w:line="276" w:lineRule="auto"/>
        <w:jc w:val="both"/>
        <w:rPr>
          <w:rFonts w:ascii="Calibri" w:hAnsi="Calibri" w:cs="Calibri"/>
          <w:lang w:val="en-US"/>
        </w:rPr>
      </w:pPr>
      <w:r>
        <w:rPr>
          <w:rFonts w:ascii="Calibri" w:hAnsi="Calibri" w:cs="Calibri"/>
          <w:lang w:val="en-US"/>
        </w:rPr>
        <w:t>While the project implementation was informed by gender and inclusivity considerations, the project did not have instruments (e.g. indicators) to measure its impact on various vulnerable groups (e.g. women, youth, people with disabilities, etc.). The primary reason was gender blind design of the project’s results framework and insufficiently tuned monitoring system to capture the project impact</w:t>
      </w:r>
      <w:r w:rsidR="00CA0CE3">
        <w:rPr>
          <w:rFonts w:ascii="Calibri" w:hAnsi="Calibri" w:cs="Calibri"/>
          <w:lang w:val="en-US"/>
        </w:rPr>
        <w:t xml:space="preserve"> and</w:t>
      </w:r>
      <w:r>
        <w:rPr>
          <w:rFonts w:ascii="Calibri" w:hAnsi="Calibri" w:cs="Calibri"/>
          <w:lang w:val="en-US"/>
        </w:rPr>
        <w:t xml:space="preserve"> extract lessons learned, informing thereby future steps in the project from a stronger gender and inclusivity perspectives. There were tough some early </w:t>
      </w:r>
      <w:r w:rsidR="00CA0CE3">
        <w:rPr>
          <w:rFonts w:ascii="Calibri" w:hAnsi="Calibri" w:cs="Calibri"/>
          <w:lang w:val="en-US"/>
        </w:rPr>
        <w:t>signs</w:t>
      </w:r>
      <w:r>
        <w:rPr>
          <w:rFonts w:ascii="Calibri" w:hAnsi="Calibri" w:cs="Calibri"/>
          <w:lang w:val="en-US"/>
        </w:rPr>
        <w:t xml:space="preserve"> to support assumptions that </w:t>
      </w:r>
      <w:r w:rsidR="00CA0CE3">
        <w:rPr>
          <w:rFonts w:ascii="Calibri" w:hAnsi="Calibri" w:cs="Calibri"/>
          <w:lang w:val="en-US"/>
        </w:rPr>
        <w:t xml:space="preserve">the </w:t>
      </w:r>
      <w:r>
        <w:rPr>
          <w:rFonts w:ascii="Calibri" w:hAnsi="Calibri" w:cs="Calibri"/>
          <w:lang w:val="en-US"/>
        </w:rPr>
        <w:t xml:space="preserve">project impacted several vulnerable groups. </w:t>
      </w:r>
      <w:r w:rsidR="00CA0CE3">
        <w:rPr>
          <w:rFonts w:ascii="Calibri" w:hAnsi="Calibri" w:cs="Calibri"/>
          <w:lang w:val="en-US"/>
        </w:rPr>
        <w:t>Hence, t</w:t>
      </w:r>
      <w:r>
        <w:rPr>
          <w:rFonts w:ascii="Calibri" w:hAnsi="Calibri" w:cs="Calibri"/>
          <w:lang w:val="en-US"/>
        </w:rPr>
        <w:t>hrough various capacity development events for the LGs and WUCs,</w:t>
      </w:r>
      <w:r w:rsidR="00CA0CE3">
        <w:rPr>
          <w:rFonts w:ascii="Calibri" w:hAnsi="Calibri" w:cs="Calibri"/>
          <w:lang w:val="en-US"/>
        </w:rPr>
        <w:t xml:space="preserve"> the project facilitated</w:t>
      </w:r>
      <w:r>
        <w:rPr>
          <w:rFonts w:ascii="Calibri" w:hAnsi="Calibri" w:cs="Calibri"/>
          <w:lang w:val="en-US"/>
        </w:rPr>
        <w:t xml:space="preserve"> awareness rais</w:t>
      </w:r>
      <w:r w:rsidR="00CA0CE3">
        <w:rPr>
          <w:rFonts w:ascii="Calibri" w:hAnsi="Calibri" w:cs="Calibri"/>
          <w:lang w:val="en-US"/>
        </w:rPr>
        <w:t>ing</w:t>
      </w:r>
      <w:r>
        <w:rPr>
          <w:rFonts w:ascii="Calibri" w:hAnsi="Calibri" w:cs="Calibri"/>
          <w:lang w:val="en-US"/>
        </w:rPr>
        <w:t xml:space="preserve"> on gender and inclusivity issues. Through introducing subsidy schemes, the financial burden of increased water costs </w:t>
      </w:r>
      <w:r w:rsidR="00CA0CE3">
        <w:rPr>
          <w:rFonts w:ascii="Calibri" w:hAnsi="Calibri" w:cs="Calibri"/>
          <w:lang w:val="en-US"/>
        </w:rPr>
        <w:t>was</w:t>
      </w:r>
      <w:r>
        <w:rPr>
          <w:rFonts w:ascii="Calibri" w:hAnsi="Calibri" w:cs="Calibri"/>
          <w:lang w:val="en-US"/>
        </w:rPr>
        <w:t xml:space="preserve"> reduced </w:t>
      </w:r>
      <w:r w:rsidR="00CA0CE3">
        <w:rPr>
          <w:rFonts w:ascii="Calibri" w:hAnsi="Calibri" w:cs="Calibri"/>
          <w:lang w:val="en-US"/>
        </w:rPr>
        <w:t>f</w:t>
      </w:r>
      <w:r>
        <w:rPr>
          <w:rFonts w:ascii="Calibri" w:hAnsi="Calibri" w:cs="Calibri"/>
          <w:lang w:val="en-US"/>
        </w:rPr>
        <w:t>o</w:t>
      </w:r>
      <w:r w:rsidR="00CA0CE3">
        <w:rPr>
          <w:rFonts w:ascii="Calibri" w:hAnsi="Calibri" w:cs="Calibri"/>
          <w:lang w:val="en-US"/>
        </w:rPr>
        <w:t>r</w:t>
      </w:r>
      <w:r>
        <w:rPr>
          <w:rFonts w:ascii="Calibri" w:hAnsi="Calibri" w:cs="Calibri"/>
          <w:lang w:val="en-US"/>
        </w:rPr>
        <w:t xml:space="preserve"> various </w:t>
      </w:r>
      <w:r w:rsidR="00CA0CE3">
        <w:rPr>
          <w:rFonts w:ascii="Calibri" w:hAnsi="Calibri" w:cs="Calibri"/>
          <w:lang w:val="en-US"/>
        </w:rPr>
        <w:t>vulnerable groups</w:t>
      </w:r>
      <w:r w:rsidR="001A32B6">
        <w:rPr>
          <w:rFonts w:ascii="Calibri" w:hAnsi="Calibri" w:cs="Calibri"/>
          <w:lang w:val="en-US"/>
        </w:rPr>
        <w:t>. Through co-financing infrastructure interventions</w:t>
      </w:r>
      <w:r w:rsidR="00A317AC">
        <w:rPr>
          <w:rFonts w:ascii="Calibri" w:hAnsi="Calibri" w:cs="Calibri"/>
          <w:lang w:val="en-US"/>
        </w:rPr>
        <w:t>, the project improved access and quality of water to several households</w:t>
      </w:r>
      <w:r w:rsidR="00CA0CE3">
        <w:rPr>
          <w:rFonts w:ascii="Calibri" w:hAnsi="Calibri" w:cs="Calibri"/>
          <w:lang w:val="en-US"/>
        </w:rPr>
        <w:t xml:space="preserve"> or community facilities</w:t>
      </w:r>
      <w:r w:rsidR="00A317AC">
        <w:rPr>
          <w:rFonts w:ascii="Calibri" w:hAnsi="Calibri" w:cs="Calibri"/>
          <w:lang w:val="en-US"/>
        </w:rPr>
        <w:t xml:space="preserve">, providing </w:t>
      </w:r>
      <w:r w:rsidR="00CA0CE3">
        <w:rPr>
          <w:rFonts w:ascii="Calibri" w:hAnsi="Calibri" w:cs="Calibri"/>
          <w:lang w:val="en-US"/>
        </w:rPr>
        <w:t xml:space="preserve">thereby </w:t>
      </w:r>
      <w:r w:rsidR="00A317AC">
        <w:rPr>
          <w:rFonts w:ascii="Calibri" w:hAnsi="Calibri" w:cs="Calibri"/>
          <w:lang w:val="en-US"/>
        </w:rPr>
        <w:t>some grounds to assume that vulnerable groups might have also benefited from these results. Some exampl</w:t>
      </w:r>
      <w:r w:rsidR="00CA0CE3">
        <w:rPr>
          <w:rFonts w:ascii="Calibri" w:hAnsi="Calibri" w:cs="Calibri"/>
          <w:lang w:val="en-US"/>
        </w:rPr>
        <w:t xml:space="preserve">es </w:t>
      </w:r>
      <w:r w:rsidR="00A317AC">
        <w:rPr>
          <w:rFonts w:ascii="Calibri" w:hAnsi="Calibri" w:cs="Calibri"/>
          <w:lang w:val="en-US"/>
        </w:rPr>
        <w:t xml:space="preserve">of the impact of some infrastructure interventions is provided in Table 7 below. </w:t>
      </w:r>
      <w:r w:rsidR="00CA0CE3">
        <w:rPr>
          <w:rFonts w:ascii="Calibri" w:hAnsi="Calibri" w:cs="Calibri"/>
          <w:lang w:val="en-US"/>
        </w:rPr>
        <w:t>However</w:t>
      </w:r>
      <w:r>
        <w:rPr>
          <w:rFonts w:ascii="Calibri" w:hAnsi="Calibri" w:cs="Calibri"/>
          <w:lang w:val="en-US"/>
        </w:rPr>
        <w:t xml:space="preserve">, the project missed to capture its impact on those </w:t>
      </w:r>
      <w:r w:rsidR="00CA0CE3">
        <w:rPr>
          <w:rFonts w:ascii="Calibri" w:hAnsi="Calibri" w:cs="Calibri"/>
          <w:lang w:val="en-US"/>
        </w:rPr>
        <w:t xml:space="preserve">vulnerable </w:t>
      </w:r>
      <w:r>
        <w:rPr>
          <w:rFonts w:ascii="Calibri" w:hAnsi="Calibri" w:cs="Calibri"/>
          <w:lang w:val="en-US"/>
        </w:rPr>
        <w:t>groups in quantitative and qualitative manner</w:t>
      </w:r>
      <w:r w:rsidR="00CA0CE3">
        <w:rPr>
          <w:rFonts w:ascii="Calibri" w:hAnsi="Calibri" w:cs="Calibri"/>
          <w:lang w:val="en-US"/>
        </w:rPr>
        <w:t>, to provide evidence for more decision-making that were more informed by gender and inclusivity considerations.</w:t>
      </w:r>
    </w:p>
    <w:p w14:paraId="001F940A" w14:textId="77777777" w:rsidR="00C27C93" w:rsidRDefault="00C27C93" w:rsidP="00B86DD5">
      <w:pPr>
        <w:spacing w:line="276" w:lineRule="auto"/>
        <w:jc w:val="both"/>
        <w:rPr>
          <w:rFonts w:ascii="Calibri" w:eastAsiaTheme="majorEastAsia" w:hAnsi="Calibri" w:cs="Calibri"/>
          <w:lang w:val="en-US"/>
        </w:rPr>
      </w:pPr>
    </w:p>
    <w:p w14:paraId="2E1DFA8E" w14:textId="5A52FD91" w:rsidR="00A317AC" w:rsidRPr="00A317AC" w:rsidRDefault="00A317AC" w:rsidP="00B86DD5">
      <w:pPr>
        <w:spacing w:line="276" w:lineRule="auto"/>
        <w:jc w:val="both"/>
        <w:rPr>
          <w:rFonts w:ascii="Calibri" w:eastAsiaTheme="majorEastAsia" w:hAnsi="Calibri" w:cs="Calibri"/>
          <w:b/>
          <w:bCs/>
          <w:lang w:val="en-US"/>
        </w:rPr>
      </w:pPr>
      <w:r w:rsidRPr="00A317AC">
        <w:rPr>
          <w:rFonts w:ascii="Calibri" w:eastAsiaTheme="majorEastAsia" w:hAnsi="Calibri" w:cs="Calibri"/>
          <w:b/>
          <w:bCs/>
          <w:lang w:val="en-US"/>
        </w:rPr>
        <w:t>Table 7: Examples of impact of in</w:t>
      </w:r>
      <w:r>
        <w:rPr>
          <w:rFonts w:ascii="Calibri" w:eastAsiaTheme="majorEastAsia" w:hAnsi="Calibri" w:cs="Calibri"/>
          <w:b/>
          <w:bCs/>
          <w:lang w:val="en-US"/>
        </w:rPr>
        <w:t>f</w:t>
      </w:r>
      <w:r w:rsidRPr="00A317AC">
        <w:rPr>
          <w:rFonts w:ascii="Calibri" w:eastAsiaTheme="majorEastAsia" w:hAnsi="Calibri" w:cs="Calibri"/>
          <w:b/>
          <w:bCs/>
          <w:lang w:val="en-US"/>
        </w:rPr>
        <w:t>rastructure investments within MEG/EU4MEG project</w:t>
      </w:r>
    </w:p>
    <w:tbl>
      <w:tblPr>
        <w:tblStyle w:val="TableGrid"/>
        <w:tblW w:w="0" w:type="auto"/>
        <w:tblLook w:val="04A0" w:firstRow="1" w:lastRow="0" w:firstColumn="1" w:lastColumn="0" w:noHBand="0" w:noVBand="1"/>
      </w:tblPr>
      <w:tblGrid>
        <w:gridCol w:w="1231"/>
        <w:gridCol w:w="1741"/>
        <w:gridCol w:w="6038"/>
      </w:tblGrid>
      <w:tr w:rsidR="00A317AC" w:rsidRPr="00A317AC" w14:paraId="5EDADEE6" w14:textId="77777777" w:rsidTr="00A317AC">
        <w:tc>
          <w:tcPr>
            <w:tcW w:w="1231" w:type="dxa"/>
            <w:shd w:val="clear" w:color="auto" w:fill="F2F2F2" w:themeFill="background1" w:themeFillShade="F2"/>
          </w:tcPr>
          <w:p w14:paraId="646C0333" w14:textId="77777777" w:rsidR="00A317AC" w:rsidRPr="00A317AC" w:rsidRDefault="00A317AC" w:rsidP="00347595">
            <w:pPr>
              <w:jc w:val="center"/>
              <w:rPr>
                <w:rFonts w:ascii="Calibri" w:hAnsi="Calibri" w:cs="Calibri"/>
                <w:b/>
                <w:bCs/>
                <w:i/>
                <w:iCs/>
                <w:sz w:val="20"/>
                <w:szCs w:val="20"/>
              </w:rPr>
            </w:pPr>
            <w:r w:rsidRPr="00A317AC">
              <w:rPr>
                <w:rFonts w:ascii="Calibri" w:hAnsi="Calibri" w:cs="Calibri"/>
                <w:b/>
                <w:bCs/>
                <w:i/>
                <w:iCs/>
                <w:sz w:val="20"/>
                <w:szCs w:val="20"/>
              </w:rPr>
              <w:t>Local community</w:t>
            </w:r>
          </w:p>
        </w:tc>
        <w:tc>
          <w:tcPr>
            <w:tcW w:w="1741" w:type="dxa"/>
            <w:shd w:val="clear" w:color="auto" w:fill="F2F2F2" w:themeFill="background1" w:themeFillShade="F2"/>
          </w:tcPr>
          <w:p w14:paraId="1EC39A04" w14:textId="77777777" w:rsidR="00A317AC" w:rsidRPr="00A317AC" w:rsidRDefault="00A317AC" w:rsidP="00347595">
            <w:pPr>
              <w:jc w:val="center"/>
              <w:rPr>
                <w:rFonts w:ascii="Calibri" w:hAnsi="Calibri" w:cs="Calibri"/>
                <w:b/>
                <w:bCs/>
                <w:i/>
                <w:iCs/>
                <w:sz w:val="20"/>
                <w:szCs w:val="20"/>
              </w:rPr>
            </w:pPr>
            <w:r w:rsidRPr="00A317AC">
              <w:rPr>
                <w:rFonts w:ascii="Calibri" w:hAnsi="Calibri" w:cs="Calibri"/>
                <w:b/>
                <w:bCs/>
                <w:i/>
                <w:iCs/>
                <w:color w:val="000000"/>
                <w:sz w:val="20"/>
                <w:szCs w:val="20"/>
              </w:rPr>
              <w:t>MEG</w:t>
            </w:r>
            <w:r w:rsidRPr="00A317AC">
              <w:rPr>
                <w:rFonts w:ascii="Calibri" w:hAnsi="Calibri" w:cs="Calibri"/>
                <w:b/>
                <w:bCs/>
                <w:i/>
                <w:iCs/>
                <w:sz w:val="20"/>
                <w:szCs w:val="20"/>
              </w:rPr>
              <w:t xml:space="preserve"> Project</w:t>
            </w:r>
          </w:p>
        </w:tc>
        <w:tc>
          <w:tcPr>
            <w:tcW w:w="6038" w:type="dxa"/>
            <w:shd w:val="clear" w:color="auto" w:fill="F2F2F2" w:themeFill="background1" w:themeFillShade="F2"/>
          </w:tcPr>
          <w:p w14:paraId="50F840CD" w14:textId="77777777" w:rsidR="00A317AC" w:rsidRPr="00A317AC" w:rsidRDefault="00A317AC" w:rsidP="00347595">
            <w:pPr>
              <w:jc w:val="center"/>
              <w:rPr>
                <w:rFonts w:ascii="Calibri" w:hAnsi="Calibri" w:cs="Calibri"/>
                <w:b/>
                <w:bCs/>
                <w:i/>
                <w:iCs/>
                <w:sz w:val="20"/>
                <w:szCs w:val="20"/>
              </w:rPr>
            </w:pPr>
            <w:r w:rsidRPr="00A317AC">
              <w:rPr>
                <w:rFonts w:ascii="Calibri" w:hAnsi="Calibri" w:cs="Calibri"/>
                <w:b/>
                <w:bCs/>
                <w:i/>
                <w:iCs/>
                <w:sz w:val="20"/>
                <w:szCs w:val="20"/>
              </w:rPr>
              <w:t>Description</w:t>
            </w:r>
          </w:p>
        </w:tc>
      </w:tr>
      <w:tr w:rsidR="00A317AC" w:rsidRPr="00A317AC" w14:paraId="67258800" w14:textId="77777777" w:rsidTr="00A317AC">
        <w:tc>
          <w:tcPr>
            <w:tcW w:w="1231" w:type="dxa"/>
          </w:tcPr>
          <w:p w14:paraId="0DA60303"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Žepče</w:t>
            </w:r>
          </w:p>
        </w:tc>
        <w:tc>
          <w:tcPr>
            <w:tcW w:w="1741" w:type="dxa"/>
          </w:tcPr>
          <w:p w14:paraId="34CE3B52"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Heating pipeline</w:t>
            </w:r>
          </w:p>
        </w:tc>
        <w:tc>
          <w:tcPr>
            <w:tcW w:w="6038" w:type="dxa"/>
          </w:tcPr>
          <w:p w14:paraId="66C6793A"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 xml:space="preserve">The project directly improved conditions for around 1,000 students — boys and girls alike — who now have warm and healthier classrooms throughout the winter, creating a better learning environment for youth. </w:t>
            </w:r>
          </w:p>
        </w:tc>
      </w:tr>
      <w:tr w:rsidR="00A317AC" w:rsidRPr="00A317AC" w14:paraId="0984CC9D" w14:textId="77777777" w:rsidTr="00A317AC">
        <w:tc>
          <w:tcPr>
            <w:tcW w:w="1231" w:type="dxa"/>
          </w:tcPr>
          <w:p w14:paraId="25DF515A"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Šamac, Slatina</w:t>
            </w:r>
          </w:p>
        </w:tc>
        <w:tc>
          <w:tcPr>
            <w:tcW w:w="1741" w:type="dxa"/>
          </w:tcPr>
          <w:p w14:paraId="0340AC03"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 xml:space="preserve">New source of safe, drinking water </w:t>
            </w:r>
          </w:p>
          <w:p w14:paraId="6313990C" w14:textId="77777777" w:rsidR="00A317AC" w:rsidRPr="00A317AC" w:rsidRDefault="00A317AC" w:rsidP="00347595">
            <w:pPr>
              <w:rPr>
                <w:rFonts w:ascii="Calibri" w:hAnsi="Calibri" w:cs="Calibri"/>
                <w:sz w:val="20"/>
                <w:szCs w:val="20"/>
              </w:rPr>
            </w:pPr>
          </w:p>
        </w:tc>
        <w:tc>
          <w:tcPr>
            <w:tcW w:w="6038" w:type="dxa"/>
          </w:tcPr>
          <w:p w14:paraId="01E356C7"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The project delivers safe, health-tested water from a new deep well (125 m depth) to around 400</w:t>
            </w:r>
            <w:r w:rsidRPr="00A317AC">
              <w:rPr>
                <w:rStyle w:val="Strong"/>
                <w:rFonts w:ascii="Calibri" w:eastAsiaTheme="majorEastAsia" w:hAnsi="Calibri" w:cs="Calibri"/>
                <w:sz w:val="20"/>
                <w:szCs w:val="20"/>
              </w:rPr>
              <w:t xml:space="preserve"> households</w:t>
            </w:r>
            <w:r w:rsidRPr="00A317AC">
              <w:rPr>
                <w:rFonts w:ascii="Calibri" w:hAnsi="Calibri" w:cs="Calibri"/>
                <w:sz w:val="20"/>
                <w:szCs w:val="20"/>
              </w:rPr>
              <w:t>. Schools, the clinic, the community center, the cultural center, and the pensioners’ association now have access to clean drinking water.</w:t>
            </w:r>
          </w:p>
        </w:tc>
      </w:tr>
      <w:tr w:rsidR="00A317AC" w:rsidRPr="00A317AC" w14:paraId="6266C651" w14:textId="77777777" w:rsidTr="00A317AC">
        <w:tc>
          <w:tcPr>
            <w:tcW w:w="1231" w:type="dxa"/>
          </w:tcPr>
          <w:p w14:paraId="46AA5EFB"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Prnjavor, Babanovac and Maćino Brdo</w:t>
            </w:r>
          </w:p>
        </w:tc>
        <w:tc>
          <w:tcPr>
            <w:tcW w:w="1741" w:type="dxa"/>
          </w:tcPr>
          <w:p w14:paraId="110A99A5"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Water supply</w:t>
            </w:r>
          </w:p>
        </w:tc>
        <w:tc>
          <w:tcPr>
            <w:tcW w:w="6038" w:type="dxa"/>
          </w:tcPr>
          <w:p w14:paraId="5EB50AA8"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The new water supply network resolves a decades-long issue for about 500 households who previously had unreliable or no access to clean.</w:t>
            </w:r>
          </w:p>
        </w:tc>
      </w:tr>
      <w:tr w:rsidR="00A317AC" w:rsidRPr="00A317AC" w14:paraId="646085C5" w14:textId="77777777" w:rsidTr="00A317AC">
        <w:tc>
          <w:tcPr>
            <w:tcW w:w="1231" w:type="dxa"/>
          </w:tcPr>
          <w:p w14:paraId="1BD2F1DC"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lastRenderedPageBreak/>
              <w:t>Trebinje, Cerovac and Ivanica</w:t>
            </w:r>
          </w:p>
        </w:tc>
        <w:tc>
          <w:tcPr>
            <w:tcW w:w="1741" w:type="dxa"/>
          </w:tcPr>
          <w:p w14:paraId="06955600"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Water supply</w:t>
            </w:r>
          </w:p>
        </w:tc>
        <w:tc>
          <w:tcPr>
            <w:tcW w:w="6038" w:type="dxa"/>
          </w:tcPr>
          <w:p w14:paraId="2A10DFA5"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 xml:space="preserve">The project provided stable, high-pressure water supply to Cerovac village (about 500 people), resolving long-standing issues caused by old pipes and frequent breakdowns. </w:t>
            </w:r>
          </w:p>
        </w:tc>
      </w:tr>
      <w:tr w:rsidR="00A317AC" w:rsidRPr="00A317AC" w14:paraId="0C3AE738" w14:textId="77777777" w:rsidTr="00A317AC">
        <w:tc>
          <w:tcPr>
            <w:tcW w:w="1231" w:type="dxa"/>
          </w:tcPr>
          <w:p w14:paraId="65F8C5AF"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Prijedor, Čirkin Polje</w:t>
            </w:r>
          </w:p>
        </w:tc>
        <w:tc>
          <w:tcPr>
            <w:tcW w:w="1741" w:type="dxa"/>
          </w:tcPr>
          <w:p w14:paraId="13C4B2BA"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Improving water services, cutting losses and optimizing governance</w:t>
            </w:r>
          </w:p>
        </w:tc>
        <w:tc>
          <w:tcPr>
            <w:tcW w:w="6038" w:type="dxa"/>
          </w:tcPr>
          <w:p w14:paraId="7C094F7A" w14:textId="77777777" w:rsidR="00A317AC" w:rsidRPr="00A317AC" w:rsidRDefault="00A317AC" w:rsidP="00347595">
            <w:pPr>
              <w:rPr>
                <w:rFonts w:ascii="Calibri" w:hAnsi="Calibri" w:cs="Calibri"/>
                <w:sz w:val="20"/>
                <w:szCs w:val="20"/>
              </w:rPr>
            </w:pPr>
            <w:r w:rsidRPr="00A317AC">
              <w:rPr>
                <w:rFonts w:ascii="Calibri" w:hAnsi="Calibri" w:cs="Calibri"/>
                <w:sz w:val="20"/>
                <w:szCs w:val="20"/>
              </w:rPr>
              <w:t xml:space="preserve">In Čirkin Polje, about 355 households have had their outdated water supply network reconstructed, and 30 new households from socially vulnerable groups—who previously lacked access to municipal water—are now being connected. The improvements reduce extreme water losses (up to 80%), improve supply reliability and pressure, and reduce the burden on residents who used wells or carried water (often poorer households, possibly women more than men, and older or less mobile people). </w:t>
            </w:r>
          </w:p>
        </w:tc>
      </w:tr>
    </w:tbl>
    <w:p w14:paraId="2CE796F1" w14:textId="77777777" w:rsidR="00A317AC" w:rsidRDefault="00A317AC" w:rsidP="00B86DD5">
      <w:pPr>
        <w:spacing w:line="276" w:lineRule="auto"/>
        <w:jc w:val="both"/>
        <w:rPr>
          <w:rFonts w:ascii="Calibri" w:eastAsiaTheme="majorEastAsia" w:hAnsi="Calibri" w:cs="Calibri"/>
          <w:lang w:val="en-US"/>
        </w:rPr>
      </w:pPr>
    </w:p>
    <w:p w14:paraId="454CC9F3" w14:textId="5A7D2FAB" w:rsidR="007055B5" w:rsidRPr="00F569AE" w:rsidRDefault="00A0025F" w:rsidP="0033780B">
      <w:pPr>
        <w:pStyle w:val="Heading1"/>
        <w:numPr>
          <w:ilvl w:val="0"/>
          <w:numId w:val="1"/>
        </w:numPr>
        <w:spacing w:line="276" w:lineRule="auto"/>
        <w:rPr>
          <w:rFonts w:ascii="Calibri" w:hAnsi="Calibri" w:cs="Calibri"/>
        </w:rPr>
      </w:pPr>
      <w:bookmarkStart w:id="204" w:name="_Toc210058532"/>
      <w:r w:rsidRPr="00F569AE">
        <w:rPr>
          <w:rFonts w:ascii="Calibri" w:hAnsi="Calibri" w:cs="Calibri"/>
        </w:rPr>
        <w:t>CONCLUSIONS</w:t>
      </w:r>
      <w:bookmarkEnd w:id="204"/>
    </w:p>
    <w:p w14:paraId="33A36DD6" w14:textId="48738758" w:rsidR="004C4FE7" w:rsidRPr="00F569AE" w:rsidRDefault="004C4FE7" w:rsidP="004C4FE7">
      <w:pPr>
        <w:spacing w:line="276" w:lineRule="auto"/>
        <w:jc w:val="both"/>
        <w:rPr>
          <w:rFonts w:ascii="Calibri" w:hAnsi="Calibri" w:cs="Calibri"/>
          <w:lang w:val="en-US"/>
        </w:rPr>
      </w:pPr>
      <w:r w:rsidRPr="00F569AE">
        <w:rPr>
          <w:rFonts w:ascii="Calibri" w:hAnsi="Calibri" w:cs="Calibri"/>
          <w:lang w:val="en-US"/>
        </w:rPr>
        <w:t xml:space="preserve">While this evaluation was focused on MEG/EU4MEG project, the project </w:t>
      </w:r>
      <w:r w:rsidR="00FA2532" w:rsidRPr="00F569AE">
        <w:rPr>
          <w:rFonts w:ascii="Calibri" w:hAnsi="Calibri" w:cs="Calibri"/>
          <w:lang w:val="en-US"/>
        </w:rPr>
        <w:t>performance</w:t>
      </w:r>
      <w:r w:rsidRPr="00F569AE">
        <w:rPr>
          <w:rFonts w:ascii="Calibri" w:hAnsi="Calibri" w:cs="Calibri"/>
          <w:lang w:val="en-US"/>
        </w:rPr>
        <w:t xml:space="preserve"> w</w:t>
      </w:r>
      <w:r w:rsidR="00FA2532" w:rsidRPr="00F569AE">
        <w:rPr>
          <w:rFonts w:ascii="Calibri" w:hAnsi="Calibri" w:cs="Calibri"/>
          <w:lang w:val="en-US"/>
        </w:rPr>
        <w:t xml:space="preserve">as </w:t>
      </w:r>
      <w:r w:rsidRPr="00F569AE">
        <w:rPr>
          <w:rFonts w:ascii="Calibri" w:hAnsi="Calibri" w:cs="Calibri"/>
          <w:lang w:val="en-US"/>
        </w:rPr>
        <w:t xml:space="preserve">analyzed </w:t>
      </w:r>
      <w:r w:rsidRPr="00F569AE">
        <w:rPr>
          <w:rFonts w:ascii="Calibri" w:hAnsi="Calibri" w:cs="Calibri"/>
          <w:b/>
          <w:i/>
          <w:lang w:val="en-US"/>
        </w:rPr>
        <w:t xml:space="preserve">through the prism of </w:t>
      </w:r>
      <w:r w:rsidR="00262567" w:rsidRPr="00F569AE">
        <w:rPr>
          <w:rFonts w:ascii="Calibri" w:hAnsi="Calibri" w:cs="Calibri"/>
          <w:b/>
          <w:i/>
          <w:lang w:val="en-US"/>
        </w:rPr>
        <w:t xml:space="preserve">the </w:t>
      </w:r>
      <w:r w:rsidR="000D37CA">
        <w:rPr>
          <w:rFonts w:ascii="Calibri" w:hAnsi="Calibri" w:cs="Calibri"/>
          <w:b/>
          <w:i/>
          <w:lang w:val="en-US"/>
        </w:rPr>
        <w:t xml:space="preserve">entire </w:t>
      </w:r>
      <w:r w:rsidRPr="00F569AE">
        <w:rPr>
          <w:rFonts w:ascii="Calibri" w:hAnsi="Calibri" w:cs="Calibri"/>
          <w:b/>
          <w:i/>
          <w:lang w:val="en-US"/>
        </w:rPr>
        <w:t>MEG programme</w:t>
      </w:r>
      <w:r w:rsidRPr="00F569AE">
        <w:rPr>
          <w:rFonts w:ascii="Calibri" w:hAnsi="Calibri" w:cs="Calibri"/>
          <w:lang w:val="en-US"/>
        </w:rPr>
        <w:t xml:space="preserve"> that covered </w:t>
      </w:r>
      <w:r w:rsidR="00262567" w:rsidRPr="00F569AE">
        <w:rPr>
          <w:rFonts w:ascii="Calibri" w:hAnsi="Calibri" w:cs="Calibri"/>
          <w:lang w:val="en-US"/>
        </w:rPr>
        <w:t>the</w:t>
      </w:r>
      <w:r w:rsidRPr="00F569AE">
        <w:rPr>
          <w:rFonts w:ascii="Calibri" w:hAnsi="Calibri" w:cs="Calibri"/>
          <w:lang w:val="en-US"/>
        </w:rPr>
        <w:t xml:space="preserve"> first cycle and was expected to be extended to </w:t>
      </w:r>
      <w:r w:rsidR="00FA2532" w:rsidRPr="00F569AE">
        <w:rPr>
          <w:rFonts w:ascii="Calibri" w:hAnsi="Calibri" w:cs="Calibri"/>
          <w:lang w:val="en-US"/>
        </w:rPr>
        <w:t>its</w:t>
      </w:r>
      <w:r w:rsidRPr="00F569AE">
        <w:rPr>
          <w:rFonts w:ascii="Calibri" w:hAnsi="Calibri" w:cs="Calibri"/>
          <w:lang w:val="en-US"/>
        </w:rPr>
        <w:t xml:space="preserve"> third and final cycle. Such time horizon allowed exploring continuity of the efforts and sharpening arguments and recommendations acknowledging that the project ambition – to modernize water sector in BiH – was beyond the time horizon of </w:t>
      </w:r>
      <w:r w:rsidR="000D37CA">
        <w:rPr>
          <w:rFonts w:ascii="Calibri" w:hAnsi="Calibri" w:cs="Calibri"/>
          <w:lang w:val="en-US"/>
        </w:rPr>
        <w:t>only one</w:t>
      </w:r>
      <w:r w:rsidRPr="00F569AE">
        <w:rPr>
          <w:rFonts w:ascii="Calibri" w:hAnsi="Calibri" w:cs="Calibri"/>
          <w:lang w:val="en-US"/>
        </w:rPr>
        <w:t xml:space="preserve"> project</w:t>
      </w:r>
      <w:r w:rsidR="00262567" w:rsidRPr="00F569AE">
        <w:rPr>
          <w:rFonts w:ascii="Calibri" w:hAnsi="Calibri" w:cs="Calibri"/>
          <w:lang w:val="en-US"/>
        </w:rPr>
        <w:t xml:space="preserve"> intervention</w:t>
      </w:r>
      <w:r w:rsidRPr="00F569AE">
        <w:rPr>
          <w:rFonts w:ascii="Calibri" w:hAnsi="Calibri" w:cs="Calibri"/>
          <w:lang w:val="en-US"/>
        </w:rPr>
        <w:t xml:space="preserve">. </w:t>
      </w:r>
      <w:r w:rsidR="00075C7C" w:rsidRPr="00F569AE">
        <w:rPr>
          <w:rFonts w:ascii="Calibri" w:hAnsi="Calibri" w:cs="Calibri"/>
          <w:lang w:val="en-US"/>
        </w:rPr>
        <w:t xml:space="preserve">The project implementation was managed with </w:t>
      </w:r>
      <w:r w:rsidR="003057F3">
        <w:rPr>
          <w:rFonts w:ascii="Calibri" w:hAnsi="Calibri" w:cs="Calibri"/>
          <w:lang w:val="en-US"/>
        </w:rPr>
        <w:t>the</w:t>
      </w:r>
      <w:r w:rsidR="00075C7C" w:rsidRPr="00F569AE">
        <w:rPr>
          <w:rFonts w:ascii="Calibri" w:hAnsi="Calibri" w:cs="Calibri"/>
          <w:lang w:val="en-US"/>
        </w:rPr>
        <w:t xml:space="preserve"> focus on gender and inclusivity </w:t>
      </w:r>
      <w:r w:rsidR="00D22D78" w:rsidRPr="00F569AE">
        <w:rPr>
          <w:rFonts w:ascii="Calibri" w:hAnsi="Calibri" w:cs="Calibri"/>
          <w:lang w:val="en-US"/>
        </w:rPr>
        <w:t>consideration;</w:t>
      </w:r>
      <w:r w:rsidR="00075C7C" w:rsidRPr="00F569AE">
        <w:rPr>
          <w:rFonts w:ascii="Calibri" w:hAnsi="Calibri" w:cs="Calibri"/>
          <w:lang w:val="en-US"/>
        </w:rPr>
        <w:t xml:space="preserve"> </w:t>
      </w:r>
      <w:r w:rsidR="003057F3">
        <w:rPr>
          <w:rFonts w:ascii="Calibri" w:hAnsi="Calibri" w:cs="Calibri"/>
          <w:lang w:val="en-US"/>
        </w:rPr>
        <w:t>however, the project was not sufficiently tuned to capture its benefits for the vulnerable groups, e.g. gender, youth, people with disabilities.</w:t>
      </w:r>
      <w:r w:rsidR="00075C7C" w:rsidRPr="00F569AE">
        <w:rPr>
          <w:rFonts w:ascii="Calibri" w:hAnsi="Calibri" w:cs="Calibri"/>
          <w:lang w:val="en-US"/>
        </w:rPr>
        <w:t xml:space="preserve"> </w:t>
      </w:r>
    </w:p>
    <w:p w14:paraId="29798CD0" w14:textId="77777777" w:rsidR="004C4FE7" w:rsidRPr="00F569AE" w:rsidRDefault="004C4FE7" w:rsidP="004C4FE7">
      <w:pPr>
        <w:spacing w:line="276" w:lineRule="auto"/>
        <w:jc w:val="both"/>
        <w:rPr>
          <w:rFonts w:ascii="Calibri" w:hAnsi="Calibri" w:cs="Calibri"/>
          <w:lang w:val="en-US"/>
        </w:rPr>
      </w:pPr>
    </w:p>
    <w:p w14:paraId="7D5F7A50" w14:textId="0EA6DCA9" w:rsidR="009A3F3A" w:rsidRPr="00F569AE" w:rsidRDefault="000D37CA" w:rsidP="009A3F3A">
      <w:pPr>
        <w:spacing w:line="276" w:lineRule="auto"/>
        <w:jc w:val="both"/>
        <w:rPr>
          <w:rFonts w:ascii="Calibri" w:hAnsi="Calibri" w:cs="Calibri"/>
          <w:lang w:val="en-US"/>
        </w:rPr>
      </w:pPr>
      <w:r>
        <w:rPr>
          <w:rFonts w:ascii="Calibri" w:hAnsi="Calibri" w:cs="Calibri"/>
          <w:b/>
          <w:i/>
          <w:lang w:val="en-US"/>
        </w:rPr>
        <w:t xml:space="preserve">The </w:t>
      </w:r>
      <w:r w:rsidR="00FA2532" w:rsidRPr="00F569AE">
        <w:rPr>
          <w:rFonts w:ascii="Calibri" w:hAnsi="Calibri" w:cs="Calibri"/>
          <w:b/>
          <w:i/>
          <w:lang w:val="en-US"/>
        </w:rPr>
        <w:t xml:space="preserve">MEG/EU4MEG project </w:t>
      </w:r>
      <w:r w:rsidR="004C4FE7" w:rsidRPr="00F569AE">
        <w:rPr>
          <w:rFonts w:ascii="Calibri" w:hAnsi="Calibri" w:cs="Calibri"/>
          <w:b/>
          <w:i/>
          <w:lang w:val="en-US"/>
        </w:rPr>
        <w:t xml:space="preserve">was </w:t>
      </w:r>
      <w:r w:rsidR="00FA2532" w:rsidRPr="00F569AE">
        <w:rPr>
          <w:rFonts w:ascii="Calibri" w:hAnsi="Calibri" w:cs="Calibri"/>
          <w:b/>
          <w:i/>
          <w:lang w:val="en-US"/>
        </w:rPr>
        <w:t xml:space="preserve">unique and </w:t>
      </w:r>
      <w:r w:rsidR="004C4FE7" w:rsidRPr="00F569AE">
        <w:rPr>
          <w:rFonts w:ascii="Calibri" w:hAnsi="Calibri" w:cs="Calibri"/>
          <w:b/>
          <w:i/>
          <w:lang w:val="en-US"/>
        </w:rPr>
        <w:t>highly innovative project driving water sector modernization in BiH,</w:t>
      </w:r>
      <w:r w:rsidR="004C4FE7" w:rsidRPr="00F569AE">
        <w:rPr>
          <w:rFonts w:ascii="Calibri" w:hAnsi="Calibri" w:cs="Calibri"/>
          <w:lang w:val="en-US"/>
        </w:rPr>
        <w:t xml:space="preserve"> while creating ripple effects across local governance system and directly contributing towards building trust and cohesion at the local level. </w:t>
      </w:r>
      <w:r w:rsidR="009A3F3A" w:rsidRPr="00F569AE">
        <w:rPr>
          <w:rFonts w:ascii="Calibri" w:hAnsi="Calibri" w:cs="Calibri"/>
          <w:lang w:val="en-US"/>
        </w:rPr>
        <w:t>The project set high expectations across a wide range of stakeholders and delivered to its commitments despite highly complex governance context in BiH. The MEG/ EU4MEG project has laid critical foundations for more transparent, accountable, and performance-based governance in participating cities/municipalities and in the water sector.</w:t>
      </w:r>
      <w:r w:rsidR="003057F3">
        <w:rPr>
          <w:rFonts w:ascii="Calibri" w:hAnsi="Calibri" w:cs="Calibri"/>
          <w:lang w:val="en-US"/>
        </w:rPr>
        <w:t xml:space="preserve"> </w:t>
      </w:r>
    </w:p>
    <w:p w14:paraId="4E642558" w14:textId="77777777" w:rsidR="009A3F3A" w:rsidRDefault="009A3F3A" w:rsidP="004C4FE7">
      <w:pPr>
        <w:spacing w:line="276" w:lineRule="auto"/>
        <w:jc w:val="both"/>
        <w:rPr>
          <w:rFonts w:ascii="Calibri" w:hAnsi="Calibri" w:cs="Calibri"/>
          <w:lang w:val="en-US"/>
        </w:rPr>
      </w:pPr>
    </w:p>
    <w:p w14:paraId="6FD1B59A" w14:textId="2B35716A" w:rsidR="00A605F6" w:rsidRDefault="004C4FE7" w:rsidP="004C4FE7">
      <w:pPr>
        <w:spacing w:line="276" w:lineRule="auto"/>
        <w:jc w:val="both"/>
        <w:rPr>
          <w:rFonts w:ascii="Calibri" w:hAnsi="Calibri" w:cs="Calibri"/>
          <w:lang w:val="en-US"/>
        </w:rPr>
      </w:pPr>
      <w:r w:rsidRPr="00F569AE">
        <w:rPr>
          <w:rFonts w:ascii="Calibri" w:hAnsi="Calibri" w:cs="Calibri"/>
          <w:lang w:val="en-US"/>
        </w:rPr>
        <w:t>The range of solutions developed within the project provide</w:t>
      </w:r>
      <w:r w:rsidR="006D5BFD" w:rsidRPr="00F569AE">
        <w:rPr>
          <w:rFonts w:ascii="Calibri" w:hAnsi="Calibri" w:cs="Calibri"/>
          <w:lang w:val="en-US"/>
        </w:rPr>
        <w:t>d</w:t>
      </w:r>
      <w:r w:rsidRPr="00F569AE">
        <w:rPr>
          <w:rFonts w:ascii="Calibri" w:hAnsi="Calibri" w:cs="Calibri"/>
          <w:lang w:val="en-US"/>
        </w:rPr>
        <w:t xml:space="preserve"> solid foundation to trigger system level qualitative enhancement in water sector in BiH. Though, to ensure that the solutions would be sustained</w:t>
      </w:r>
      <w:r w:rsidR="000D37CA">
        <w:rPr>
          <w:rFonts w:ascii="Calibri" w:hAnsi="Calibri" w:cs="Calibri"/>
          <w:lang w:val="en-US"/>
        </w:rPr>
        <w:t xml:space="preserve"> and generate impact expected</w:t>
      </w:r>
      <w:r w:rsidRPr="00F569AE">
        <w:rPr>
          <w:rFonts w:ascii="Calibri" w:hAnsi="Calibri" w:cs="Calibri"/>
          <w:lang w:val="en-US"/>
        </w:rPr>
        <w:t>,</w:t>
      </w:r>
      <w:r w:rsidR="000D37CA">
        <w:rPr>
          <w:rFonts w:ascii="Calibri" w:hAnsi="Calibri" w:cs="Calibri"/>
          <w:lang w:val="en-US"/>
        </w:rPr>
        <w:t xml:space="preserve"> it remains critical to escalate the MEG programme from ‘proof of concept’ (completed at the current stage) to scale up and replication</w:t>
      </w:r>
      <w:r w:rsidR="009A3F3A">
        <w:rPr>
          <w:rFonts w:ascii="Calibri" w:hAnsi="Calibri" w:cs="Calibri"/>
          <w:lang w:val="en-US"/>
        </w:rPr>
        <w:t xml:space="preserve"> with explicit focus on ‘MEG standardization’.</w:t>
      </w:r>
    </w:p>
    <w:p w14:paraId="7990BA04" w14:textId="77777777" w:rsidR="00A605F6" w:rsidRDefault="00A605F6" w:rsidP="004C4FE7">
      <w:pPr>
        <w:spacing w:line="276" w:lineRule="auto"/>
        <w:jc w:val="both"/>
        <w:rPr>
          <w:rFonts w:ascii="Calibri" w:hAnsi="Calibri" w:cs="Calibri"/>
          <w:lang w:val="en-US"/>
        </w:rPr>
      </w:pPr>
    </w:p>
    <w:p w14:paraId="430982DD" w14:textId="6AFE3555" w:rsidR="006D5BFD" w:rsidRDefault="00A605F6" w:rsidP="004C4FE7">
      <w:pPr>
        <w:spacing w:line="276" w:lineRule="auto"/>
        <w:jc w:val="both"/>
        <w:rPr>
          <w:rFonts w:ascii="Calibri" w:hAnsi="Calibri" w:cs="Calibri"/>
          <w:lang w:val="en-US"/>
        </w:rPr>
      </w:pPr>
      <w:r>
        <w:rPr>
          <w:rFonts w:ascii="Calibri" w:hAnsi="Calibri" w:cs="Calibri"/>
          <w:lang w:val="en-US"/>
        </w:rPr>
        <w:t xml:space="preserve">With the focus on replication and scale up, the final phase of the MEG programme could be seen as </w:t>
      </w:r>
      <w:r w:rsidR="009A3F3A">
        <w:rPr>
          <w:rFonts w:ascii="Calibri" w:hAnsi="Calibri" w:cs="Calibri"/>
          <w:lang w:val="en-US"/>
        </w:rPr>
        <w:t>its</w:t>
      </w:r>
      <w:r w:rsidR="006D5BFD" w:rsidRPr="00F569AE">
        <w:rPr>
          <w:rFonts w:ascii="Calibri" w:hAnsi="Calibri" w:cs="Calibri"/>
          <w:lang w:val="en-US"/>
        </w:rPr>
        <w:t xml:space="preserve"> </w:t>
      </w:r>
      <w:r w:rsidR="00262567" w:rsidRPr="00F569AE">
        <w:rPr>
          <w:rFonts w:ascii="Calibri" w:hAnsi="Calibri" w:cs="Calibri"/>
          <w:lang w:val="en-US"/>
        </w:rPr>
        <w:t>‘</w:t>
      </w:r>
      <w:r w:rsidR="006D5BFD" w:rsidRPr="00F569AE">
        <w:rPr>
          <w:rFonts w:ascii="Calibri" w:hAnsi="Calibri" w:cs="Calibri"/>
          <w:lang w:val="en-US"/>
        </w:rPr>
        <w:t>reflexive phase</w:t>
      </w:r>
      <w:r w:rsidR="00262567" w:rsidRPr="00F569AE">
        <w:rPr>
          <w:rFonts w:ascii="Calibri" w:hAnsi="Calibri" w:cs="Calibri"/>
          <w:lang w:val="en-US"/>
        </w:rPr>
        <w:t>’</w:t>
      </w:r>
      <w:r w:rsidR="006D5BFD" w:rsidRPr="00F569AE">
        <w:rPr>
          <w:rFonts w:ascii="Calibri" w:hAnsi="Calibri" w:cs="Calibri"/>
          <w:lang w:val="en-US"/>
        </w:rPr>
        <w:t xml:space="preserve"> </w:t>
      </w:r>
      <w:r w:rsidR="009A3F3A">
        <w:rPr>
          <w:rFonts w:ascii="Calibri" w:hAnsi="Calibri" w:cs="Calibri"/>
          <w:lang w:val="en-US"/>
        </w:rPr>
        <w:t>with the focus on</w:t>
      </w:r>
      <w:r w:rsidR="006D5BFD" w:rsidRPr="00F569AE">
        <w:rPr>
          <w:rFonts w:ascii="Calibri" w:hAnsi="Calibri" w:cs="Calibri"/>
          <w:lang w:val="en-US"/>
        </w:rPr>
        <w:t xml:space="preserve"> gradual exit whereby the solutions generated by the project would be fully internalized and owned by a wide range of stakeholders to ensure system's capacity for self-governance</w:t>
      </w:r>
      <w:r w:rsidR="009A3F3A">
        <w:rPr>
          <w:rFonts w:ascii="Calibri" w:hAnsi="Calibri" w:cs="Calibri"/>
          <w:lang w:val="en-US"/>
        </w:rPr>
        <w:t xml:space="preserve">.  In its reflexive </w:t>
      </w:r>
      <w:r w:rsidR="00075C7C">
        <w:rPr>
          <w:rFonts w:ascii="Calibri" w:hAnsi="Calibri" w:cs="Calibri"/>
          <w:lang w:val="en-US"/>
        </w:rPr>
        <w:t>phase, it</w:t>
      </w:r>
      <w:r w:rsidR="009A3F3A">
        <w:rPr>
          <w:rFonts w:ascii="Calibri" w:hAnsi="Calibri" w:cs="Calibri"/>
          <w:lang w:val="en-US"/>
        </w:rPr>
        <w:t xml:space="preserve"> remains critical to build the analytical function of the next phase of the project for </w:t>
      </w:r>
      <w:r w:rsidR="00262567" w:rsidRPr="00F569AE">
        <w:rPr>
          <w:rFonts w:ascii="Calibri" w:hAnsi="Calibri" w:cs="Calibri"/>
          <w:lang w:val="en-US"/>
        </w:rPr>
        <w:t>anticipatory governance of risks, monitoring, and continuous learning</w:t>
      </w:r>
      <w:r w:rsidR="009A3F3A">
        <w:rPr>
          <w:rFonts w:ascii="Calibri" w:hAnsi="Calibri" w:cs="Calibri"/>
          <w:lang w:val="en-US"/>
        </w:rPr>
        <w:t xml:space="preserve"> for the project strategic decision-making.</w:t>
      </w:r>
    </w:p>
    <w:p w14:paraId="2873A650" w14:textId="77777777" w:rsidR="00075C7C" w:rsidRDefault="00075C7C" w:rsidP="004C4FE7">
      <w:pPr>
        <w:spacing w:line="276" w:lineRule="auto"/>
        <w:jc w:val="both"/>
        <w:rPr>
          <w:rFonts w:ascii="Calibri" w:hAnsi="Calibri" w:cs="Calibri"/>
          <w:lang w:val="en-US"/>
        </w:rPr>
      </w:pPr>
    </w:p>
    <w:p w14:paraId="20E74882" w14:textId="2061F7B5" w:rsidR="00075C7C" w:rsidRDefault="00075C7C" w:rsidP="004C4FE7">
      <w:pPr>
        <w:spacing w:line="276" w:lineRule="auto"/>
        <w:jc w:val="both"/>
        <w:rPr>
          <w:rFonts w:ascii="Calibri" w:hAnsi="Calibri" w:cs="Calibri"/>
          <w:lang w:val="en-US"/>
        </w:rPr>
      </w:pPr>
      <w:r>
        <w:rPr>
          <w:rFonts w:ascii="Calibri" w:hAnsi="Calibri" w:cs="Calibri"/>
          <w:lang w:val="en-US"/>
        </w:rPr>
        <w:t xml:space="preserve">This highly complex project has demonstrated the value </w:t>
      </w:r>
      <w:r w:rsidR="003057F3">
        <w:rPr>
          <w:rFonts w:ascii="Calibri" w:hAnsi="Calibri" w:cs="Calibri"/>
          <w:lang w:val="en-US"/>
        </w:rPr>
        <w:t xml:space="preserve">and the potential </w:t>
      </w:r>
      <w:r>
        <w:rPr>
          <w:rFonts w:ascii="Calibri" w:hAnsi="Calibri" w:cs="Calibri"/>
          <w:lang w:val="en-US"/>
        </w:rPr>
        <w:t xml:space="preserve">for the UNDP’s commitment to contribute to </w:t>
      </w:r>
      <w:r w:rsidRPr="00075C7C">
        <w:rPr>
          <w:rFonts w:ascii="Calibri" w:hAnsi="Calibri" w:cs="Calibri"/>
          <w:lang w:val="en-US"/>
        </w:rPr>
        <w:t xml:space="preserve">sustainable and inclusive growth, people-centered governance, and social cohesion in BiH as well as to provide solid contribution towards the achievement of SDG-6: Clean water and sanitation, SDG-10: Reduced inequalities, SDG-11: Sustainable Cities and Communities, and SDG-16: People, Justice and Strong Institutions. </w:t>
      </w:r>
    </w:p>
    <w:p w14:paraId="4E4966B0" w14:textId="77777777" w:rsidR="00CE149B" w:rsidRPr="00F569AE" w:rsidRDefault="00CE149B" w:rsidP="004C4FE7">
      <w:pPr>
        <w:spacing w:line="276" w:lineRule="auto"/>
        <w:jc w:val="both"/>
        <w:rPr>
          <w:rFonts w:ascii="Calibri" w:hAnsi="Calibri" w:cs="Calibri"/>
          <w:lang w:val="en-US"/>
        </w:rPr>
      </w:pPr>
    </w:p>
    <w:p w14:paraId="2D2662A3" w14:textId="61F9D5A9" w:rsidR="00BB4CCB" w:rsidRDefault="00A0025F" w:rsidP="0033780B">
      <w:pPr>
        <w:pStyle w:val="Heading1"/>
        <w:numPr>
          <w:ilvl w:val="0"/>
          <w:numId w:val="1"/>
        </w:numPr>
        <w:rPr>
          <w:rFonts w:ascii="Calibri" w:hAnsi="Calibri" w:cs="Calibri"/>
        </w:rPr>
      </w:pPr>
      <w:bookmarkStart w:id="205" w:name="_Toc210058533"/>
      <w:r w:rsidRPr="00F569AE">
        <w:rPr>
          <w:rFonts w:ascii="Calibri" w:hAnsi="Calibri" w:cs="Calibri"/>
        </w:rPr>
        <w:t>RECOMMENDATIONS</w:t>
      </w:r>
      <w:bookmarkEnd w:id="205"/>
    </w:p>
    <w:p w14:paraId="6DCCBF96" w14:textId="12AF4751" w:rsidR="00152A97" w:rsidRPr="00302637" w:rsidRDefault="00302637" w:rsidP="00302637">
      <w:pPr>
        <w:spacing w:line="276" w:lineRule="auto"/>
        <w:jc w:val="both"/>
        <w:rPr>
          <w:rFonts w:ascii="Calibri" w:hAnsi="Calibri" w:cs="Calibri"/>
          <w:lang w:val="en-US"/>
        </w:rPr>
      </w:pPr>
      <w:r w:rsidRPr="00302637">
        <w:rPr>
          <w:rFonts w:ascii="Calibri" w:hAnsi="Calibri" w:cs="Calibri"/>
          <w:lang w:val="en-US"/>
        </w:rPr>
        <w:t xml:space="preserve">The recommendations have forward-looking perspective and designed with system lenses, meaning, they are based on the findings discussed under relevance, coherence, effectiveness, efficiency, sustainability and impact orientation criteria of this evolution. </w:t>
      </w:r>
      <w:r>
        <w:rPr>
          <w:rFonts w:ascii="Calibri" w:hAnsi="Calibri" w:cs="Calibri"/>
          <w:lang w:val="en-US"/>
        </w:rPr>
        <w:t xml:space="preserve">Each strategic recommendation is provided with more detailed critical considerations to inform the actionability of each recommendation. </w:t>
      </w:r>
    </w:p>
    <w:p w14:paraId="18D2754A" w14:textId="77777777" w:rsidR="00302637" w:rsidRPr="00152A97" w:rsidRDefault="00302637" w:rsidP="00152A97">
      <w:pPr>
        <w:rPr>
          <w:lang w:val="en-US"/>
        </w:rPr>
      </w:pPr>
    </w:p>
    <w:p w14:paraId="43AC1C53" w14:textId="70B2B164" w:rsidR="00152A97" w:rsidRDefault="00152A97" w:rsidP="00152A97">
      <w:pPr>
        <w:spacing w:line="276" w:lineRule="auto"/>
        <w:jc w:val="both"/>
        <w:rPr>
          <w:rFonts w:ascii="Calibri" w:hAnsi="Calibri" w:cs="Calibri"/>
        </w:rPr>
      </w:pPr>
      <w:r w:rsidRPr="00E00891">
        <w:rPr>
          <w:rFonts w:ascii="Calibri" w:hAnsi="Calibri" w:cs="Calibri"/>
          <w:b/>
          <w:i/>
          <w:color w:val="215E99" w:themeColor="text2" w:themeTint="BF"/>
          <w:lang w:val="en-US"/>
        </w:rPr>
        <w:t xml:space="preserve">1. </w:t>
      </w:r>
      <w:r w:rsidR="00BB4CCB" w:rsidRPr="00E00891">
        <w:rPr>
          <w:rFonts w:ascii="Calibri" w:hAnsi="Calibri" w:cs="Calibri"/>
          <w:b/>
          <w:i/>
          <w:color w:val="215E99" w:themeColor="text2" w:themeTint="BF"/>
          <w:lang w:val="en-US"/>
        </w:rPr>
        <w:t>(UNDP)</w:t>
      </w:r>
      <w:r w:rsidR="00BB4CCB" w:rsidRPr="00E00891">
        <w:rPr>
          <w:rFonts w:ascii="Calibri" w:hAnsi="Calibri" w:cs="Calibri"/>
          <w:color w:val="215E99" w:themeColor="text2" w:themeTint="BF"/>
          <w:lang w:val="en-US"/>
        </w:rPr>
        <w:t xml:space="preserve"> </w:t>
      </w:r>
      <w:r w:rsidR="00326681" w:rsidRPr="00E00891">
        <w:rPr>
          <w:rFonts w:ascii="Calibri" w:hAnsi="Calibri" w:cs="Calibri"/>
          <w:b/>
          <w:color w:val="215E99" w:themeColor="text2" w:themeTint="BF"/>
        </w:rPr>
        <w:t>Scale up and replicate MEG standardization across the LGs in BiH:</w:t>
      </w:r>
      <w:r w:rsidR="00E00891" w:rsidRPr="00E00891">
        <w:rPr>
          <w:rFonts w:ascii="Calibri" w:hAnsi="Calibri" w:cs="Calibri"/>
          <w:b/>
          <w:color w:val="215E99" w:themeColor="text2" w:themeTint="BF"/>
        </w:rPr>
        <w:t xml:space="preserve"> </w:t>
      </w:r>
      <w:r w:rsidR="00E00891" w:rsidRPr="00E00891">
        <w:rPr>
          <w:rFonts w:ascii="Calibri" w:hAnsi="Calibri" w:cs="Calibri"/>
          <w:bCs/>
          <w:color w:val="000000" w:themeColor="text1"/>
        </w:rPr>
        <w:t xml:space="preserve">This process would equire explicite recognition of the </w:t>
      </w:r>
      <w:r w:rsidR="00E00891" w:rsidRPr="00E00891">
        <w:rPr>
          <w:rFonts w:ascii="Calibri" w:hAnsi="Calibri" w:cs="Calibri"/>
        </w:rPr>
        <w:t>‘MEG package’ with mandatory and optional instruments that could be used for improvement of the LGs’ performance, particularly in water sector</w:t>
      </w:r>
      <w:r w:rsidR="00E00891">
        <w:rPr>
          <w:rFonts w:ascii="Calibri" w:hAnsi="Calibri" w:cs="Calibri"/>
        </w:rPr>
        <w:t xml:space="preserve"> as well as creation of </w:t>
      </w:r>
      <w:r w:rsidR="00E00891" w:rsidRPr="00326681">
        <w:rPr>
          <w:rFonts w:ascii="Calibri" w:hAnsi="Calibri" w:cs="Calibri"/>
        </w:rPr>
        <w:t xml:space="preserve">mass of traction among LGs towards MEG </w:t>
      </w:r>
      <w:r w:rsidR="00E00891">
        <w:rPr>
          <w:rFonts w:ascii="Calibri" w:hAnsi="Calibri" w:cs="Calibri"/>
        </w:rPr>
        <w:t>standardization through expanding the project to</w:t>
      </w:r>
      <w:r w:rsidR="00E00891" w:rsidRPr="00326681">
        <w:rPr>
          <w:rFonts w:ascii="Calibri" w:hAnsi="Calibri" w:cs="Calibri"/>
          <w:color w:val="000000" w:themeColor="text1"/>
        </w:rPr>
        <w:t xml:space="preserve"> </w:t>
      </w:r>
      <w:r w:rsidR="00E00891">
        <w:rPr>
          <w:rFonts w:ascii="Calibri" w:hAnsi="Calibri" w:cs="Calibri"/>
          <w:color w:val="000000" w:themeColor="text1"/>
        </w:rPr>
        <w:t>a</w:t>
      </w:r>
      <w:r w:rsidR="00E00891" w:rsidRPr="00326681">
        <w:rPr>
          <w:rFonts w:ascii="Calibri" w:hAnsi="Calibri" w:cs="Calibri"/>
          <w:color w:val="000000" w:themeColor="text1"/>
        </w:rPr>
        <w:t>t least additional 30</w:t>
      </w:r>
      <w:r w:rsidR="00E00891">
        <w:rPr>
          <w:rFonts w:ascii="Calibri" w:hAnsi="Calibri" w:cs="Calibri"/>
          <w:color w:val="000000" w:themeColor="text1"/>
        </w:rPr>
        <w:t xml:space="preserve"> LGs in the third cycle</w:t>
      </w:r>
      <w:r w:rsidR="00E00891" w:rsidRPr="00326681">
        <w:rPr>
          <w:rFonts w:ascii="Calibri" w:hAnsi="Calibri" w:cs="Calibri"/>
          <w:color w:val="000000" w:themeColor="text1"/>
        </w:rPr>
        <w:t>.</w:t>
      </w:r>
      <w:r w:rsidR="00E00891" w:rsidRPr="00F569AE">
        <w:rPr>
          <w:rStyle w:val="FootnoteReference"/>
          <w:rFonts w:ascii="Calibri" w:hAnsi="Calibri" w:cs="Calibri"/>
          <w:color w:val="000000" w:themeColor="text1"/>
        </w:rPr>
        <w:footnoteReference w:id="48"/>
      </w:r>
      <w:r w:rsidR="00E00891">
        <w:rPr>
          <w:rFonts w:ascii="Calibri" w:hAnsi="Calibri" w:cs="Calibri"/>
          <w:color w:val="000000" w:themeColor="text1"/>
        </w:rPr>
        <w:t xml:space="preserve"> To support this process, it would require to ensure </w:t>
      </w:r>
      <w:r w:rsidR="00E00891" w:rsidRPr="00F569AE">
        <w:rPr>
          <w:rFonts w:ascii="Calibri" w:hAnsi="Calibri" w:cs="Calibri"/>
        </w:rPr>
        <w:t>continuous policy dialogue and advocacy for adoption of laws on provision of water services in both entities</w:t>
      </w:r>
      <w:r w:rsidR="00E00891">
        <w:rPr>
          <w:rFonts w:ascii="Calibri" w:hAnsi="Calibri" w:cs="Calibri"/>
        </w:rPr>
        <w:t xml:space="preserve">. Important role is to be played by (i) UNDP through integrating MEG package in its further interventions with the LGs, and (ii) Water Alliance through integrating MEG package in other interventions in water sector in BiH to </w:t>
      </w:r>
      <w:r w:rsidR="00E00891" w:rsidRPr="00F569AE">
        <w:rPr>
          <w:rFonts w:ascii="Calibri" w:hAnsi="Calibri" w:cs="Calibri"/>
        </w:rPr>
        <w:t xml:space="preserve">keep the momentum and ensure systemic improvement in water sector in BiH.  </w:t>
      </w:r>
    </w:p>
    <w:p w14:paraId="2926B586" w14:textId="77777777" w:rsidR="00302637" w:rsidRDefault="00302637" w:rsidP="00152A97">
      <w:pPr>
        <w:spacing w:line="276" w:lineRule="auto"/>
        <w:jc w:val="both"/>
        <w:rPr>
          <w:rFonts w:ascii="Calibri" w:hAnsi="Calibri" w:cs="Calibri"/>
        </w:rPr>
      </w:pPr>
    </w:p>
    <w:p w14:paraId="25AFE249" w14:textId="1805665F" w:rsidR="00127AF5" w:rsidRPr="00E00891" w:rsidRDefault="00152A97" w:rsidP="00E00891">
      <w:pPr>
        <w:spacing w:line="276" w:lineRule="auto"/>
        <w:jc w:val="both"/>
        <w:rPr>
          <w:rFonts w:ascii="Calibri" w:hAnsi="Calibri" w:cs="Calibri"/>
          <w:bCs/>
        </w:rPr>
      </w:pPr>
      <w:r w:rsidRPr="00152A97">
        <w:rPr>
          <w:rFonts w:ascii="Calibri" w:hAnsi="Calibri" w:cs="Calibri"/>
          <w:b/>
          <w:i/>
          <w:color w:val="215E99" w:themeColor="text2" w:themeTint="BF"/>
          <w:lang w:val="en-US"/>
        </w:rPr>
        <w:t>2.</w:t>
      </w:r>
      <w:r>
        <w:rPr>
          <w:rFonts w:ascii="Calibri" w:hAnsi="Calibri" w:cs="Calibri"/>
        </w:rPr>
        <w:t xml:space="preserve"> </w:t>
      </w:r>
      <w:r w:rsidR="00E10874" w:rsidRPr="00152A97">
        <w:rPr>
          <w:rFonts w:ascii="Calibri" w:hAnsi="Calibri" w:cs="Calibri"/>
          <w:b/>
          <w:i/>
          <w:color w:val="215E99" w:themeColor="text2" w:themeTint="BF"/>
        </w:rPr>
        <w:t>(UNDP)</w:t>
      </w:r>
      <w:r w:rsidR="00E10874" w:rsidRPr="00152A97">
        <w:rPr>
          <w:rFonts w:ascii="Calibri" w:hAnsi="Calibri" w:cs="Calibri"/>
          <w:color w:val="215E99" w:themeColor="text2" w:themeTint="BF"/>
        </w:rPr>
        <w:t xml:space="preserve"> </w:t>
      </w:r>
      <w:r w:rsidR="00E10874" w:rsidRPr="00152A97">
        <w:rPr>
          <w:rFonts w:ascii="Calibri" w:hAnsi="Calibri" w:cs="Calibri"/>
          <w:b/>
          <w:color w:val="215E99" w:themeColor="text2" w:themeTint="BF"/>
        </w:rPr>
        <w:t>Tailore MEG support to the specific needs of the LGs:</w:t>
      </w:r>
      <w:r w:rsidR="00127AF5">
        <w:rPr>
          <w:rFonts w:ascii="Calibri" w:hAnsi="Calibri" w:cs="Calibri"/>
          <w:b/>
          <w:color w:val="215E99" w:themeColor="text2" w:themeTint="BF"/>
        </w:rPr>
        <w:t xml:space="preserve"> </w:t>
      </w:r>
      <w:r w:rsidR="00127AF5" w:rsidRPr="00127AF5">
        <w:rPr>
          <w:rFonts w:ascii="Calibri" w:hAnsi="Calibri" w:cs="Calibri"/>
          <w:bCs/>
          <w:color w:val="000000" w:themeColor="text1"/>
        </w:rPr>
        <w:t>This could be done through</w:t>
      </w:r>
      <w:r w:rsidR="00127AF5">
        <w:rPr>
          <w:rFonts w:ascii="Calibri" w:hAnsi="Calibri" w:cs="Calibri"/>
          <w:bCs/>
        </w:rPr>
        <w:t xml:space="preserve"> establishing </w:t>
      </w:r>
      <w:r w:rsidR="00127AF5" w:rsidRPr="00127AF5">
        <w:rPr>
          <w:rFonts w:ascii="Calibri" w:hAnsi="Calibri" w:cs="Calibri"/>
        </w:rPr>
        <w:t xml:space="preserve">MEG Community of Users (CoU) to perform a role of (i) a digital platform, (ii) a pool of LGs and experts to share their experience, and (iii) collaborative, peer learning mechanism. </w:t>
      </w:r>
      <w:r w:rsidR="00127AF5">
        <w:rPr>
          <w:rFonts w:ascii="Calibri" w:hAnsi="Calibri" w:cs="Calibri"/>
        </w:rPr>
        <w:t>It might be beneficial to e</w:t>
      </w:r>
      <w:r w:rsidR="00127AF5" w:rsidRPr="00127AF5">
        <w:rPr>
          <w:rFonts w:ascii="Calibri" w:hAnsi="Calibri" w:cs="Calibri"/>
        </w:rPr>
        <w:t xml:space="preserve">xplore a possibility to link the digital platform with e-Citizens to expand access to citizens and civil society. Support regular exchange and learning events through active engagement of entity authorities and Associations of municipalities and cities. </w:t>
      </w:r>
      <w:r w:rsidR="00127AF5">
        <w:rPr>
          <w:rFonts w:ascii="Calibri" w:hAnsi="Calibri" w:cs="Calibri"/>
          <w:bCs/>
        </w:rPr>
        <w:t xml:space="preserve">An important element of the tailored capacity development for the LGs is the </w:t>
      </w:r>
      <w:r w:rsidR="00E10874" w:rsidRPr="00127AF5">
        <w:rPr>
          <w:rFonts w:ascii="Calibri" w:hAnsi="Calibri" w:cs="Calibri"/>
        </w:rPr>
        <w:t>Mentorship scheme to facilitate knowledge transfer, skill development, and professional growth among ‘MEG LGs’ and the newcomers.</w:t>
      </w:r>
    </w:p>
    <w:p w14:paraId="071DB1A4" w14:textId="77777777" w:rsidR="00127AF5" w:rsidRPr="00152A97" w:rsidRDefault="00127AF5" w:rsidP="00127AF5">
      <w:pPr>
        <w:pStyle w:val="ListParagraph"/>
        <w:spacing w:line="276" w:lineRule="auto"/>
        <w:ind w:left="360"/>
        <w:jc w:val="both"/>
        <w:rPr>
          <w:rFonts w:ascii="Calibri" w:hAnsi="Calibri" w:cs="Calibri"/>
        </w:rPr>
      </w:pPr>
    </w:p>
    <w:p w14:paraId="0F70CB3B" w14:textId="243FFB77" w:rsidR="00BB4CCB" w:rsidRPr="00C62483" w:rsidRDefault="00C62483" w:rsidP="00C62483">
      <w:pPr>
        <w:spacing w:line="276" w:lineRule="auto"/>
        <w:jc w:val="both"/>
        <w:rPr>
          <w:rFonts w:ascii="Calibri" w:hAnsi="Calibri" w:cs="Calibri"/>
        </w:rPr>
      </w:pPr>
      <w:r w:rsidRPr="00C62483">
        <w:rPr>
          <w:rFonts w:ascii="Calibri" w:hAnsi="Calibri" w:cs="Calibri"/>
          <w:b/>
          <w:i/>
          <w:color w:val="215E99" w:themeColor="text2" w:themeTint="BF"/>
          <w:lang w:val="en-US"/>
        </w:rPr>
        <w:lastRenderedPageBreak/>
        <w:t>3.</w:t>
      </w:r>
      <w:r>
        <w:rPr>
          <w:rFonts w:ascii="Calibri" w:hAnsi="Calibri" w:cs="Calibri"/>
        </w:rPr>
        <w:t xml:space="preserve"> </w:t>
      </w:r>
      <w:r w:rsidR="00326681" w:rsidRPr="00C62483">
        <w:rPr>
          <w:rFonts w:ascii="Calibri" w:hAnsi="Calibri" w:cs="Calibri"/>
          <w:b/>
          <w:i/>
          <w:color w:val="215E99" w:themeColor="text2" w:themeTint="BF"/>
          <w:lang w:val="en-US"/>
        </w:rPr>
        <w:t>(UNDP)</w:t>
      </w:r>
      <w:r w:rsidR="00326681" w:rsidRPr="00C62483">
        <w:rPr>
          <w:rFonts w:ascii="Calibri" w:hAnsi="Calibri" w:cs="Calibri"/>
          <w:color w:val="215E99" w:themeColor="text2" w:themeTint="BF"/>
          <w:lang w:val="en-US"/>
        </w:rPr>
        <w:t xml:space="preserve"> </w:t>
      </w:r>
      <w:r w:rsidR="00E10874" w:rsidRPr="00C62483">
        <w:rPr>
          <w:rFonts w:ascii="Calibri" w:hAnsi="Calibri" w:cs="Calibri"/>
          <w:b/>
          <w:color w:val="215E99" w:themeColor="text2" w:themeTint="BF"/>
        </w:rPr>
        <w:t>Finalize</w:t>
      </w:r>
      <w:r w:rsidR="00326681" w:rsidRPr="00C62483">
        <w:rPr>
          <w:rFonts w:ascii="Calibri" w:hAnsi="Calibri" w:cs="Calibri"/>
          <w:b/>
          <w:color w:val="215E99" w:themeColor="text2" w:themeTint="BF"/>
        </w:rPr>
        <w:t xml:space="preserve"> and i</w:t>
      </w:r>
      <w:r w:rsidR="00BB4CCB" w:rsidRPr="00C62483">
        <w:rPr>
          <w:rFonts w:ascii="Calibri" w:hAnsi="Calibri" w:cs="Calibri"/>
          <w:b/>
          <w:color w:val="215E99" w:themeColor="text2" w:themeTint="BF"/>
        </w:rPr>
        <w:t>nstitutionalize MEG products</w:t>
      </w:r>
      <w:r w:rsidR="00943736">
        <w:rPr>
          <w:rFonts w:ascii="Calibri" w:hAnsi="Calibri" w:cs="Calibri"/>
          <w:b/>
          <w:color w:val="215E99" w:themeColor="text2" w:themeTint="BF"/>
        </w:rPr>
        <w:t xml:space="preserve"> and trasfer MEG knowledge to the local institutions</w:t>
      </w:r>
      <w:r w:rsidR="00BB4CCB" w:rsidRPr="00C62483">
        <w:rPr>
          <w:rFonts w:ascii="Calibri" w:hAnsi="Calibri" w:cs="Calibri"/>
          <w:b/>
          <w:color w:val="215E99" w:themeColor="text2" w:themeTint="BF"/>
        </w:rPr>
        <w:t>:</w:t>
      </w:r>
      <w:r w:rsidR="00326681" w:rsidRPr="00C62483">
        <w:rPr>
          <w:rFonts w:ascii="Calibri" w:hAnsi="Calibri" w:cs="Calibri"/>
        </w:rPr>
        <w:t xml:space="preserve"> </w:t>
      </w:r>
      <w:r w:rsidR="00127AF5">
        <w:rPr>
          <w:rFonts w:ascii="Calibri" w:hAnsi="Calibri" w:cs="Calibri"/>
        </w:rPr>
        <w:t xml:space="preserve">Some reflections on the specifics of institutionalization of each MEG product include the following: </w:t>
      </w:r>
    </w:p>
    <w:p w14:paraId="753143EA" w14:textId="3D0906B9" w:rsidR="00BB4CCB" w:rsidRPr="005D6FA8" w:rsidRDefault="001F5342" w:rsidP="006C530E">
      <w:pPr>
        <w:pStyle w:val="ListParagraph"/>
        <w:numPr>
          <w:ilvl w:val="0"/>
          <w:numId w:val="46"/>
        </w:numPr>
        <w:spacing w:line="276" w:lineRule="auto"/>
        <w:jc w:val="both"/>
        <w:rPr>
          <w:rFonts w:ascii="Calibri" w:hAnsi="Calibri" w:cs="Calibri"/>
        </w:rPr>
      </w:pPr>
      <w:r>
        <w:rPr>
          <w:rFonts w:ascii="Calibri" w:hAnsi="Calibri" w:cs="Calibri"/>
        </w:rPr>
        <w:t>e</w:t>
      </w:r>
      <w:r w:rsidR="00DA3D9A" w:rsidRPr="005D6FA8">
        <w:rPr>
          <w:rFonts w:ascii="Calibri" w:hAnsi="Calibri" w:cs="Calibri"/>
        </w:rPr>
        <w:t>-</w:t>
      </w:r>
      <w:r w:rsidR="00BB4CCB" w:rsidRPr="005D6FA8">
        <w:rPr>
          <w:rFonts w:ascii="Calibri" w:hAnsi="Calibri" w:cs="Calibri"/>
        </w:rPr>
        <w:t xml:space="preserve">Citizens: provide maintenance funding for min 3 years after the closure of the MEG </w:t>
      </w:r>
      <w:r w:rsidR="00F54E62" w:rsidRPr="005D6FA8">
        <w:rPr>
          <w:rFonts w:ascii="Calibri" w:hAnsi="Calibri" w:cs="Calibri"/>
        </w:rPr>
        <w:t>programme</w:t>
      </w:r>
    </w:p>
    <w:p w14:paraId="7E074BA9" w14:textId="4C77EEC7" w:rsidR="00BB4CCB" w:rsidRPr="005D6FA8" w:rsidRDefault="00BB4CCB" w:rsidP="006C530E">
      <w:pPr>
        <w:pStyle w:val="ListParagraph"/>
        <w:numPr>
          <w:ilvl w:val="0"/>
          <w:numId w:val="46"/>
        </w:numPr>
        <w:spacing w:line="276" w:lineRule="auto"/>
        <w:jc w:val="both"/>
        <w:rPr>
          <w:rFonts w:ascii="Calibri" w:hAnsi="Calibri" w:cs="Calibri"/>
        </w:rPr>
      </w:pPr>
      <w:r w:rsidRPr="005D6FA8">
        <w:rPr>
          <w:rFonts w:ascii="Calibri" w:hAnsi="Calibri" w:cs="Calibri"/>
        </w:rPr>
        <w:t>Maintain the PMS to ensure best practices in LGs</w:t>
      </w:r>
      <w:r w:rsidR="00534961" w:rsidRPr="005D6FA8">
        <w:rPr>
          <w:rFonts w:ascii="Calibri" w:hAnsi="Calibri" w:cs="Calibri"/>
        </w:rPr>
        <w:t xml:space="preserve"> and as a benchmarking tool for the performance of the LGs</w:t>
      </w:r>
      <w:r w:rsidR="00F54E62" w:rsidRPr="005D6FA8">
        <w:rPr>
          <w:rFonts w:ascii="Calibri" w:hAnsi="Calibri" w:cs="Calibri"/>
        </w:rPr>
        <w:t xml:space="preserve"> and healthy competition</w:t>
      </w:r>
    </w:p>
    <w:p w14:paraId="04181C42" w14:textId="77F67C8A" w:rsidR="00E060E6" w:rsidRPr="005D6FA8" w:rsidRDefault="00E060E6" w:rsidP="006C530E">
      <w:pPr>
        <w:pStyle w:val="ListParagraph"/>
        <w:numPr>
          <w:ilvl w:val="0"/>
          <w:numId w:val="46"/>
        </w:numPr>
        <w:spacing w:line="276" w:lineRule="auto"/>
        <w:jc w:val="both"/>
        <w:rPr>
          <w:rFonts w:ascii="Calibri" w:hAnsi="Calibri" w:cs="Calibri"/>
        </w:rPr>
      </w:pPr>
      <w:r w:rsidRPr="005D6FA8">
        <w:rPr>
          <w:rFonts w:ascii="Calibri" w:hAnsi="Calibri" w:cs="Calibri"/>
        </w:rPr>
        <w:t>Strengthen PMS for LGs by integrating citizens’ perceptions of the LG’s performance (e.g. regarding LG’s integrity level)</w:t>
      </w:r>
    </w:p>
    <w:p w14:paraId="08C45900" w14:textId="30101BEA" w:rsidR="00326681" w:rsidRPr="005D6FA8" w:rsidRDefault="00E060E6" w:rsidP="006C530E">
      <w:pPr>
        <w:pStyle w:val="ListParagraph"/>
        <w:numPr>
          <w:ilvl w:val="0"/>
          <w:numId w:val="46"/>
        </w:numPr>
        <w:spacing w:line="276" w:lineRule="auto"/>
        <w:jc w:val="both"/>
        <w:rPr>
          <w:rFonts w:ascii="Calibri" w:hAnsi="Calibri" w:cs="Calibri"/>
        </w:rPr>
      </w:pPr>
      <w:r w:rsidRPr="005D6FA8">
        <w:rPr>
          <w:rFonts w:ascii="Calibri" w:hAnsi="Calibri" w:cs="Calibri"/>
        </w:rPr>
        <w:t>CAF4LG: implement solid ToT and create pool of independent CAF certified experts; ensure coaching from a specialized European partner</w:t>
      </w:r>
    </w:p>
    <w:p w14:paraId="004A027E" w14:textId="750BAEC1" w:rsidR="005D6FA8" w:rsidRDefault="00E060E6" w:rsidP="006C530E">
      <w:pPr>
        <w:pStyle w:val="ListParagraph"/>
        <w:numPr>
          <w:ilvl w:val="0"/>
          <w:numId w:val="46"/>
        </w:numPr>
        <w:spacing w:line="276" w:lineRule="auto"/>
        <w:jc w:val="both"/>
        <w:rPr>
          <w:rFonts w:ascii="Calibri" w:hAnsi="Calibri" w:cs="Calibri"/>
        </w:rPr>
      </w:pPr>
      <w:r w:rsidRPr="005D6FA8">
        <w:rPr>
          <w:rFonts w:ascii="Calibri" w:hAnsi="Calibri" w:cs="Calibri"/>
        </w:rPr>
        <w:t>Simplify the LG’s performance measurement and monitoring system, e.g. PMS, CAF4LGs</w:t>
      </w:r>
    </w:p>
    <w:p w14:paraId="7113A500" w14:textId="6C83330A" w:rsidR="00BB4CCB" w:rsidRPr="005D6FA8" w:rsidRDefault="00BB4CCB" w:rsidP="006C530E">
      <w:pPr>
        <w:pStyle w:val="ListParagraph"/>
        <w:numPr>
          <w:ilvl w:val="0"/>
          <w:numId w:val="46"/>
        </w:numPr>
        <w:spacing w:line="276" w:lineRule="auto"/>
        <w:jc w:val="both"/>
        <w:rPr>
          <w:rFonts w:ascii="Calibri" w:hAnsi="Calibri" w:cs="Calibri"/>
        </w:rPr>
      </w:pPr>
      <w:r w:rsidRPr="005D6FA8">
        <w:rPr>
          <w:rFonts w:ascii="Calibri" w:hAnsi="Calibri" w:cs="Calibri"/>
        </w:rPr>
        <w:t xml:space="preserve">All Capacity development materials: (i) explore how to integrate the CD materials in the </w:t>
      </w:r>
      <w:r w:rsidRPr="005D6FA8">
        <w:rPr>
          <w:rFonts w:ascii="Calibri" w:hAnsi="Calibri" w:cs="Calibri"/>
          <w:u w:val="single"/>
        </w:rPr>
        <w:t>mandates</w:t>
      </w:r>
      <w:r w:rsidRPr="005D6FA8">
        <w:rPr>
          <w:rFonts w:ascii="Calibri" w:hAnsi="Calibri" w:cs="Calibri"/>
        </w:rPr>
        <w:t xml:space="preserve"> of the respective entity authorities, while building the legal grounds for outsourcing facilitation of the instruments to the Associations of municipalities and cities in both entities; (ii) build capacities of the Associations of municipalities and cities in both entities to </w:t>
      </w:r>
      <w:r w:rsidRPr="005D6FA8">
        <w:rPr>
          <w:rFonts w:ascii="Calibri" w:hAnsi="Calibri" w:cs="Calibri"/>
          <w:u w:val="single"/>
        </w:rPr>
        <w:t xml:space="preserve">facilitate LGs in implementing </w:t>
      </w:r>
      <w:r w:rsidRPr="005D6FA8">
        <w:rPr>
          <w:rFonts w:ascii="Calibri" w:hAnsi="Calibri" w:cs="Calibri"/>
        </w:rPr>
        <w:t xml:space="preserve">those instruments. </w:t>
      </w:r>
    </w:p>
    <w:p w14:paraId="231B0ACF" w14:textId="77777777" w:rsidR="00E10874" w:rsidRPr="00326681" w:rsidRDefault="00E10874" w:rsidP="00E10874">
      <w:pPr>
        <w:pStyle w:val="ListParagraph"/>
        <w:spacing w:line="276" w:lineRule="auto"/>
        <w:ind w:left="1080"/>
        <w:jc w:val="both"/>
        <w:rPr>
          <w:rFonts w:ascii="Calibri" w:hAnsi="Calibri" w:cs="Calibri"/>
        </w:rPr>
      </w:pPr>
    </w:p>
    <w:p w14:paraId="6118851E" w14:textId="7D387B0C" w:rsidR="00E10874" w:rsidRPr="005D6FA8" w:rsidRDefault="00C62483" w:rsidP="00943736">
      <w:pPr>
        <w:spacing w:line="276" w:lineRule="auto"/>
        <w:jc w:val="both"/>
        <w:rPr>
          <w:rFonts w:ascii="Calibri" w:hAnsi="Calibri" w:cs="Calibri"/>
        </w:rPr>
      </w:pPr>
      <w:r>
        <w:rPr>
          <w:rFonts w:ascii="Calibri" w:hAnsi="Calibri" w:cs="Calibri"/>
          <w:b/>
          <w:color w:val="215E99" w:themeColor="text2" w:themeTint="BF"/>
        </w:rPr>
        <w:t xml:space="preserve">4. </w:t>
      </w:r>
      <w:r w:rsidR="00E10874" w:rsidRPr="00C62483">
        <w:rPr>
          <w:rFonts w:ascii="Calibri" w:hAnsi="Calibri" w:cs="Calibri"/>
          <w:b/>
          <w:color w:val="215E99" w:themeColor="text2" w:themeTint="BF"/>
        </w:rPr>
        <w:t>(UNDP) Expand MEG programme focus on water infrastructure development and procurement as precondition for transparent and effective infrastructure investments</w:t>
      </w:r>
      <w:r w:rsidR="00E00891">
        <w:rPr>
          <w:rFonts w:ascii="Calibri" w:hAnsi="Calibri" w:cs="Calibri"/>
          <w:b/>
          <w:color w:val="215E99" w:themeColor="text2" w:themeTint="BF"/>
        </w:rPr>
        <w:t xml:space="preserve">: </w:t>
      </w:r>
      <w:r w:rsidR="00943736">
        <w:rPr>
          <w:rFonts w:ascii="Calibri" w:hAnsi="Calibri" w:cs="Calibri"/>
          <w:bCs/>
          <w:color w:val="000000" w:themeColor="text1"/>
        </w:rPr>
        <w:t xml:space="preserve">To address this recommendation two distinct approaches would be required: (i) through exploring </w:t>
      </w:r>
      <w:r w:rsidR="00943736" w:rsidRPr="005D6FA8">
        <w:rPr>
          <w:rFonts w:ascii="Calibri" w:hAnsi="Calibri" w:cs="Calibri"/>
        </w:rPr>
        <w:t>water sector modernization by exploring and creating foundations for harmonization with the European Water Stewardship (EWS) Standards</w:t>
      </w:r>
      <w:r w:rsidR="00943736">
        <w:rPr>
          <w:rFonts w:ascii="Calibri" w:hAnsi="Calibri" w:cs="Calibri"/>
        </w:rPr>
        <w:t xml:space="preserve">; and (ii) through advocating and reaching strategic agrement with the WA partners on </w:t>
      </w:r>
      <w:r w:rsidR="00943736" w:rsidRPr="00C62483">
        <w:rPr>
          <w:rFonts w:ascii="Calibri" w:hAnsi="Calibri" w:cs="Calibri"/>
        </w:rPr>
        <w:t xml:space="preserve">linking access to water infrastructure funding for LGs to </w:t>
      </w:r>
      <w:r w:rsidR="00943736">
        <w:rPr>
          <w:rFonts w:ascii="Calibri" w:hAnsi="Calibri" w:cs="Calibri"/>
        </w:rPr>
        <w:t xml:space="preserve">the </w:t>
      </w:r>
      <w:r w:rsidR="00943736" w:rsidRPr="00C62483">
        <w:rPr>
          <w:rFonts w:ascii="Calibri" w:hAnsi="Calibri" w:cs="Calibri"/>
        </w:rPr>
        <w:t>adoption of the MEG package</w:t>
      </w:r>
      <w:r w:rsidR="00943736">
        <w:rPr>
          <w:rFonts w:ascii="Calibri" w:hAnsi="Calibri" w:cs="Calibri"/>
        </w:rPr>
        <w:t xml:space="preserve">. </w:t>
      </w:r>
    </w:p>
    <w:p w14:paraId="0D8D5252" w14:textId="77777777" w:rsidR="00E10874" w:rsidRPr="00E10874" w:rsidRDefault="00E10874" w:rsidP="00E10874">
      <w:pPr>
        <w:spacing w:line="276" w:lineRule="auto"/>
        <w:jc w:val="both"/>
        <w:rPr>
          <w:rFonts w:ascii="Calibri" w:hAnsi="Calibri" w:cs="Calibri"/>
          <w:lang w:val="en-US"/>
        </w:rPr>
      </w:pPr>
    </w:p>
    <w:p w14:paraId="2108E6B2" w14:textId="75D3ED00" w:rsidR="00C62483" w:rsidRPr="00127AF5" w:rsidRDefault="00C62483" w:rsidP="00C62483">
      <w:pPr>
        <w:spacing w:line="276" w:lineRule="auto"/>
        <w:jc w:val="both"/>
        <w:rPr>
          <w:rFonts w:ascii="Calibri" w:hAnsi="Calibri" w:cs="Calibri"/>
          <w:b/>
          <w:color w:val="215E99" w:themeColor="text2" w:themeTint="BF"/>
        </w:rPr>
      </w:pPr>
      <w:r w:rsidRPr="00C62483">
        <w:rPr>
          <w:rFonts w:ascii="Calibri" w:hAnsi="Calibri" w:cs="Calibri"/>
          <w:b/>
          <w:color w:val="215E99" w:themeColor="text2" w:themeTint="BF"/>
        </w:rPr>
        <w:t xml:space="preserve">5. </w:t>
      </w:r>
      <w:r w:rsidR="005D6FA8" w:rsidRPr="00C62483">
        <w:rPr>
          <w:rFonts w:ascii="Calibri" w:hAnsi="Calibri" w:cs="Calibri"/>
          <w:b/>
          <w:color w:val="215E99" w:themeColor="text2" w:themeTint="BF"/>
        </w:rPr>
        <w:t xml:space="preserve">(UNDP) Strengthen </w:t>
      </w:r>
      <w:r w:rsidRPr="00C62483">
        <w:rPr>
          <w:rFonts w:ascii="Calibri" w:hAnsi="Calibri" w:cs="Calibri"/>
          <w:b/>
          <w:color w:val="215E99" w:themeColor="text2" w:themeTint="BF"/>
        </w:rPr>
        <w:t xml:space="preserve">the focus on </w:t>
      </w:r>
      <w:r w:rsidR="005D6FA8" w:rsidRPr="00C62483">
        <w:rPr>
          <w:rFonts w:ascii="Calibri" w:hAnsi="Calibri" w:cs="Calibri"/>
          <w:b/>
          <w:color w:val="215E99" w:themeColor="text2" w:themeTint="BF"/>
        </w:rPr>
        <w:t>gender mainstreaming and LNOB</w:t>
      </w:r>
      <w:r w:rsidRPr="00C62483">
        <w:rPr>
          <w:rFonts w:ascii="Calibri" w:hAnsi="Calibri" w:cs="Calibri"/>
          <w:b/>
          <w:color w:val="215E99" w:themeColor="text2" w:themeTint="BF"/>
        </w:rPr>
        <w:t xml:space="preserve"> and strategically improve transparency and accountability of the local goverenance</w:t>
      </w:r>
      <w:r w:rsidR="00127AF5">
        <w:rPr>
          <w:rFonts w:ascii="Calibri" w:hAnsi="Calibri" w:cs="Calibri"/>
          <w:b/>
          <w:color w:val="215E99" w:themeColor="text2" w:themeTint="BF"/>
        </w:rPr>
        <w:t xml:space="preserve">. </w:t>
      </w:r>
      <w:r w:rsidR="00127AF5" w:rsidRPr="00127AF5">
        <w:rPr>
          <w:rFonts w:ascii="Calibri" w:hAnsi="Calibri" w:cs="Calibri"/>
          <w:bCs/>
          <w:color w:val="000000" w:themeColor="text1"/>
        </w:rPr>
        <w:t>This would require to</w:t>
      </w:r>
      <w:r w:rsidR="00127AF5" w:rsidRPr="00127AF5">
        <w:rPr>
          <w:rFonts w:ascii="Calibri" w:hAnsi="Calibri" w:cs="Calibri"/>
          <w:b/>
          <w:color w:val="000000" w:themeColor="text1"/>
        </w:rPr>
        <w:t xml:space="preserve"> </w:t>
      </w:r>
      <w:r w:rsidR="00127AF5">
        <w:rPr>
          <w:rFonts w:ascii="Calibri" w:hAnsi="Calibri" w:cs="Calibri"/>
        </w:rPr>
        <w:t>s</w:t>
      </w:r>
      <w:r w:rsidR="00BB4CCB" w:rsidRPr="00C62483">
        <w:rPr>
          <w:rFonts w:ascii="Calibri" w:hAnsi="Calibri" w:cs="Calibri"/>
        </w:rPr>
        <w:t>trategically engage with CSOs</w:t>
      </w:r>
      <w:r w:rsidR="000F3FFE" w:rsidRPr="00C62483">
        <w:rPr>
          <w:rFonts w:ascii="Calibri" w:hAnsi="Calibri" w:cs="Calibri"/>
        </w:rPr>
        <w:t xml:space="preserve"> </w:t>
      </w:r>
      <w:r w:rsidR="00BB4CCB" w:rsidRPr="00C62483">
        <w:rPr>
          <w:rFonts w:ascii="Calibri" w:hAnsi="Calibri" w:cs="Calibri"/>
        </w:rPr>
        <w:t>in both entities</w:t>
      </w:r>
      <w:r w:rsidR="000F3FFE" w:rsidRPr="00C62483">
        <w:rPr>
          <w:rFonts w:ascii="Calibri" w:hAnsi="Calibri" w:cs="Calibri"/>
        </w:rPr>
        <w:t>, especially those focused on gender equality, social protection, and youth inclusion,</w:t>
      </w:r>
      <w:r w:rsidR="00BB4CCB" w:rsidRPr="00C62483">
        <w:rPr>
          <w:rFonts w:ascii="Calibri" w:hAnsi="Calibri" w:cs="Calibri"/>
        </w:rPr>
        <w:t xml:space="preserve"> to strengthen consultative function of the MEG LGs but also to enhance the watchdog function of the end-users.</w:t>
      </w:r>
      <w:r w:rsidR="000F3FFE" w:rsidRPr="00C62483">
        <w:rPr>
          <w:rFonts w:ascii="Calibri" w:hAnsi="Calibri" w:cs="Calibri"/>
        </w:rPr>
        <w:t xml:space="preserve"> </w:t>
      </w:r>
      <w:r w:rsidR="00127AF5" w:rsidRPr="00127AF5">
        <w:rPr>
          <w:rFonts w:ascii="Calibri" w:hAnsi="Calibri" w:cs="Calibri"/>
          <w:bCs/>
          <w:color w:val="000000" w:themeColor="text1"/>
        </w:rPr>
        <w:t>Also, important to e</w:t>
      </w:r>
      <w:r w:rsidRPr="00127AF5">
        <w:rPr>
          <w:rFonts w:ascii="Calibri" w:hAnsi="Calibri" w:cs="Calibri"/>
          <w:bCs/>
          <w:color w:val="000000" w:themeColor="text1"/>
        </w:rPr>
        <w:t>nsure</w:t>
      </w:r>
      <w:r w:rsidRPr="00127AF5">
        <w:rPr>
          <w:rFonts w:ascii="Calibri" w:hAnsi="Calibri" w:cs="Calibri"/>
          <w:color w:val="000000" w:themeColor="text1"/>
        </w:rPr>
        <w:t xml:space="preserve"> </w:t>
      </w:r>
      <w:r>
        <w:rPr>
          <w:rFonts w:ascii="Calibri" w:hAnsi="Calibri" w:cs="Calibri"/>
        </w:rPr>
        <w:t>the next phase of the MEG programme is gender mainstreamed with strong focus on LNOB principle across its results chain and results framework.</w:t>
      </w:r>
      <w:r w:rsidR="00562C52">
        <w:rPr>
          <w:rFonts w:ascii="Calibri" w:hAnsi="Calibri" w:cs="Calibri"/>
        </w:rPr>
        <w:t xml:space="preserve"> Encourage</w:t>
      </w:r>
      <w:r w:rsidR="00562C52" w:rsidRPr="00127AF5">
        <w:rPr>
          <w:rFonts w:ascii="Calibri" w:hAnsi="Calibri" w:cs="Calibri"/>
        </w:rPr>
        <w:t xml:space="preserve"> competition within the MEG LGs but </w:t>
      </w:r>
      <w:r w:rsidR="00562C52">
        <w:rPr>
          <w:rFonts w:ascii="Calibri" w:hAnsi="Calibri" w:cs="Calibri"/>
        </w:rPr>
        <w:t xml:space="preserve">with the </w:t>
      </w:r>
      <w:r w:rsidR="00562C52" w:rsidRPr="00127AF5">
        <w:rPr>
          <w:rFonts w:ascii="Calibri" w:hAnsi="Calibri" w:cs="Calibri"/>
        </w:rPr>
        <w:t xml:space="preserve">focus on rewarding those LGs that made most progress vis-à-vis their latest performance. Importantly, award the </w:t>
      </w:r>
      <w:r w:rsidR="00562C52" w:rsidRPr="00127AF5">
        <w:rPr>
          <w:rFonts w:ascii="Calibri" w:hAnsi="Calibri" w:cs="Calibri"/>
          <w:u w:val="single"/>
        </w:rPr>
        <w:t>MEG team</w:t>
      </w:r>
      <w:r w:rsidR="00562C52" w:rsidRPr="00127AF5">
        <w:rPr>
          <w:rFonts w:ascii="Calibri" w:hAnsi="Calibri" w:cs="Calibri"/>
        </w:rPr>
        <w:t xml:space="preserve"> </w:t>
      </w:r>
      <w:r w:rsidR="006A1059">
        <w:rPr>
          <w:rFonts w:ascii="Calibri" w:hAnsi="Calibri" w:cs="Calibri"/>
        </w:rPr>
        <w:t xml:space="preserve">in the municipalities </w:t>
      </w:r>
      <w:r w:rsidR="00562C52" w:rsidRPr="00127AF5">
        <w:rPr>
          <w:rFonts w:ascii="Calibri" w:hAnsi="Calibri" w:cs="Calibri"/>
        </w:rPr>
        <w:t>with study-tours to learn from their peers in other countries.</w:t>
      </w:r>
    </w:p>
    <w:p w14:paraId="1FD480D3" w14:textId="77777777" w:rsidR="00E10874" w:rsidRDefault="00E10874" w:rsidP="00E10874">
      <w:pPr>
        <w:spacing w:line="276" w:lineRule="auto"/>
        <w:jc w:val="both"/>
        <w:rPr>
          <w:rFonts w:ascii="Calibri" w:hAnsi="Calibri" w:cs="Calibri"/>
        </w:rPr>
      </w:pPr>
    </w:p>
    <w:p w14:paraId="7E875571" w14:textId="443BF2DF" w:rsidR="00BB4CCB" w:rsidRPr="00101C05" w:rsidRDefault="00C62483" w:rsidP="00101C05">
      <w:pPr>
        <w:spacing w:line="276" w:lineRule="auto"/>
        <w:jc w:val="both"/>
        <w:rPr>
          <w:rFonts w:ascii="Calibri" w:hAnsi="Calibri" w:cs="Calibri"/>
          <w:bCs/>
          <w:color w:val="000000" w:themeColor="text1"/>
        </w:rPr>
      </w:pPr>
      <w:r>
        <w:rPr>
          <w:rFonts w:ascii="Calibri" w:hAnsi="Calibri" w:cs="Calibri"/>
          <w:b/>
          <w:color w:val="215E99" w:themeColor="text2" w:themeTint="BF"/>
        </w:rPr>
        <w:t xml:space="preserve">6. </w:t>
      </w:r>
      <w:r w:rsidR="00E10874" w:rsidRPr="00C62483">
        <w:rPr>
          <w:rFonts w:ascii="Calibri" w:hAnsi="Calibri" w:cs="Calibri"/>
          <w:b/>
          <w:color w:val="215E99" w:themeColor="text2" w:themeTint="BF"/>
        </w:rPr>
        <w:t>(UNDP)</w:t>
      </w:r>
      <w:r w:rsidR="00E10874" w:rsidRPr="00C62483">
        <w:rPr>
          <w:rFonts w:ascii="Calibri" w:hAnsi="Calibri" w:cs="Calibri"/>
          <w:color w:val="215E99" w:themeColor="text2" w:themeTint="BF"/>
        </w:rPr>
        <w:t xml:space="preserve"> </w:t>
      </w:r>
      <w:r w:rsidR="00E10874" w:rsidRPr="00C62483">
        <w:rPr>
          <w:rFonts w:ascii="Calibri" w:hAnsi="Calibri" w:cs="Calibri"/>
          <w:b/>
          <w:color w:val="215E99" w:themeColor="text2" w:themeTint="BF"/>
        </w:rPr>
        <w:t>Strengthen analytical function of the MEG programme</w:t>
      </w:r>
      <w:r w:rsidR="00101C05">
        <w:rPr>
          <w:rFonts w:ascii="Calibri" w:hAnsi="Calibri" w:cs="Calibri"/>
          <w:b/>
          <w:color w:val="215E99" w:themeColor="text2" w:themeTint="BF"/>
        </w:rPr>
        <w:t xml:space="preserve">: </w:t>
      </w:r>
      <w:r w:rsidR="00101C05">
        <w:rPr>
          <w:rFonts w:ascii="Calibri" w:hAnsi="Calibri" w:cs="Calibri"/>
          <w:bCs/>
          <w:color w:val="000000" w:themeColor="text1"/>
        </w:rPr>
        <w:t xml:space="preserve">This should include strengthening the MEG project staff capabilities for </w:t>
      </w:r>
      <w:r w:rsidR="00101C05" w:rsidRPr="00F569AE">
        <w:rPr>
          <w:rFonts w:ascii="Calibri" w:hAnsi="Calibri" w:cs="Calibri"/>
          <w:color w:val="000000" w:themeColor="text1"/>
        </w:rPr>
        <w:t>project monitoring</w:t>
      </w:r>
      <w:r w:rsidR="00101C05">
        <w:rPr>
          <w:rFonts w:ascii="Calibri" w:hAnsi="Calibri" w:cs="Calibri"/>
          <w:color w:val="000000" w:themeColor="text1"/>
        </w:rPr>
        <w:t>, risk assessment,</w:t>
      </w:r>
      <w:r w:rsidR="00101C05" w:rsidRPr="00F569AE">
        <w:rPr>
          <w:rFonts w:ascii="Calibri" w:hAnsi="Calibri" w:cs="Calibri"/>
          <w:color w:val="000000" w:themeColor="text1"/>
        </w:rPr>
        <w:t xml:space="preserve"> and learning capacities</w:t>
      </w:r>
      <w:r w:rsidR="00101C05">
        <w:rPr>
          <w:rFonts w:ascii="Calibri" w:hAnsi="Calibri" w:cs="Calibri"/>
          <w:color w:val="000000" w:themeColor="text1"/>
        </w:rPr>
        <w:t xml:space="preserve"> as well as S</w:t>
      </w:r>
      <w:r w:rsidR="00101C05" w:rsidRPr="00F569AE">
        <w:rPr>
          <w:rFonts w:ascii="Calibri" w:hAnsi="Calibri" w:cs="Calibri"/>
          <w:color w:val="000000" w:themeColor="text1"/>
        </w:rPr>
        <w:t xml:space="preserve">trengthen learning and strategic planning system around the MEG/EU4MEG project </w:t>
      </w:r>
      <w:r w:rsidR="00101C05">
        <w:rPr>
          <w:rFonts w:ascii="Calibri" w:hAnsi="Calibri" w:cs="Calibri"/>
          <w:color w:val="000000" w:themeColor="text1"/>
        </w:rPr>
        <w:t xml:space="preserve">and its next phase </w:t>
      </w:r>
      <w:r w:rsidR="00101C05" w:rsidRPr="00F569AE">
        <w:rPr>
          <w:rFonts w:ascii="Calibri" w:hAnsi="Calibri" w:cs="Calibri"/>
          <w:color w:val="000000" w:themeColor="text1"/>
        </w:rPr>
        <w:t>by integrating th</w:t>
      </w:r>
      <w:r w:rsidR="00101C05">
        <w:rPr>
          <w:rFonts w:ascii="Calibri" w:hAnsi="Calibri" w:cs="Calibri"/>
          <w:color w:val="000000" w:themeColor="text1"/>
        </w:rPr>
        <w:t>ese</w:t>
      </w:r>
      <w:r w:rsidR="00101C05" w:rsidRPr="00F569AE">
        <w:rPr>
          <w:rFonts w:ascii="Calibri" w:hAnsi="Calibri" w:cs="Calibri"/>
          <w:color w:val="000000" w:themeColor="text1"/>
        </w:rPr>
        <w:t xml:space="preserve"> function</w:t>
      </w:r>
      <w:r w:rsidR="00101C05">
        <w:rPr>
          <w:rFonts w:ascii="Calibri" w:hAnsi="Calibri" w:cs="Calibri"/>
          <w:color w:val="000000" w:themeColor="text1"/>
        </w:rPr>
        <w:t>s</w:t>
      </w:r>
      <w:r w:rsidR="00101C05" w:rsidRPr="00F569AE">
        <w:rPr>
          <w:rFonts w:ascii="Calibri" w:hAnsi="Calibri" w:cs="Calibri"/>
          <w:color w:val="000000" w:themeColor="text1"/>
        </w:rPr>
        <w:t xml:space="preserve"> into strategic </w:t>
      </w:r>
      <w:r w:rsidR="00101C05" w:rsidRPr="00F569AE">
        <w:rPr>
          <w:rFonts w:ascii="Calibri" w:hAnsi="Calibri" w:cs="Calibri"/>
          <w:color w:val="000000" w:themeColor="text1"/>
        </w:rPr>
        <w:lastRenderedPageBreak/>
        <w:t>planning of MEGIII project and to contribute to the portfolio level monitoring and learning.</w:t>
      </w:r>
      <w:r w:rsidR="00101C05">
        <w:rPr>
          <w:rFonts w:ascii="Calibri" w:hAnsi="Calibri" w:cs="Calibri"/>
          <w:color w:val="000000" w:themeColor="text1"/>
        </w:rPr>
        <w:t xml:space="preserve"> Importantly, to ensure adequate closure of the entire MEG programme, s</w:t>
      </w:r>
      <w:r w:rsidR="00797F30" w:rsidRPr="00F569AE">
        <w:rPr>
          <w:rFonts w:ascii="Calibri" w:hAnsi="Calibri" w:cs="Calibri"/>
          <w:color w:val="000000" w:themeColor="text1"/>
        </w:rPr>
        <w:t xml:space="preserve">tart </w:t>
      </w:r>
      <w:r w:rsidR="00BB4CCB" w:rsidRPr="00F569AE">
        <w:rPr>
          <w:rFonts w:ascii="Calibri" w:hAnsi="Calibri" w:cs="Calibri"/>
          <w:color w:val="000000" w:themeColor="text1"/>
        </w:rPr>
        <w:t>develop</w:t>
      </w:r>
      <w:r w:rsidR="00797F30" w:rsidRPr="00F569AE">
        <w:rPr>
          <w:rFonts w:ascii="Calibri" w:hAnsi="Calibri" w:cs="Calibri"/>
          <w:color w:val="000000" w:themeColor="text1"/>
        </w:rPr>
        <w:t>ing</w:t>
      </w:r>
      <w:r w:rsidR="00BB4CCB" w:rsidRPr="00F569AE">
        <w:rPr>
          <w:rFonts w:ascii="Calibri" w:hAnsi="Calibri" w:cs="Calibri"/>
          <w:color w:val="000000" w:themeColor="text1"/>
        </w:rPr>
        <w:t xml:space="preserve"> </w:t>
      </w:r>
      <w:r w:rsidR="009D2709" w:rsidRPr="00F569AE">
        <w:rPr>
          <w:rFonts w:ascii="Calibri" w:hAnsi="Calibri" w:cs="Calibri"/>
          <w:color w:val="000000" w:themeColor="text1"/>
        </w:rPr>
        <w:t xml:space="preserve">the </w:t>
      </w:r>
      <w:r w:rsidR="00BB4CCB" w:rsidRPr="00F569AE">
        <w:rPr>
          <w:rFonts w:ascii="Calibri" w:hAnsi="Calibri" w:cs="Calibri"/>
          <w:color w:val="000000" w:themeColor="text1"/>
        </w:rPr>
        <w:t xml:space="preserve">Sustainability and Exit Strategy </w:t>
      </w:r>
      <w:r w:rsidR="00797F30" w:rsidRPr="00F569AE">
        <w:rPr>
          <w:rFonts w:ascii="Calibri" w:hAnsi="Calibri" w:cs="Calibri"/>
          <w:color w:val="000000" w:themeColor="text1"/>
        </w:rPr>
        <w:t xml:space="preserve">at the early stages of the MEGIII, tailored to the specifics of </w:t>
      </w:r>
      <w:r w:rsidR="00BB4CCB" w:rsidRPr="00F569AE">
        <w:rPr>
          <w:rFonts w:ascii="Calibri" w:hAnsi="Calibri" w:cs="Calibri"/>
          <w:color w:val="000000" w:themeColor="text1"/>
        </w:rPr>
        <w:t xml:space="preserve">each partner </w:t>
      </w:r>
      <w:r w:rsidR="00797F30" w:rsidRPr="00F569AE">
        <w:rPr>
          <w:rFonts w:ascii="Calibri" w:hAnsi="Calibri" w:cs="Calibri"/>
          <w:color w:val="000000" w:themeColor="text1"/>
        </w:rPr>
        <w:t xml:space="preserve">LG with </w:t>
      </w:r>
      <w:r w:rsidR="00BB4CCB" w:rsidRPr="00F569AE">
        <w:rPr>
          <w:rFonts w:ascii="Calibri" w:hAnsi="Calibri" w:cs="Calibri"/>
          <w:color w:val="000000" w:themeColor="text1"/>
        </w:rPr>
        <w:t>indicat</w:t>
      </w:r>
      <w:r w:rsidR="00797F30" w:rsidRPr="00F569AE">
        <w:rPr>
          <w:rFonts w:ascii="Calibri" w:hAnsi="Calibri" w:cs="Calibri"/>
          <w:color w:val="000000" w:themeColor="text1"/>
        </w:rPr>
        <w:t>ion of</w:t>
      </w:r>
      <w:r w:rsidR="00BB4CCB" w:rsidRPr="00F569AE">
        <w:rPr>
          <w:rFonts w:ascii="Calibri" w:hAnsi="Calibri" w:cs="Calibri"/>
          <w:color w:val="000000" w:themeColor="text1"/>
        </w:rPr>
        <w:t xml:space="preserve"> risks (both treats and opportunities)</w:t>
      </w:r>
      <w:r w:rsidR="003C520A">
        <w:rPr>
          <w:rFonts w:ascii="Calibri" w:hAnsi="Calibri" w:cs="Calibri"/>
          <w:color w:val="000000" w:themeColor="text1"/>
        </w:rPr>
        <w:t xml:space="preserve"> and </w:t>
      </w:r>
      <w:r w:rsidR="00BB4CCB" w:rsidRPr="00F569AE">
        <w:rPr>
          <w:rFonts w:ascii="Calibri" w:hAnsi="Calibri" w:cs="Calibri"/>
          <w:color w:val="000000" w:themeColor="text1"/>
        </w:rPr>
        <w:t>mitigation measures</w:t>
      </w:r>
      <w:r w:rsidR="003C520A">
        <w:rPr>
          <w:rFonts w:ascii="Calibri" w:hAnsi="Calibri" w:cs="Calibri"/>
          <w:color w:val="000000" w:themeColor="text1"/>
        </w:rPr>
        <w:t xml:space="preserve"> and based on</w:t>
      </w:r>
      <w:r w:rsidR="009D2709" w:rsidRPr="00F569AE">
        <w:rPr>
          <w:rFonts w:ascii="Calibri" w:hAnsi="Calibri" w:cs="Calibri"/>
          <w:color w:val="000000" w:themeColor="text1"/>
        </w:rPr>
        <w:t xml:space="preserve"> analysis of the lessons developed.</w:t>
      </w:r>
    </w:p>
    <w:p w14:paraId="7A4FD4F7" w14:textId="77777777" w:rsidR="00E10874" w:rsidRPr="003C520A" w:rsidRDefault="00E10874" w:rsidP="00302637">
      <w:pPr>
        <w:spacing w:line="276" w:lineRule="auto"/>
        <w:jc w:val="both"/>
        <w:rPr>
          <w:rFonts w:ascii="Calibri" w:hAnsi="Calibri" w:cs="Calibri"/>
          <w:color w:val="000000" w:themeColor="text1"/>
          <w:lang w:val="en-US"/>
        </w:rPr>
      </w:pPr>
    </w:p>
    <w:p w14:paraId="73C6CA2E" w14:textId="795B5189" w:rsidR="005D6FA8" w:rsidRPr="00000669" w:rsidRDefault="00C62483" w:rsidP="00000669">
      <w:pPr>
        <w:spacing w:line="276" w:lineRule="auto"/>
        <w:jc w:val="both"/>
        <w:rPr>
          <w:rFonts w:ascii="Calibri" w:hAnsi="Calibri" w:cs="Calibri"/>
          <w:b/>
          <w:color w:val="215E99" w:themeColor="text2" w:themeTint="BF"/>
        </w:rPr>
      </w:pPr>
      <w:r>
        <w:rPr>
          <w:rFonts w:ascii="Calibri" w:hAnsi="Calibri" w:cs="Calibri"/>
          <w:b/>
          <w:color w:val="215E99" w:themeColor="text2" w:themeTint="BF"/>
        </w:rPr>
        <w:t xml:space="preserve">7. </w:t>
      </w:r>
      <w:r w:rsidR="005D6FA8" w:rsidRPr="00C62483">
        <w:rPr>
          <w:rFonts w:ascii="Calibri" w:hAnsi="Calibri" w:cs="Calibri"/>
          <w:b/>
          <w:color w:val="215E99" w:themeColor="text2" w:themeTint="BF"/>
        </w:rPr>
        <w:t>(UNDP) Strengthen focus on generational knowledge transfer</w:t>
      </w:r>
      <w:r w:rsidR="00000669">
        <w:rPr>
          <w:rFonts w:ascii="Calibri" w:hAnsi="Calibri" w:cs="Calibri"/>
          <w:b/>
          <w:color w:val="215E99" w:themeColor="text2" w:themeTint="BF"/>
        </w:rPr>
        <w:t xml:space="preserve">: </w:t>
      </w:r>
      <w:r w:rsidR="005D6FA8" w:rsidRPr="00C62483">
        <w:rPr>
          <w:rFonts w:ascii="Calibri" w:hAnsi="Calibri" w:cs="Calibri"/>
          <w:b/>
          <w:color w:val="215E99" w:themeColor="text2" w:themeTint="BF"/>
        </w:rPr>
        <w:t xml:space="preserve"> </w:t>
      </w:r>
      <w:r w:rsidR="005D6FA8" w:rsidRPr="00000669">
        <w:rPr>
          <w:rFonts w:ascii="Calibri" w:hAnsi="Calibri" w:cs="Calibri"/>
        </w:rPr>
        <w:t xml:space="preserve">Specifically, complete institutionalization and operationalization of the Water Academy under Water Utility professional associations in both utilities with strong mandate to </w:t>
      </w:r>
      <w:r w:rsidR="005D6FA8" w:rsidRPr="00000669">
        <w:rPr>
          <w:rFonts w:ascii="Calibri" w:hAnsi="Calibri" w:cs="Calibri"/>
          <w:i/>
        </w:rPr>
        <w:t xml:space="preserve">inter alia </w:t>
      </w:r>
      <w:r w:rsidR="005D6FA8" w:rsidRPr="00000669">
        <w:rPr>
          <w:rFonts w:ascii="Calibri" w:hAnsi="Calibri" w:cs="Calibri"/>
        </w:rPr>
        <w:t>creating and implementing certificate</w:t>
      </w:r>
      <w:r w:rsidR="00152A97" w:rsidRPr="00000669">
        <w:rPr>
          <w:rFonts w:ascii="Calibri" w:hAnsi="Calibri" w:cs="Calibri"/>
        </w:rPr>
        <w:t>-based</w:t>
      </w:r>
      <w:r w:rsidR="005D6FA8" w:rsidRPr="00000669">
        <w:rPr>
          <w:rFonts w:ascii="Calibri" w:hAnsi="Calibri" w:cs="Calibri"/>
        </w:rPr>
        <w:t xml:space="preserve"> </w:t>
      </w:r>
      <w:r w:rsidR="00152A97" w:rsidRPr="00000669">
        <w:rPr>
          <w:rFonts w:ascii="Calibri" w:hAnsi="Calibri" w:cs="Calibri"/>
        </w:rPr>
        <w:t>vocational trainings</w:t>
      </w:r>
      <w:r w:rsidR="005D6FA8" w:rsidRPr="00000669">
        <w:rPr>
          <w:rFonts w:ascii="Calibri" w:hAnsi="Calibri" w:cs="Calibri"/>
        </w:rPr>
        <w:t xml:space="preserve">; professional vetting system; merit-based promotion within WUCs, and such. </w:t>
      </w:r>
    </w:p>
    <w:p w14:paraId="67D865D0" w14:textId="77777777" w:rsidR="005D6FA8" w:rsidRPr="005D6FA8" w:rsidRDefault="005D6FA8" w:rsidP="005D6FA8">
      <w:pPr>
        <w:pStyle w:val="ListParagraph"/>
        <w:spacing w:line="276" w:lineRule="auto"/>
        <w:jc w:val="both"/>
        <w:rPr>
          <w:rFonts w:ascii="Calibri" w:hAnsi="Calibri" w:cs="Calibri"/>
          <w:color w:val="000000" w:themeColor="text1"/>
        </w:rPr>
      </w:pPr>
    </w:p>
    <w:p w14:paraId="7EA2535A" w14:textId="37B3F2F0" w:rsidR="006E2ECA" w:rsidRPr="00000669" w:rsidRDefault="00C62483" w:rsidP="00000669">
      <w:pPr>
        <w:spacing w:line="276" w:lineRule="auto"/>
        <w:jc w:val="both"/>
        <w:rPr>
          <w:rFonts w:ascii="Calibri" w:hAnsi="Calibri" w:cs="Calibri"/>
          <w:color w:val="000000" w:themeColor="text1"/>
        </w:rPr>
      </w:pPr>
      <w:r>
        <w:rPr>
          <w:rFonts w:ascii="Calibri" w:hAnsi="Calibri" w:cs="Calibri"/>
          <w:b/>
          <w:i/>
          <w:color w:val="215E99" w:themeColor="text2" w:themeTint="BF"/>
          <w:lang w:val="en-US"/>
        </w:rPr>
        <w:t xml:space="preserve">8. </w:t>
      </w:r>
      <w:r w:rsidR="00E10874" w:rsidRPr="00C62483">
        <w:rPr>
          <w:rFonts w:ascii="Calibri" w:hAnsi="Calibri" w:cs="Calibri"/>
          <w:b/>
          <w:i/>
          <w:color w:val="215E99" w:themeColor="text2" w:themeTint="BF"/>
          <w:lang w:val="en-US"/>
        </w:rPr>
        <w:t>(</w:t>
      </w:r>
      <w:r w:rsidR="00EE15EB">
        <w:rPr>
          <w:rFonts w:ascii="Calibri" w:hAnsi="Calibri" w:cs="Calibri"/>
          <w:b/>
          <w:i/>
          <w:color w:val="215E99" w:themeColor="text2" w:themeTint="BF"/>
          <w:lang w:val="en-US"/>
        </w:rPr>
        <w:t>Project Board</w:t>
      </w:r>
      <w:r w:rsidR="00E10874" w:rsidRPr="00C62483">
        <w:rPr>
          <w:rFonts w:ascii="Calibri" w:hAnsi="Calibri" w:cs="Calibri"/>
          <w:b/>
          <w:i/>
          <w:color w:val="215E99" w:themeColor="text2" w:themeTint="BF"/>
          <w:lang w:val="en-US"/>
        </w:rPr>
        <w:t>)</w:t>
      </w:r>
      <w:r w:rsidR="00E10874" w:rsidRPr="00C62483">
        <w:rPr>
          <w:rFonts w:ascii="Calibri" w:hAnsi="Calibri" w:cs="Calibri"/>
          <w:b/>
          <w:i/>
          <w:color w:val="215E99" w:themeColor="text2" w:themeTint="BF"/>
        </w:rPr>
        <w:t xml:space="preserve"> Strengthen the oversight function of the Project</w:t>
      </w:r>
      <w:r w:rsidR="00000669">
        <w:rPr>
          <w:rFonts w:ascii="Calibri" w:hAnsi="Calibri" w:cs="Calibri"/>
          <w:b/>
          <w:i/>
          <w:color w:val="215E99" w:themeColor="text2" w:themeTint="BF"/>
        </w:rPr>
        <w:t xml:space="preserve">: </w:t>
      </w:r>
      <w:r w:rsidR="00000669">
        <w:rPr>
          <w:rFonts w:ascii="Calibri" w:hAnsi="Calibri" w:cs="Calibri"/>
          <w:bCs/>
          <w:iCs/>
          <w:color w:val="000000" w:themeColor="text1"/>
        </w:rPr>
        <w:t xml:space="preserve">This entailes a distinct focus to strengthen the </w:t>
      </w:r>
      <w:r w:rsidR="00E10874" w:rsidRPr="00000669">
        <w:rPr>
          <w:rFonts w:ascii="Calibri" w:hAnsi="Calibri" w:cs="Calibri"/>
          <w:color w:val="000000" w:themeColor="text1"/>
        </w:rPr>
        <w:t>role of the Project Board in learning, monitoring, and risk management and therefore, heightened accountability over project strategic decision-making and results.</w:t>
      </w:r>
      <w:r w:rsidR="00000669">
        <w:rPr>
          <w:rFonts w:ascii="Calibri" w:hAnsi="Calibri" w:cs="Calibri"/>
          <w:color w:val="000000" w:themeColor="text1"/>
        </w:rPr>
        <w:t xml:space="preserve"> The Project Bord would benefit from active engagement of the </w:t>
      </w:r>
      <w:r w:rsidR="006E2ECA" w:rsidRPr="00000669">
        <w:rPr>
          <w:rFonts w:ascii="Calibri" w:hAnsi="Calibri" w:cs="Calibri"/>
          <w:color w:val="000000" w:themeColor="text1"/>
        </w:rPr>
        <w:t xml:space="preserve">Mayors </w:t>
      </w:r>
      <w:r w:rsidR="00000669">
        <w:rPr>
          <w:rFonts w:ascii="Calibri" w:hAnsi="Calibri" w:cs="Calibri"/>
          <w:color w:val="000000" w:themeColor="text1"/>
        </w:rPr>
        <w:t xml:space="preserve">in the project stearing </w:t>
      </w:r>
      <w:r w:rsidR="006E2ECA" w:rsidRPr="00000669">
        <w:rPr>
          <w:rFonts w:ascii="Calibri" w:hAnsi="Calibri" w:cs="Calibri"/>
          <w:color w:val="000000" w:themeColor="text1"/>
        </w:rPr>
        <w:t>to ensure strong oversight and incentives for the project implementation within each partner municipality.</w:t>
      </w:r>
    </w:p>
    <w:p w14:paraId="2E417268" w14:textId="77777777" w:rsidR="005D270D" w:rsidRPr="00E10874" w:rsidRDefault="005D270D" w:rsidP="00E10874">
      <w:pPr>
        <w:rPr>
          <w:rFonts w:ascii="Calibri" w:eastAsiaTheme="majorEastAsia" w:hAnsi="Calibri" w:cs="Calibri"/>
          <w:color w:val="0F4761" w:themeColor="accent1" w:themeShade="BF"/>
          <w:sz w:val="40"/>
          <w:szCs w:val="40"/>
          <w:lang w:val="en-US"/>
        </w:rPr>
      </w:pPr>
    </w:p>
    <w:p w14:paraId="65A15FA7" w14:textId="641FAF9A" w:rsidR="007055B5" w:rsidRPr="00F569AE" w:rsidRDefault="00A0025F" w:rsidP="0033780B">
      <w:pPr>
        <w:pStyle w:val="Heading1"/>
        <w:numPr>
          <w:ilvl w:val="0"/>
          <w:numId w:val="1"/>
        </w:numPr>
        <w:rPr>
          <w:rFonts w:ascii="Calibri" w:hAnsi="Calibri" w:cs="Calibri"/>
        </w:rPr>
      </w:pPr>
      <w:bookmarkStart w:id="206" w:name="_Toc210058534"/>
      <w:r w:rsidRPr="00F569AE">
        <w:rPr>
          <w:rFonts w:ascii="Calibri" w:hAnsi="Calibri" w:cs="Calibri"/>
        </w:rPr>
        <w:t>LESSONS LEARNED</w:t>
      </w:r>
      <w:bookmarkEnd w:id="206"/>
    </w:p>
    <w:p w14:paraId="314F4F14" w14:textId="27109C78" w:rsidR="0009008E" w:rsidRDefault="00367F45" w:rsidP="00114F52">
      <w:pPr>
        <w:spacing w:line="276" w:lineRule="auto"/>
        <w:jc w:val="both"/>
        <w:rPr>
          <w:rFonts w:ascii="Calibri" w:hAnsi="Calibri" w:cs="Calibri"/>
          <w:lang w:val="en-US"/>
        </w:rPr>
      </w:pPr>
      <w:r>
        <w:rPr>
          <w:rFonts w:ascii="Calibri" w:hAnsi="Calibri" w:cs="Calibri"/>
          <w:lang w:val="en-US"/>
        </w:rPr>
        <w:t xml:space="preserve">Throughout the entire MEG/EU4MRG project implementation there were multiple lessons identified that were relevant for the specific periods, for the specific cases, or stakeholders. The list of lessons learned below reflects those indicated by the stakeholders interviewed at the final stage of the project implementation and considered relevant to inform the next planning cycle of the MEG Programme. </w:t>
      </w:r>
    </w:p>
    <w:p w14:paraId="0266B86B" w14:textId="77777777" w:rsidR="008841F5" w:rsidRDefault="008841F5" w:rsidP="00114F52">
      <w:pPr>
        <w:spacing w:line="276" w:lineRule="auto"/>
        <w:jc w:val="both"/>
        <w:rPr>
          <w:rFonts w:ascii="Calibri" w:hAnsi="Calibri" w:cs="Calibri"/>
          <w:lang w:val="en-US"/>
        </w:rPr>
      </w:pPr>
    </w:p>
    <w:p w14:paraId="39B46336" w14:textId="77777777" w:rsidR="008841F5" w:rsidRDefault="008841F5" w:rsidP="00114F52">
      <w:pPr>
        <w:spacing w:line="276" w:lineRule="auto"/>
        <w:jc w:val="both"/>
        <w:rPr>
          <w:rFonts w:ascii="Calibri" w:hAnsi="Calibri" w:cs="Calibri"/>
          <w:lang w:val="en-US"/>
        </w:rPr>
      </w:pPr>
    </w:p>
    <w:p w14:paraId="3A6882E8" w14:textId="0C39FDE6" w:rsidR="005D270D" w:rsidRPr="005D270D" w:rsidRDefault="005D270D" w:rsidP="00114F52">
      <w:pPr>
        <w:spacing w:line="276" w:lineRule="auto"/>
        <w:jc w:val="both"/>
        <w:rPr>
          <w:rFonts w:ascii="Calibri" w:hAnsi="Calibri" w:cs="Calibri"/>
          <w:b/>
          <w:i/>
          <w:lang w:val="en-US"/>
        </w:rPr>
      </w:pPr>
      <w:r w:rsidRPr="005D270D">
        <w:rPr>
          <w:rFonts w:ascii="Calibri" w:hAnsi="Calibri" w:cs="Calibri"/>
          <w:b/>
          <w:i/>
          <w:lang w:val="en-US"/>
        </w:rPr>
        <w:t>Political support</w:t>
      </w:r>
    </w:p>
    <w:p w14:paraId="57C00E4C" w14:textId="59B86CEE" w:rsidR="00840509" w:rsidRPr="00F569AE" w:rsidRDefault="00E36B9B" w:rsidP="0033780B">
      <w:pPr>
        <w:pStyle w:val="p1"/>
        <w:numPr>
          <w:ilvl w:val="0"/>
          <w:numId w:val="23"/>
        </w:numPr>
        <w:spacing w:line="276" w:lineRule="auto"/>
        <w:jc w:val="both"/>
        <w:rPr>
          <w:rFonts w:ascii="Calibri" w:hAnsi="Calibri" w:cs="Calibri"/>
          <w:sz w:val="24"/>
          <w:szCs w:val="24"/>
        </w:rPr>
      </w:pPr>
      <w:r w:rsidRPr="005A1E99">
        <w:rPr>
          <w:rFonts w:ascii="Calibri" w:hAnsi="Calibri" w:cs="Calibri"/>
          <w:b/>
          <w:i/>
          <w:sz w:val="24"/>
          <w:szCs w:val="24"/>
        </w:rPr>
        <w:t xml:space="preserve">If </w:t>
      </w:r>
      <w:r w:rsidRPr="00F569AE">
        <w:rPr>
          <w:rFonts w:ascii="Calibri" w:hAnsi="Calibri" w:cs="Calibri"/>
          <w:sz w:val="24"/>
          <w:szCs w:val="24"/>
        </w:rPr>
        <w:t xml:space="preserve">there is </w:t>
      </w:r>
      <w:r w:rsidR="00367F45">
        <w:rPr>
          <w:rFonts w:ascii="Calibri" w:hAnsi="Calibri" w:cs="Calibri"/>
          <w:sz w:val="24"/>
          <w:szCs w:val="24"/>
        </w:rPr>
        <w:t xml:space="preserve">a </w:t>
      </w:r>
      <w:r w:rsidR="00114F52" w:rsidRPr="00F569AE">
        <w:rPr>
          <w:rFonts w:ascii="Calibri" w:hAnsi="Calibri" w:cs="Calibri"/>
          <w:sz w:val="24"/>
          <w:szCs w:val="24"/>
        </w:rPr>
        <w:t xml:space="preserve">strong </w:t>
      </w:r>
      <w:r w:rsidRPr="00F569AE">
        <w:rPr>
          <w:rFonts w:ascii="Calibri" w:hAnsi="Calibri" w:cs="Calibri"/>
          <w:sz w:val="24"/>
          <w:szCs w:val="24"/>
        </w:rPr>
        <w:t xml:space="preserve">support from the Mayor, </w:t>
      </w:r>
      <w:r w:rsidRPr="005A1E99">
        <w:rPr>
          <w:rFonts w:ascii="Calibri" w:hAnsi="Calibri" w:cs="Calibri"/>
          <w:b/>
          <w:i/>
          <w:sz w:val="24"/>
          <w:szCs w:val="24"/>
        </w:rPr>
        <w:t>then</w:t>
      </w:r>
      <w:r w:rsidRPr="00F569AE">
        <w:rPr>
          <w:rFonts w:ascii="Calibri" w:hAnsi="Calibri" w:cs="Calibri"/>
          <w:sz w:val="24"/>
          <w:szCs w:val="24"/>
        </w:rPr>
        <w:t xml:space="preserve"> the project implementation goes smoothly and the LG’s staff is mobilized to cooperate with the project. </w:t>
      </w:r>
    </w:p>
    <w:p w14:paraId="675C2538" w14:textId="29255E39" w:rsidR="00D64965" w:rsidRPr="00F569AE" w:rsidRDefault="00D64965" w:rsidP="0033780B">
      <w:pPr>
        <w:pStyle w:val="p1"/>
        <w:numPr>
          <w:ilvl w:val="0"/>
          <w:numId w:val="23"/>
        </w:numPr>
        <w:spacing w:line="276" w:lineRule="auto"/>
        <w:ind w:left="714" w:hanging="357"/>
        <w:jc w:val="both"/>
        <w:rPr>
          <w:rFonts w:ascii="Calibri" w:hAnsi="Calibri" w:cs="Calibri"/>
          <w:sz w:val="24"/>
          <w:szCs w:val="24"/>
        </w:rPr>
      </w:pPr>
      <w:r w:rsidRPr="005A1E99">
        <w:rPr>
          <w:rFonts w:ascii="Calibri" w:hAnsi="Calibri" w:cs="Calibri"/>
          <w:b/>
          <w:i/>
          <w:sz w:val="24"/>
          <w:szCs w:val="24"/>
        </w:rPr>
        <w:t xml:space="preserve">If </w:t>
      </w:r>
      <w:r w:rsidRPr="00F569AE">
        <w:rPr>
          <w:rFonts w:ascii="Calibri" w:hAnsi="Calibri" w:cs="Calibri"/>
          <w:sz w:val="24"/>
          <w:szCs w:val="24"/>
        </w:rPr>
        <w:t xml:space="preserve">the Mayor and majority of the Assembly belong to different political forces, </w:t>
      </w:r>
      <w:r w:rsidRPr="005A1E99">
        <w:rPr>
          <w:rFonts w:ascii="Calibri" w:hAnsi="Calibri" w:cs="Calibri"/>
          <w:b/>
          <w:i/>
          <w:sz w:val="24"/>
          <w:szCs w:val="24"/>
        </w:rPr>
        <w:t>the</w:t>
      </w:r>
      <w:r w:rsidR="005A1E99">
        <w:rPr>
          <w:rFonts w:ascii="Calibri" w:hAnsi="Calibri" w:cs="Calibri"/>
          <w:b/>
          <w:i/>
          <w:sz w:val="24"/>
          <w:szCs w:val="24"/>
        </w:rPr>
        <w:t xml:space="preserve">n </w:t>
      </w:r>
      <w:r w:rsidR="005A1E99">
        <w:rPr>
          <w:rFonts w:ascii="Calibri" w:hAnsi="Calibri" w:cs="Calibri"/>
          <w:sz w:val="24"/>
          <w:szCs w:val="24"/>
        </w:rPr>
        <w:t>the</w:t>
      </w:r>
      <w:r w:rsidRPr="00F569AE">
        <w:rPr>
          <w:rFonts w:ascii="Calibri" w:hAnsi="Calibri" w:cs="Calibri"/>
          <w:sz w:val="24"/>
          <w:szCs w:val="24"/>
        </w:rPr>
        <w:t xml:space="preserve"> complex political context impacts operational work and smooth adoption of strategic decisions</w:t>
      </w:r>
      <w:r w:rsidR="00367F45">
        <w:rPr>
          <w:rFonts w:ascii="Calibri" w:hAnsi="Calibri" w:cs="Calibri"/>
          <w:sz w:val="24"/>
          <w:szCs w:val="24"/>
        </w:rPr>
        <w:t xml:space="preserve"> including those related</w:t>
      </w:r>
      <w:r w:rsidRPr="00F569AE">
        <w:rPr>
          <w:rFonts w:ascii="Calibri" w:hAnsi="Calibri" w:cs="Calibri"/>
          <w:sz w:val="24"/>
          <w:szCs w:val="24"/>
        </w:rPr>
        <w:t xml:space="preserve"> to water sector modernization</w:t>
      </w:r>
      <w:r w:rsidR="006E2ECA">
        <w:rPr>
          <w:rFonts w:ascii="Calibri" w:hAnsi="Calibri" w:cs="Calibri"/>
          <w:sz w:val="24"/>
          <w:szCs w:val="24"/>
        </w:rPr>
        <w:t xml:space="preserve">. </w:t>
      </w:r>
    </w:p>
    <w:p w14:paraId="46576D56" w14:textId="2DDC6481" w:rsidR="00E36B9B" w:rsidRDefault="00E36B9B" w:rsidP="0033780B">
      <w:pPr>
        <w:pStyle w:val="p1"/>
        <w:numPr>
          <w:ilvl w:val="0"/>
          <w:numId w:val="23"/>
        </w:numPr>
        <w:spacing w:line="276" w:lineRule="auto"/>
        <w:ind w:left="714" w:hanging="357"/>
        <w:jc w:val="both"/>
        <w:rPr>
          <w:rFonts w:ascii="Calibri" w:hAnsi="Calibri" w:cs="Calibri"/>
          <w:sz w:val="24"/>
          <w:szCs w:val="24"/>
        </w:rPr>
      </w:pPr>
      <w:r w:rsidRPr="005A1E99">
        <w:rPr>
          <w:rFonts w:ascii="Calibri" w:hAnsi="Calibri" w:cs="Calibri"/>
          <w:b/>
          <w:i/>
          <w:sz w:val="24"/>
          <w:szCs w:val="24"/>
        </w:rPr>
        <w:t xml:space="preserve">If </w:t>
      </w:r>
      <w:r w:rsidRPr="005A1E99">
        <w:rPr>
          <w:rFonts w:ascii="Calibri" w:hAnsi="Calibri" w:cs="Calibri"/>
          <w:sz w:val="24"/>
          <w:szCs w:val="24"/>
        </w:rPr>
        <w:t>there</w:t>
      </w:r>
      <w:r w:rsidRPr="00F569AE">
        <w:rPr>
          <w:rFonts w:ascii="Calibri" w:hAnsi="Calibri" w:cs="Calibri"/>
          <w:sz w:val="24"/>
          <w:szCs w:val="24"/>
        </w:rPr>
        <w:t xml:space="preserve"> is no strong push from the Mayor, </w:t>
      </w:r>
      <w:r w:rsidR="005A1E99" w:rsidRPr="005A1E99">
        <w:rPr>
          <w:rFonts w:ascii="Calibri" w:hAnsi="Calibri" w:cs="Calibri"/>
          <w:b/>
          <w:i/>
          <w:sz w:val="24"/>
          <w:szCs w:val="24"/>
        </w:rPr>
        <w:t>the</w:t>
      </w:r>
      <w:r w:rsidR="005A1E99">
        <w:rPr>
          <w:rFonts w:ascii="Calibri" w:hAnsi="Calibri" w:cs="Calibri"/>
          <w:b/>
          <w:i/>
          <w:sz w:val="24"/>
          <w:szCs w:val="24"/>
        </w:rPr>
        <w:t xml:space="preserve">n </w:t>
      </w:r>
      <w:r w:rsidR="005A1E99">
        <w:rPr>
          <w:rFonts w:ascii="Calibri" w:hAnsi="Calibri" w:cs="Calibri"/>
          <w:sz w:val="24"/>
          <w:szCs w:val="24"/>
        </w:rPr>
        <w:t>the</w:t>
      </w:r>
      <w:r w:rsidRPr="00F569AE">
        <w:rPr>
          <w:rFonts w:ascii="Calibri" w:hAnsi="Calibri" w:cs="Calibri"/>
          <w:sz w:val="24"/>
          <w:szCs w:val="24"/>
        </w:rPr>
        <w:t xml:space="preserve"> staff of the partner LGs has no incentives to go extra mile by </w:t>
      </w:r>
      <w:r w:rsidR="00114F52" w:rsidRPr="00F569AE">
        <w:rPr>
          <w:rFonts w:ascii="Calibri" w:hAnsi="Calibri" w:cs="Calibri"/>
          <w:sz w:val="24"/>
          <w:szCs w:val="24"/>
        </w:rPr>
        <w:t xml:space="preserve">embarking on significant </w:t>
      </w:r>
      <w:r w:rsidR="007F3A60" w:rsidRPr="00F569AE">
        <w:rPr>
          <w:rFonts w:ascii="Calibri" w:hAnsi="Calibri" w:cs="Calibri"/>
          <w:sz w:val="24"/>
          <w:szCs w:val="24"/>
        </w:rPr>
        <w:t>reform process</w:t>
      </w:r>
      <w:r w:rsidR="00114F52" w:rsidRPr="00F569AE">
        <w:rPr>
          <w:rFonts w:ascii="Calibri" w:hAnsi="Calibri" w:cs="Calibri"/>
          <w:sz w:val="24"/>
          <w:szCs w:val="24"/>
        </w:rPr>
        <w:t xml:space="preserve"> within their municipalities</w:t>
      </w:r>
      <w:r w:rsidR="00367F45">
        <w:rPr>
          <w:rFonts w:ascii="Calibri" w:hAnsi="Calibri" w:cs="Calibri"/>
          <w:sz w:val="24"/>
          <w:szCs w:val="24"/>
        </w:rPr>
        <w:t xml:space="preserve"> (e.g. specific example is the CAF – the municipal staff has no incentive to engage in additional processes being already overburdened with their daily routine)</w:t>
      </w:r>
      <w:r w:rsidR="00114F52" w:rsidRPr="00F569AE">
        <w:rPr>
          <w:rFonts w:ascii="Calibri" w:hAnsi="Calibri" w:cs="Calibri"/>
          <w:sz w:val="24"/>
          <w:szCs w:val="24"/>
        </w:rPr>
        <w:t xml:space="preserve">. </w:t>
      </w:r>
    </w:p>
    <w:p w14:paraId="2A057002" w14:textId="77777777" w:rsidR="005D270D" w:rsidRDefault="005D270D" w:rsidP="005D270D">
      <w:pPr>
        <w:pStyle w:val="p1"/>
        <w:spacing w:line="276" w:lineRule="auto"/>
        <w:jc w:val="both"/>
        <w:rPr>
          <w:rFonts w:ascii="Calibri" w:hAnsi="Calibri" w:cs="Calibri"/>
          <w:sz w:val="24"/>
          <w:szCs w:val="24"/>
        </w:rPr>
      </w:pPr>
    </w:p>
    <w:p w14:paraId="72156647" w14:textId="6BF612DD" w:rsidR="005D270D" w:rsidRPr="005D270D" w:rsidRDefault="005D270D" w:rsidP="005D270D">
      <w:pPr>
        <w:pStyle w:val="p1"/>
        <w:spacing w:line="276" w:lineRule="auto"/>
        <w:jc w:val="both"/>
        <w:rPr>
          <w:rFonts w:ascii="Calibri" w:hAnsi="Calibri" w:cs="Calibri"/>
          <w:b/>
          <w:i/>
          <w:sz w:val="24"/>
          <w:szCs w:val="24"/>
        </w:rPr>
      </w:pPr>
      <w:r w:rsidRPr="005D270D">
        <w:rPr>
          <w:rFonts w:ascii="Calibri" w:hAnsi="Calibri" w:cs="Calibri"/>
          <w:b/>
          <w:i/>
          <w:sz w:val="24"/>
          <w:szCs w:val="24"/>
        </w:rPr>
        <w:lastRenderedPageBreak/>
        <w:t>A</w:t>
      </w:r>
      <w:r>
        <w:rPr>
          <w:rFonts w:ascii="Calibri" w:hAnsi="Calibri" w:cs="Calibri"/>
          <w:b/>
          <w:i/>
          <w:sz w:val="24"/>
          <w:szCs w:val="24"/>
        </w:rPr>
        <w:t xml:space="preserve">ccountability and focus on </w:t>
      </w:r>
      <w:r w:rsidRPr="005D270D">
        <w:rPr>
          <w:rFonts w:ascii="Calibri" w:hAnsi="Calibri" w:cs="Calibri"/>
          <w:b/>
          <w:i/>
          <w:sz w:val="24"/>
          <w:szCs w:val="24"/>
        </w:rPr>
        <w:t>vulnerable groups</w:t>
      </w:r>
    </w:p>
    <w:p w14:paraId="42BBDFBE" w14:textId="76BBF4A0" w:rsidR="00114F52" w:rsidRDefault="00114F52" w:rsidP="0033780B">
      <w:pPr>
        <w:pStyle w:val="p1"/>
        <w:numPr>
          <w:ilvl w:val="0"/>
          <w:numId w:val="23"/>
        </w:numPr>
        <w:spacing w:line="276" w:lineRule="auto"/>
        <w:ind w:left="714" w:hanging="357"/>
        <w:jc w:val="both"/>
        <w:rPr>
          <w:rFonts w:ascii="Calibri" w:hAnsi="Calibri" w:cs="Calibri"/>
          <w:sz w:val="24"/>
          <w:szCs w:val="24"/>
        </w:rPr>
      </w:pPr>
      <w:r w:rsidRPr="005A1E99">
        <w:rPr>
          <w:rFonts w:ascii="Calibri" w:hAnsi="Calibri" w:cs="Calibri"/>
          <w:b/>
          <w:sz w:val="24"/>
          <w:szCs w:val="24"/>
        </w:rPr>
        <w:t>If</w:t>
      </w:r>
      <w:r w:rsidRPr="00F569AE">
        <w:rPr>
          <w:rFonts w:ascii="Calibri" w:hAnsi="Calibri" w:cs="Calibri"/>
          <w:sz w:val="24"/>
          <w:szCs w:val="24"/>
        </w:rPr>
        <w:t xml:space="preserve"> there are no subsidy schemes for the vulnerable population, </w:t>
      </w:r>
      <w:r w:rsidR="005A1E99" w:rsidRPr="005A1E99">
        <w:rPr>
          <w:rFonts w:ascii="Calibri" w:hAnsi="Calibri" w:cs="Calibri"/>
          <w:b/>
          <w:i/>
          <w:sz w:val="24"/>
          <w:szCs w:val="24"/>
        </w:rPr>
        <w:t>the</w:t>
      </w:r>
      <w:r w:rsidR="005A1E99">
        <w:rPr>
          <w:rFonts w:ascii="Calibri" w:hAnsi="Calibri" w:cs="Calibri"/>
          <w:b/>
          <w:i/>
          <w:sz w:val="24"/>
          <w:szCs w:val="24"/>
        </w:rPr>
        <w:t xml:space="preserve">n </w:t>
      </w:r>
      <w:r w:rsidRPr="00F569AE">
        <w:rPr>
          <w:rFonts w:ascii="Calibri" w:hAnsi="Calibri" w:cs="Calibri"/>
          <w:sz w:val="24"/>
          <w:szCs w:val="24"/>
        </w:rPr>
        <w:t xml:space="preserve">the increase in water price would cause strong push-back from the local </w:t>
      </w:r>
      <w:r w:rsidR="008B217F" w:rsidRPr="00F569AE">
        <w:rPr>
          <w:rFonts w:ascii="Calibri" w:hAnsi="Calibri" w:cs="Calibri"/>
          <w:sz w:val="24"/>
          <w:szCs w:val="24"/>
        </w:rPr>
        <w:t>communities and</w:t>
      </w:r>
      <w:r w:rsidRPr="00F569AE">
        <w:rPr>
          <w:rFonts w:ascii="Calibri" w:hAnsi="Calibri" w:cs="Calibri"/>
          <w:sz w:val="24"/>
          <w:szCs w:val="24"/>
        </w:rPr>
        <w:t xml:space="preserve"> cause political tension</w:t>
      </w:r>
      <w:r w:rsidR="00C03541" w:rsidRPr="00F569AE">
        <w:rPr>
          <w:rFonts w:ascii="Calibri" w:hAnsi="Calibri" w:cs="Calibri"/>
          <w:sz w:val="24"/>
          <w:szCs w:val="24"/>
        </w:rPr>
        <w:t>s</w:t>
      </w:r>
      <w:r w:rsidRPr="00F569AE">
        <w:rPr>
          <w:rFonts w:ascii="Calibri" w:hAnsi="Calibri" w:cs="Calibri"/>
          <w:sz w:val="24"/>
          <w:szCs w:val="24"/>
        </w:rPr>
        <w:t>.</w:t>
      </w:r>
    </w:p>
    <w:p w14:paraId="67FDB3C5" w14:textId="06CBD8DB" w:rsidR="005D270D" w:rsidRDefault="005D270D" w:rsidP="005D270D">
      <w:pPr>
        <w:pStyle w:val="p1"/>
        <w:numPr>
          <w:ilvl w:val="0"/>
          <w:numId w:val="23"/>
        </w:numPr>
        <w:spacing w:line="276" w:lineRule="auto"/>
        <w:ind w:left="714" w:hanging="357"/>
        <w:jc w:val="both"/>
        <w:rPr>
          <w:rFonts w:ascii="Calibri" w:hAnsi="Calibri" w:cs="Calibri"/>
          <w:sz w:val="24"/>
          <w:szCs w:val="24"/>
        </w:rPr>
      </w:pPr>
      <w:r w:rsidRPr="005A1E99">
        <w:rPr>
          <w:rFonts w:ascii="Calibri" w:hAnsi="Calibri" w:cs="Calibri"/>
          <w:b/>
          <w:sz w:val="24"/>
          <w:szCs w:val="24"/>
        </w:rPr>
        <w:t>If</w:t>
      </w:r>
      <w:r w:rsidRPr="00F569AE">
        <w:rPr>
          <w:rFonts w:ascii="Calibri" w:hAnsi="Calibri" w:cs="Calibri"/>
          <w:sz w:val="24"/>
          <w:szCs w:val="24"/>
        </w:rPr>
        <w:t xml:space="preserve"> there are mechanisms to integrate feedback from citizens and civil society into municipal decision-making, </w:t>
      </w:r>
      <w:r w:rsidRPr="005A1E99">
        <w:rPr>
          <w:rFonts w:ascii="Calibri" w:hAnsi="Calibri" w:cs="Calibri"/>
          <w:b/>
          <w:i/>
          <w:sz w:val="24"/>
          <w:szCs w:val="24"/>
        </w:rPr>
        <w:t>the</w:t>
      </w:r>
      <w:r>
        <w:rPr>
          <w:rFonts w:ascii="Calibri" w:hAnsi="Calibri" w:cs="Calibri"/>
          <w:b/>
          <w:i/>
          <w:sz w:val="24"/>
          <w:szCs w:val="24"/>
        </w:rPr>
        <w:t xml:space="preserve">n </w:t>
      </w:r>
      <w:r w:rsidRPr="00F569AE">
        <w:rPr>
          <w:rFonts w:ascii="Calibri" w:hAnsi="Calibri" w:cs="Calibri"/>
          <w:sz w:val="24"/>
          <w:szCs w:val="24"/>
        </w:rPr>
        <w:t>there are heightened accountability and transparency environment within each partner LG.</w:t>
      </w:r>
    </w:p>
    <w:p w14:paraId="67D96F6C" w14:textId="7444856A" w:rsidR="008841F5" w:rsidRPr="005D270D" w:rsidRDefault="008841F5" w:rsidP="005D270D">
      <w:pPr>
        <w:pStyle w:val="p1"/>
        <w:numPr>
          <w:ilvl w:val="0"/>
          <w:numId w:val="23"/>
        </w:numPr>
        <w:spacing w:line="276" w:lineRule="auto"/>
        <w:ind w:left="714" w:hanging="357"/>
        <w:jc w:val="both"/>
        <w:rPr>
          <w:rFonts w:ascii="Calibri" w:hAnsi="Calibri" w:cs="Calibri"/>
          <w:sz w:val="24"/>
          <w:szCs w:val="24"/>
        </w:rPr>
      </w:pPr>
      <w:r>
        <w:rPr>
          <w:rFonts w:ascii="Calibri" w:hAnsi="Calibri" w:cs="Calibri"/>
          <w:b/>
          <w:sz w:val="24"/>
          <w:szCs w:val="24"/>
        </w:rPr>
        <w:t xml:space="preserve">If </w:t>
      </w:r>
      <w:r w:rsidRPr="008841F5">
        <w:rPr>
          <w:rFonts w:ascii="Calibri" w:hAnsi="Calibri" w:cs="Calibri"/>
          <w:bCs/>
          <w:sz w:val="24"/>
          <w:szCs w:val="24"/>
        </w:rPr>
        <w:t>there are no mechanism to</w:t>
      </w:r>
      <w:r>
        <w:rPr>
          <w:rFonts w:ascii="Calibri" w:hAnsi="Calibri" w:cs="Calibri"/>
          <w:b/>
          <w:sz w:val="24"/>
          <w:szCs w:val="24"/>
        </w:rPr>
        <w:t xml:space="preserve"> </w:t>
      </w:r>
      <w:r w:rsidRPr="008841F5">
        <w:rPr>
          <w:rFonts w:ascii="Calibri" w:hAnsi="Calibri" w:cs="Calibri"/>
          <w:bCs/>
          <w:sz w:val="24"/>
          <w:szCs w:val="24"/>
        </w:rPr>
        <w:t>capture the project impact on vulnerable groups,</w:t>
      </w:r>
      <w:r>
        <w:rPr>
          <w:rFonts w:ascii="Calibri" w:hAnsi="Calibri" w:cs="Calibri"/>
          <w:b/>
          <w:sz w:val="24"/>
          <w:szCs w:val="24"/>
        </w:rPr>
        <w:t xml:space="preserve"> then </w:t>
      </w:r>
      <w:r w:rsidRPr="008841F5">
        <w:rPr>
          <w:rFonts w:ascii="Calibri" w:hAnsi="Calibri" w:cs="Calibri"/>
          <w:bCs/>
          <w:sz w:val="24"/>
          <w:szCs w:val="24"/>
        </w:rPr>
        <w:t xml:space="preserve">there are no </w:t>
      </w:r>
      <w:r>
        <w:rPr>
          <w:rFonts w:ascii="Calibri" w:hAnsi="Calibri" w:cs="Calibri"/>
          <w:bCs/>
          <w:sz w:val="24"/>
          <w:szCs w:val="24"/>
        </w:rPr>
        <w:t>input</w:t>
      </w:r>
      <w:r w:rsidRPr="008841F5">
        <w:rPr>
          <w:rFonts w:ascii="Calibri" w:hAnsi="Calibri" w:cs="Calibri"/>
          <w:bCs/>
          <w:sz w:val="24"/>
          <w:szCs w:val="24"/>
        </w:rPr>
        <w:t xml:space="preserve"> for project decision</w:t>
      </w:r>
      <w:r>
        <w:rPr>
          <w:rFonts w:ascii="Calibri" w:hAnsi="Calibri" w:cs="Calibri"/>
          <w:bCs/>
          <w:sz w:val="24"/>
          <w:szCs w:val="24"/>
        </w:rPr>
        <w:t>-making</w:t>
      </w:r>
      <w:r w:rsidRPr="008841F5">
        <w:rPr>
          <w:rFonts w:ascii="Calibri" w:hAnsi="Calibri" w:cs="Calibri"/>
          <w:bCs/>
          <w:sz w:val="24"/>
          <w:szCs w:val="24"/>
        </w:rPr>
        <w:t xml:space="preserve"> </w:t>
      </w:r>
      <w:r>
        <w:rPr>
          <w:rFonts w:ascii="Calibri" w:hAnsi="Calibri" w:cs="Calibri"/>
          <w:bCs/>
          <w:sz w:val="24"/>
          <w:szCs w:val="24"/>
        </w:rPr>
        <w:t xml:space="preserve">to </w:t>
      </w:r>
      <w:r w:rsidRPr="008841F5">
        <w:rPr>
          <w:rFonts w:ascii="Calibri" w:hAnsi="Calibri" w:cs="Calibri"/>
          <w:bCs/>
          <w:sz w:val="24"/>
          <w:szCs w:val="24"/>
        </w:rPr>
        <w:t>be informed by gender and inclusivity considerations.</w:t>
      </w:r>
    </w:p>
    <w:p w14:paraId="6766F165" w14:textId="77777777" w:rsidR="005D270D" w:rsidRDefault="005D270D" w:rsidP="005D270D">
      <w:pPr>
        <w:pStyle w:val="p1"/>
        <w:spacing w:line="276" w:lineRule="auto"/>
        <w:jc w:val="both"/>
        <w:rPr>
          <w:rFonts w:ascii="Calibri" w:hAnsi="Calibri" w:cs="Calibri"/>
          <w:sz w:val="24"/>
          <w:szCs w:val="24"/>
        </w:rPr>
      </w:pPr>
    </w:p>
    <w:p w14:paraId="1FA9BC13" w14:textId="67F2E039" w:rsidR="005D270D" w:rsidRPr="005D270D" w:rsidRDefault="005D270D" w:rsidP="005D270D">
      <w:pPr>
        <w:pStyle w:val="p1"/>
        <w:spacing w:line="276" w:lineRule="auto"/>
        <w:jc w:val="both"/>
        <w:rPr>
          <w:rFonts w:ascii="Calibri" w:hAnsi="Calibri" w:cs="Calibri"/>
          <w:b/>
          <w:i/>
          <w:sz w:val="24"/>
          <w:szCs w:val="24"/>
        </w:rPr>
      </w:pPr>
      <w:r w:rsidRPr="005D270D">
        <w:rPr>
          <w:rFonts w:ascii="Calibri" w:hAnsi="Calibri" w:cs="Calibri"/>
          <w:b/>
          <w:i/>
          <w:sz w:val="24"/>
          <w:szCs w:val="24"/>
        </w:rPr>
        <w:t>Project management</w:t>
      </w:r>
    </w:p>
    <w:p w14:paraId="1BF33033" w14:textId="23A4A05A" w:rsidR="00114F52" w:rsidRPr="00F569AE" w:rsidRDefault="00114F52" w:rsidP="0033780B">
      <w:pPr>
        <w:pStyle w:val="p1"/>
        <w:numPr>
          <w:ilvl w:val="0"/>
          <w:numId w:val="23"/>
        </w:numPr>
        <w:spacing w:line="276" w:lineRule="auto"/>
        <w:ind w:left="714" w:hanging="357"/>
        <w:jc w:val="both"/>
        <w:rPr>
          <w:rFonts w:ascii="Calibri" w:hAnsi="Calibri" w:cs="Calibri"/>
          <w:sz w:val="24"/>
          <w:szCs w:val="24"/>
        </w:rPr>
      </w:pPr>
      <w:r w:rsidRPr="005A1E99">
        <w:rPr>
          <w:rFonts w:ascii="Calibri" w:hAnsi="Calibri" w:cs="Calibri"/>
          <w:b/>
          <w:sz w:val="24"/>
          <w:szCs w:val="24"/>
        </w:rPr>
        <w:t xml:space="preserve">If </w:t>
      </w:r>
      <w:r w:rsidRPr="00F569AE">
        <w:rPr>
          <w:rFonts w:ascii="Calibri" w:hAnsi="Calibri" w:cs="Calibri"/>
          <w:sz w:val="24"/>
          <w:szCs w:val="24"/>
        </w:rPr>
        <w:t xml:space="preserve">the strategic and operational risks are not adequately factored in project management processes, </w:t>
      </w:r>
      <w:r w:rsidR="005A1E99" w:rsidRPr="005A1E99">
        <w:rPr>
          <w:rFonts w:ascii="Calibri" w:hAnsi="Calibri" w:cs="Calibri"/>
          <w:b/>
          <w:i/>
          <w:sz w:val="24"/>
          <w:szCs w:val="24"/>
        </w:rPr>
        <w:t>the</w:t>
      </w:r>
      <w:r w:rsidR="005A1E99">
        <w:rPr>
          <w:rFonts w:ascii="Calibri" w:hAnsi="Calibri" w:cs="Calibri"/>
          <w:b/>
          <w:i/>
          <w:sz w:val="24"/>
          <w:szCs w:val="24"/>
        </w:rPr>
        <w:t xml:space="preserve">n </w:t>
      </w:r>
      <w:r w:rsidRPr="00F569AE">
        <w:rPr>
          <w:rFonts w:ascii="Calibri" w:hAnsi="Calibri" w:cs="Calibri"/>
          <w:sz w:val="24"/>
          <w:szCs w:val="24"/>
        </w:rPr>
        <w:t xml:space="preserve">this could result in sub-optimal strategic planning and stakeholders’ expectations management. </w:t>
      </w:r>
      <w:r w:rsidR="002A46BC">
        <w:rPr>
          <w:rFonts w:ascii="Calibri" w:hAnsi="Calibri" w:cs="Calibri"/>
          <w:sz w:val="24"/>
          <w:szCs w:val="24"/>
        </w:rPr>
        <w:t>Eventually, insufficient attention to dynamic risk landscape leads to missed opportunities for timely mitigation measures resulting in unnecessary delays, mismatched expectations of various stakeholders, increased inefficiency in the processes, and such.</w:t>
      </w:r>
    </w:p>
    <w:p w14:paraId="3F2E703B" w14:textId="7DA86AB1" w:rsidR="00114F52" w:rsidRPr="00F569AE" w:rsidRDefault="00114F52" w:rsidP="0033780B">
      <w:pPr>
        <w:pStyle w:val="p1"/>
        <w:numPr>
          <w:ilvl w:val="0"/>
          <w:numId w:val="23"/>
        </w:numPr>
        <w:spacing w:line="276" w:lineRule="auto"/>
        <w:ind w:left="714" w:hanging="357"/>
        <w:jc w:val="both"/>
        <w:rPr>
          <w:rFonts w:ascii="Calibri" w:hAnsi="Calibri" w:cs="Calibri"/>
          <w:sz w:val="24"/>
          <w:szCs w:val="24"/>
        </w:rPr>
      </w:pPr>
      <w:r w:rsidRPr="005A1E99">
        <w:rPr>
          <w:rFonts w:ascii="Calibri" w:hAnsi="Calibri" w:cs="Calibri"/>
          <w:b/>
          <w:sz w:val="24"/>
          <w:szCs w:val="24"/>
        </w:rPr>
        <w:t>If</w:t>
      </w:r>
      <w:r w:rsidRPr="00F569AE">
        <w:rPr>
          <w:rFonts w:ascii="Calibri" w:hAnsi="Calibri" w:cs="Calibri"/>
          <w:sz w:val="24"/>
          <w:szCs w:val="24"/>
        </w:rPr>
        <w:t xml:space="preserve"> a wide range of key stakeholders</w:t>
      </w:r>
      <w:r w:rsidR="002A46BC">
        <w:rPr>
          <w:rFonts w:ascii="Calibri" w:hAnsi="Calibri" w:cs="Calibri"/>
          <w:sz w:val="24"/>
          <w:szCs w:val="24"/>
        </w:rPr>
        <w:t xml:space="preserve">, </w:t>
      </w:r>
      <w:r w:rsidR="002A46BC" w:rsidRPr="00F569AE">
        <w:rPr>
          <w:rFonts w:ascii="Calibri" w:hAnsi="Calibri" w:cs="Calibri"/>
          <w:sz w:val="24"/>
          <w:szCs w:val="24"/>
        </w:rPr>
        <w:t>with often conflicting mandates,</w:t>
      </w:r>
      <w:r w:rsidRPr="00F569AE">
        <w:rPr>
          <w:rFonts w:ascii="Calibri" w:hAnsi="Calibri" w:cs="Calibri"/>
          <w:sz w:val="24"/>
          <w:szCs w:val="24"/>
        </w:rPr>
        <w:t xml:space="preserve"> at state and entity level </w:t>
      </w:r>
      <w:r w:rsidR="002A46BC">
        <w:rPr>
          <w:rFonts w:ascii="Calibri" w:hAnsi="Calibri" w:cs="Calibri"/>
          <w:sz w:val="24"/>
          <w:szCs w:val="24"/>
        </w:rPr>
        <w:t xml:space="preserve">are </w:t>
      </w:r>
      <w:r w:rsidRPr="00F569AE">
        <w:rPr>
          <w:rFonts w:ascii="Calibri" w:hAnsi="Calibri" w:cs="Calibri"/>
          <w:sz w:val="24"/>
          <w:szCs w:val="24"/>
        </w:rPr>
        <w:t xml:space="preserve">engaged in the project implementation, </w:t>
      </w:r>
      <w:r w:rsidR="005A1E99" w:rsidRPr="005A1E99">
        <w:rPr>
          <w:rFonts w:ascii="Calibri" w:hAnsi="Calibri" w:cs="Calibri"/>
          <w:b/>
          <w:i/>
          <w:sz w:val="24"/>
          <w:szCs w:val="24"/>
        </w:rPr>
        <w:t>the</w:t>
      </w:r>
      <w:r w:rsidR="005A1E99">
        <w:rPr>
          <w:rFonts w:ascii="Calibri" w:hAnsi="Calibri" w:cs="Calibri"/>
          <w:b/>
          <w:i/>
          <w:sz w:val="24"/>
          <w:szCs w:val="24"/>
        </w:rPr>
        <w:t xml:space="preserve">n </w:t>
      </w:r>
      <w:r w:rsidRPr="00F569AE">
        <w:rPr>
          <w:rFonts w:ascii="Calibri" w:hAnsi="Calibri" w:cs="Calibri"/>
          <w:sz w:val="24"/>
          <w:szCs w:val="24"/>
        </w:rPr>
        <w:t xml:space="preserve">the project implementation </w:t>
      </w:r>
      <w:r w:rsidR="00C03541" w:rsidRPr="00F569AE">
        <w:rPr>
          <w:rFonts w:ascii="Calibri" w:hAnsi="Calibri" w:cs="Calibri"/>
          <w:sz w:val="24"/>
          <w:szCs w:val="24"/>
        </w:rPr>
        <w:t>would</w:t>
      </w:r>
      <w:r w:rsidRPr="00F569AE">
        <w:rPr>
          <w:rFonts w:ascii="Calibri" w:hAnsi="Calibri" w:cs="Calibri"/>
          <w:sz w:val="24"/>
          <w:szCs w:val="24"/>
        </w:rPr>
        <w:t xml:space="preserve"> be </w:t>
      </w:r>
      <w:r w:rsidR="00C03541" w:rsidRPr="00F569AE">
        <w:rPr>
          <w:rFonts w:ascii="Calibri" w:hAnsi="Calibri" w:cs="Calibri"/>
          <w:sz w:val="24"/>
          <w:szCs w:val="24"/>
        </w:rPr>
        <w:t>seen</w:t>
      </w:r>
      <w:r w:rsidRPr="00F569AE">
        <w:rPr>
          <w:rFonts w:ascii="Calibri" w:hAnsi="Calibri" w:cs="Calibri"/>
          <w:sz w:val="24"/>
          <w:szCs w:val="24"/>
        </w:rPr>
        <w:t xml:space="preserve"> under </w:t>
      </w:r>
      <w:r w:rsidR="00C03541" w:rsidRPr="00F569AE">
        <w:rPr>
          <w:rFonts w:ascii="Calibri" w:hAnsi="Calibri" w:cs="Calibri"/>
          <w:sz w:val="24"/>
          <w:szCs w:val="24"/>
        </w:rPr>
        <w:t xml:space="preserve">additional </w:t>
      </w:r>
      <w:r w:rsidRPr="00F569AE">
        <w:rPr>
          <w:rFonts w:ascii="Calibri" w:hAnsi="Calibri" w:cs="Calibri"/>
          <w:sz w:val="24"/>
          <w:szCs w:val="24"/>
        </w:rPr>
        <w:t>scrutiny</w:t>
      </w:r>
      <w:r w:rsidR="00C03541" w:rsidRPr="00F569AE">
        <w:rPr>
          <w:rFonts w:ascii="Calibri" w:hAnsi="Calibri" w:cs="Calibri"/>
          <w:sz w:val="24"/>
          <w:szCs w:val="24"/>
        </w:rPr>
        <w:t xml:space="preserve"> </w:t>
      </w:r>
      <w:r w:rsidR="002A46BC">
        <w:rPr>
          <w:rFonts w:ascii="Calibri" w:hAnsi="Calibri" w:cs="Calibri"/>
          <w:sz w:val="24"/>
          <w:szCs w:val="24"/>
        </w:rPr>
        <w:t xml:space="preserve">and </w:t>
      </w:r>
      <w:r w:rsidR="00C03541" w:rsidRPr="00F569AE">
        <w:rPr>
          <w:rFonts w:ascii="Calibri" w:hAnsi="Calibri" w:cs="Calibri"/>
          <w:sz w:val="24"/>
          <w:szCs w:val="24"/>
        </w:rPr>
        <w:t xml:space="preserve">with various degree of </w:t>
      </w:r>
      <w:r w:rsidR="00604022" w:rsidRPr="00F569AE">
        <w:rPr>
          <w:rFonts w:ascii="Calibri" w:hAnsi="Calibri" w:cs="Calibri"/>
          <w:sz w:val="24"/>
          <w:szCs w:val="24"/>
        </w:rPr>
        <w:t>satisf</w:t>
      </w:r>
      <w:r w:rsidR="00C03541" w:rsidRPr="00F569AE">
        <w:rPr>
          <w:rFonts w:ascii="Calibri" w:hAnsi="Calibri" w:cs="Calibri"/>
          <w:sz w:val="24"/>
          <w:szCs w:val="24"/>
        </w:rPr>
        <w:t>action from those</w:t>
      </w:r>
      <w:r w:rsidR="00604022" w:rsidRPr="00F569AE">
        <w:rPr>
          <w:rFonts w:ascii="Calibri" w:hAnsi="Calibri" w:cs="Calibri"/>
          <w:sz w:val="24"/>
          <w:szCs w:val="24"/>
        </w:rPr>
        <w:t xml:space="preserve"> stakeholders. </w:t>
      </w:r>
      <w:r w:rsidR="002A46BC">
        <w:rPr>
          <w:rFonts w:ascii="Calibri" w:hAnsi="Calibri" w:cs="Calibri"/>
          <w:sz w:val="24"/>
          <w:szCs w:val="24"/>
        </w:rPr>
        <w:t>This is one of the major challenges to address proactively by managing expectations of multiple stakeholders.</w:t>
      </w:r>
    </w:p>
    <w:p w14:paraId="044C9DEB" w14:textId="41120BE0" w:rsidR="00604022" w:rsidRDefault="00604022" w:rsidP="0033780B">
      <w:pPr>
        <w:pStyle w:val="p1"/>
        <w:numPr>
          <w:ilvl w:val="0"/>
          <w:numId w:val="23"/>
        </w:numPr>
        <w:spacing w:line="276" w:lineRule="auto"/>
        <w:ind w:left="714" w:hanging="357"/>
        <w:jc w:val="both"/>
        <w:rPr>
          <w:rFonts w:ascii="Calibri" w:hAnsi="Calibri" w:cs="Calibri"/>
          <w:sz w:val="24"/>
          <w:szCs w:val="24"/>
        </w:rPr>
      </w:pPr>
      <w:r w:rsidRPr="005A1E99">
        <w:rPr>
          <w:rFonts w:ascii="Calibri" w:hAnsi="Calibri" w:cs="Calibri"/>
          <w:b/>
          <w:sz w:val="24"/>
          <w:szCs w:val="24"/>
        </w:rPr>
        <w:t xml:space="preserve">If </w:t>
      </w:r>
      <w:r w:rsidRPr="00F569AE">
        <w:rPr>
          <w:rFonts w:ascii="Calibri" w:hAnsi="Calibri" w:cs="Calibri"/>
          <w:sz w:val="24"/>
          <w:szCs w:val="24"/>
        </w:rPr>
        <w:t xml:space="preserve">there are persistent and transparent efforts to promote sector improvement, which is adequately communicated to the project stakeholders, </w:t>
      </w:r>
      <w:r w:rsidR="005A1E99" w:rsidRPr="005A1E99">
        <w:rPr>
          <w:rFonts w:ascii="Calibri" w:hAnsi="Calibri" w:cs="Calibri"/>
          <w:b/>
          <w:i/>
          <w:sz w:val="24"/>
          <w:szCs w:val="24"/>
        </w:rPr>
        <w:t>the</w:t>
      </w:r>
      <w:r w:rsidR="005A1E99">
        <w:rPr>
          <w:rFonts w:ascii="Calibri" w:hAnsi="Calibri" w:cs="Calibri"/>
          <w:b/>
          <w:i/>
          <w:sz w:val="24"/>
          <w:szCs w:val="24"/>
        </w:rPr>
        <w:t xml:space="preserve">n </w:t>
      </w:r>
      <w:r w:rsidRPr="00F569AE">
        <w:rPr>
          <w:rFonts w:ascii="Calibri" w:hAnsi="Calibri" w:cs="Calibri"/>
          <w:sz w:val="24"/>
          <w:szCs w:val="24"/>
        </w:rPr>
        <w:t xml:space="preserve">there is more traction </w:t>
      </w:r>
      <w:r w:rsidR="00867616" w:rsidRPr="00F569AE">
        <w:rPr>
          <w:rFonts w:ascii="Calibri" w:hAnsi="Calibri" w:cs="Calibri"/>
          <w:sz w:val="24"/>
          <w:szCs w:val="24"/>
        </w:rPr>
        <w:t xml:space="preserve">on behalf of local stakeholders </w:t>
      </w:r>
      <w:r w:rsidRPr="00F569AE">
        <w:rPr>
          <w:rFonts w:ascii="Calibri" w:hAnsi="Calibri" w:cs="Calibri"/>
          <w:sz w:val="24"/>
          <w:szCs w:val="24"/>
        </w:rPr>
        <w:t xml:space="preserve">to become part of the </w:t>
      </w:r>
      <w:r w:rsidR="00867616" w:rsidRPr="00F569AE">
        <w:rPr>
          <w:rFonts w:ascii="Calibri" w:hAnsi="Calibri" w:cs="Calibri"/>
          <w:sz w:val="24"/>
          <w:szCs w:val="24"/>
        </w:rPr>
        <w:t>modernization process</w:t>
      </w:r>
      <w:r w:rsidRPr="00F569AE">
        <w:rPr>
          <w:rFonts w:ascii="Calibri" w:hAnsi="Calibri" w:cs="Calibri"/>
          <w:sz w:val="24"/>
          <w:szCs w:val="24"/>
        </w:rPr>
        <w:t xml:space="preserve">. </w:t>
      </w:r>
    </w:p>
    <w:p w14:paraId="2CF35379" w14:textId="77777777" w:rsidR="005D270D" w:rsidRDefault="005D270D" w:rsidP="005D270D">
      <w:pPr>
        <w:pStyle w:val="p1"/>
        <w:spacing w:line="276" w:lineRule="auto"/>
        <w:jc w:val="both"/>
        <w:rPr>
          <w:rFonts w:ascii="Calibri" w:hAnsi="Calibri" w:cs="Calibri"/>
          <w:sz w:val="24"/>
          <w:szCs w:val="24"/>
        </w:rPr>
      </w:pPr>
    </w:p>
    <w:p w14:paraId="6610F6AF" w14:textId="14CDCC54" w:rsidR="005D270D" w:rsidRPr="005D270D" w:rsidRDefault="005D270D" w:rsidP="005D270D">
      <w:pPr>
        <w:pStyle w:val="p1"/>
        <w:spacing w:line="276" w:lineRule="auto"/>
        <w:jc w:val="both"/>
        <w:rPr>
          <w:rFonts w:ascii="Calibri" w:hAnsi="Calibri" w:cs="Calibri"/>
          <w:b/>
          <w:i/>
          <w:sz w:val="24"/>
          <w:szCs w:val="24"/>
        </w:rPr>
      </w:pPr>
      <w:r w:rsidRPr="005D270D">
        <w:rPr>
          <w:rFonts w:ascii="Calibri" w:hAnsi="Calibri" w:cs="Calibri"/>
          <w:b/>
          <w:i/>
          <w:sz w:val="24"/>
          <w:szCs w:val="24"/>
        </w:rPr>
        <w:t xml:space="preserve">LGs as drivers of </w:t>
      </w:r>
      <w:r>
        <w:rPr>
          <w:rFonts w:ascii="Calibri" w:hAnsi="Calibri" w:cs="Calibri"/>
          <w:b/>
          <w:i/>
          <w:sz w:val="24"/>
          <w:szCs w:val="24"/>
        </w:rPr>
        <w:t xml:space="preserve">improvement in the </w:t>
      </w:r>
      <w:r w:rsidRPr="005D270D">
        <w:rPr>
          <w:rFonts w:ascii="Calibri" w:hAnsi="Calibri" w:cs="Calibri"/>
          <w:b/>
          <w:i/>
          <w:sz w:val="24"/>
          <w:szCs w:val="24"/>
        </w:rPr>
        <w:t xml:space="preserve">water </w:t>
      </w:r>
      <w:r>
        <w:rPr>
          <w:rFonts w:ascii="Calibri" w:hAnsi="Calibri" w:cs="Calibri"/>
          <w:b/>
          <w:i/>
          <w:sz w:val="24"/>
          <w:szCs w:val="24"/>
        </w:rPr>
        <w:t xml:space="preserve">and local governance </w:t>
      </w:r>
      <w:r w:rsidRPr="005D270D">
        <w:rPr>
          <w:rFonts w:ascii="Calibri" w:hAnsi="Calibri" w:cs="Calibri"/>
          <w:b/>
          <w:i/>
          <w:sz w:val="24"/>
          <w:szCs w:val="24"/>
        </w:rPr>
        <w:t>sector</w:t>
      </w:r>
      <w:r>
        <w:rPr>
          <w:rFonts w:ascii="Calibri" w:hAnsi="Calibri" w:cs="Calibri"/>
          <w:b/>
          <w:i/>
          <w:sz w:val="24"/>
          <w:szCs w:val="24"/>
        </w:rPr>
        <w:t>s</w:t>
      </w:r>
      <w:r w:rsidRPr="005D270D">
        <w:rPr>
          <w:rFonts w:ascii="Calibri" w:hAnsi="Calibri" w:cs="Calibri"/>
          <w:b/>
          <w:i/>
          <w:sz w:val="24"/>
          <w:szCs w:val="24"/>
        </w:rPr>
        <w:t xml:space="preserve"> </w:t>
      </w:r>
    </w:p>
    <w:p w14:paraId="5F184404" w14:textId="77777777" w:rsidR="005D270D" w:rsidRDefault="00604022" w:rsidP="005D270D">
      <w:pPr>
        <w:pStyle w:val="p1"/>
        <w:numPr>
          <w:ilvl w:val="0"/>
          <w:numId w:val="23"/>
        </w:numPr>
        <w:spacing w:line="276" w:lineRule="auto"/>
        <w:ind w:left="714" w:hanging="357"/>
        <w:jc w:val="both"/>
        <w:rPr>
          <w:rFonts w:ascii="Calibri" w:hAnsi="Calibri" w:cs="Calibri"/>
          <w:sz w:val="24"/>
          <w:szCs w:val="24"/>
        </w:rPr>
      </w:pPr>
      <w:r w:rsidRPr="005A1E99">
        <w:rPr>
          <w:rFonts w:ascii="Calibri" w:hAnsi="Calibri" w:cs="Calibri"/>
          <w:b/>
          <w:sz w:val="24"/>
          <w:szCs w:val="24"/>
        </w:rPr>
        <w:t>If</w:t>
      </w:r>
      <w:r w:rsidRPr="00F569AE">
        <w:rPr>
          <w:rFonts w:ascii="Calibri" w:hAnsi="Calibri" w:cs="Calibri"/>
          <w:sz w:val="24"/>
          <w:szCs w:val="24"/>
        </w:rPr>
        <w:t xml:space="preserve"> there is health</w:t>
      </w:r>
      <w:r w:rsidR="002F2C20" w:rsidRPr="00F569AE">
        <w:rPr>
          <w:rFonts w:ascii="Calibri" w:hAnsi="Calibri" w:cs="Calibri"/>
          <w:sz w:val="24"/>
          <w:szCs w:val="24"/>
        </w:rPr>
        <w:t>y</w:t>
      </w:r>
      <w:r w:rsidRPr="00F569AE">
        <w:rPr>
          <w:rFonts w:ascii="Calibri" w:hAnsi="Calibri" w:cs="Calibri"/>
          <w:sz w:val="24"/>
          <w:szCs w:val="24"/>
        </w:rPr>
        <w:t xml:space="preserve"> competition among partner LGs, </w:t>
      </w:r>
      <w:r w:rsidR="005A1E99" w:rsidRPr="005A1E99">
        <w:rPr>
          <w:rFonts w:ascii="Calibri" w:hAnsi="Calibri" w:cs="Calibri"/>
          <w:b/>
          <w:i/>
          <w:sz w:val="24"/>
          <w:szCs w:val="24"/>
        </w:rPr>
        <w:t>the</w:t>
      </w:r>
      <w:r w:rsidR="005A1E99">
        <w:rPr>
          <w:rFonts w:ascii="Calibri" w:hAnsi="Calibri" w:cs="Calibri"/>
          <w:b/>
          <w:i/>
          <w:sz w:val="24"/>
          <w:szCs w:val="24"/>
        </w:rPr>
        <w:t xml:space="preserve">n </w:t>
      </w:r>
      <w:r w:rsidRPr="00F569AE">
        <w:rPr>
          <w:rFonts w:ascii="Calibri" w:hAnsi="Calibri" w:cs="Calibri"/>
          <w:sz w:val="24"/>
          <w:szCs w:val="24"/>
        </w:rPr>
        <w:t>this create</w:t>
      </w:r>
      <w:r w:rsidR="002F2C20" w:rsidRPr="00F569AE">
        <w:rPr>
          <w:rFonts w:ascii="Calibri" w:hAnsi="Calibri" w:cs="Calibri"/>
          <w:sz w:val="24"/>
          <w:szCs w:val="24"/>
        </w:rPr>
        <w:t>s more</w:t>
      </w:r>
      <w:r w:rsidRPr="00F569AE">
        <w:rPr>
          <w:rFonts w:ascii="Calibri" w:hAnsi="Calibri" w:cs="Calibri"/>
          <w:sz w:val="24"/>
          <w:szCs w:val="24"/>
        </w:rPr>
        <w:t xml:space="preserve"> conducive environment for internalization of the project solutions at the municipal level, and, thereby, increased ownership over the reform process instigated by the project. </w:t>
      </w:r>
    </w:p>
    <w:p w14:paraId="76D68898" w14:textId="77777777" w:rsidR="005D270D" w:rsidRDefault="005D270D" w:rsidP="005D270D">
      <w:pPr>
        <w:pStyle w:val="p1"/>
        <w:spacing w:line="276" w:lineRule="auto"/>
        <w:ind w:left="714"/>
        <w:jc w:val="both"/>
        <w:rPr>
          <w:rFonts w:ascii="Calibri" w:hAnsi="Calibri" w:cs="Calibri"/>
          <w:sz w:val="24"/>
          <w:szCs w:val="24"/>
        </w:rPr>
      </w:pPr>
    </w:p>
    <w:p w14:paraId="7DF5FEAC" w14:textId="0340F718" w:rsidR="005D270D" w:rsidRPr="00F569AE" w:rsidRDefault="005D270D" w:rsidP="005D270D">
      <w:pPr>
        <w:pStyle w:val="p1"/>
        <w:spacing w:line="276" w:lineRule="auto"/>
        <w:jc w:val="both"/>
        <w:rPr>
          <w:rFonts w:ascii="Calibri" w:hAnsi="Calibri" w:cs="Calibri"/>
          <w:sz w:val="24"/>
          <w:szCs w:val="24"/>
        </w:rPr>
      </w:pPr>
      <w:r>
        <w:rPr>
          <w:rFonts w:ascii="Calibri" w:hAnsi="Calibri" w:cs="Calibri"/>
          <w:b/>
          <w:i/>
          <w:sz w:val="24"/>
          <w:szCs w:val="24"/>
        </w:rPr>
        <w:t>WUC</w:t>
      </w:r>
      <w:r w:rsidRPr="005D270D">
        <w:rPr>
          <w:rFonts w:ascii="Calibri" w:hAnsi="Calibri" w:cs="Calibri"/>
          <w:b/>
          <w:i/>
          <w:sz w:val="24"/>
          <w:szCs w:val="24"/>
        </w:rPr>
        <w:t>s as drivers of</w:t>
      </w:r>
      <w:r>
        <w:rPr>
          <w:rFonts w:ascii="Calibri" w:hAnsi="Calibri" w:cs="Calibri"/>
          <w:b/>
          <w:i/>
          <w:sz w:val="24"/>
          <w:szCs w:val="24"/>
        </w:rPr>
        <w:t xml:space="preserve"> improvement in the</w:t>
      </w:r>
      <w:r w:rsidRPr="005D270D">
        <w:rPr>
          <w:rFonts w:ascii="Calibri" w:hAnsi="Calibri" w:cs="Calibri"/>
          <w:b/>
          <w:i/>
          <w:sz w:val="24"/>
          <w:szCs w:val="24"/>
        </w:rPr>
        <w:t xml:space="preserve"> water sector modernization </w:t>
      </w:r>
    </w:p>
    <w:p w14:paraId="3869655E" w14:textId="7CE4143C" w:rsidR="00C243C8" w:rsidRPr="00F569AE" w:rsidRDefault="00C243C8" w:rsidP="0033780B">
      <w:pPr>
        <w:pStyle w:val="p1"/>
        <w:numPr>
          <w:ilvl w:val="0"/>
          <w:numId w:val="23"/>
        </w:numPr>
        <w:spacing w:line="276" w:lineRule="auto"/>
        <w:ind w:left="714" w:hanging="357"/>
        <w:jc w:val="both"/>
        <w:rPr>
          <w:rFonts w:ascii="Calibri" w:hAnsi="Calibri" w:cs="Calibri"/>
          <w:sz w:val="24"/>
          <w:szCs w:val="24"/>
        </w:rPr>
      </w:pPr>
      <w:r w:rsidRPr="005A1E99">
        <w:rPr>
          <w:rFonts w:ascii="Calibri" w:hAnsi="Calibri" w:cs="Calibri"/>
          <w:b/>
          <w:sz w:val="24"/>
          <w:szCs w:val="24"/>
        </w:rPr>
        <w:t xml:space="preserve">If </w:t>
      </w:r>
      <w:r w:rsidRPr="00F569AE">
        <w:rPr>
          <w:rFonts w:ascii="Calibri" w:hAnsi="Calibri" w:cs="Calibri"/>
          <w:sz w:val="24"/>
          <w:szCs w:val="24"/>
        </w:rPr>
        <w:t xml:space="preserve">WUCs receive </w:t>
      </w:r>
      <w:r w:rsidR="00867616" w:rsidRPr="00F569AE">
        <w:rPr>
          <w:rFonts w:ascii="Calibri" w:hAnsi="Calibri" w:cs="Calibri"/>
          <w:sz w:val="24"/>
          <w:szCs w:val="24"/>
        </w:rPr>
        <w:t>strong normative support to their</w:t>
      </w:r>
      <w:r w:rsidRPr="00F569AE">
        <w:rPr>
          <w:rFonts w:ascii="Calibri" w:hAnsi="Calibri" w:cs="Calibri"/>
          <w:sz w:val="24"/>
          <w:szCs w:val="24"/>
        </w:rPr>
        <w:t xml:space="preserve"> mandate and</w:t>
      </w:r>
      <w:r w:rsidR="00867616" w:rsidRPr="00F569AE">
        <w:rPr>
          <w:rFonts w:ascii="Calibri" w:hAnsi="Calibri" w:cs="Calibri"/>
          <w:sz w:val="24"/>
          <w:szCs w:val="24"/>
        </w:rPr>
        <w:t xml:space="preserve"> receive</w:t>
      </w:r>
      <w:r w:rsidRPr="00F569AE">
        <w:rPr>
          <w:rFonts w:ascii="Calibri" w:hAnsi="Calibri" w:cs="Calibri"/>
          <w:sz w:val="24"/>
          <w:szCs w:val="24"/>
        </w:rPr>
        <w:t xml:space="preserve"> instruments for more effective and efficient management, </w:t>
      </w:r>
      <w:r w:rsidR="005A1E99" w:rsidRPr="005A1E99">
        <w:rPr>
          <w:rFonts w:ascii="Calibri" w:hAnsi="Calibri" w:cs="Calibri"/>
          <w:b/>
          <w:i/>
          <w:sz w:val="24"/>
          <w:szCs w:val="24"/>
        </w:rPr>
        <w:t>the</w:t>
      </w:r>
      <w:r w:rsidR="005A1E99">
        <w:rPr>
          <w:rFonts w:ascii="Calibri" w:hAnsi="Calibri" w:cs="Calibri"/>
          <w:b/>
          <w:i/>
          <w:sz w:val="24"/>
          <w:szCs w:val="24"/>
        </w:rPr>
        <w:t xml:space="preserve">n </w:t>
      </w:r>
      <w:r w:rsidRPr="00F569AE">
        <w:rPr>
          <w:rFonts w:ascii="Calibri" w:hAnsi="Calibri" w:cs="Calibri"/>
          <w:sz w:val="24"/>
          <w:szCs w:val="24"/>
        </w:rPr>
        <w:t>they became drivers of water sector reform in BiH.</w:t>
      </w:r>
    </w:p>
    <w:p w14:paraId="373F4F95" w14:textId="77777777" w:rsidR="00694448" w:rsidRPr="00F569AE" w:rsidRDefault="00694448" w:rsidP="00694448">
      <w:pPr>
        <w:pStyle w:val="p1"/>
        <w:spacing w:line="276" w:lineRule="auto"/>
        <w:jc w:val="both"/>
        <w:rPr>
          <w:rFonts w:ascii="Calibri" w:hAnsi="Calibri" w:cs="Calibri"/>
          <w:sz w:val="24"/>
          <w:szCs w:val="24"/>
        </w:rPr>
      </w:pPr>
    </w:p>
    <w:p w14:paraId="3AFAC672" w14:textId="77777777" w:rsidR="00694448" w:rsidRPr="00F569AE" w:rsidRDefault="00694448" w:rsidP="00694448">
      <w:pPr>
        <w:pStyle w:val="p1"/>
        <w:spacing w:line="276" w:lineRule="auto"/>
        <w:jc w:val="both"/>
        <w:rPr>
          <w:rFonts w:ascii="Calibri" w:hAnsi="Calibri" w:cs="Calibri"/>
          <w:sz w:val="24"/>
          <w:szCs w:val="24"/>
        </w:rPr>
      </w:pPr>
    </w:p>
    <w:p w14:paraId="7B75B559" w14:textId="77777777" w:rsidR="00694448" w:rsidRPr="00F569AE" w:rsidRDefault="00694448" w:rsidP="00694448">
      <w:pPr>
        <w:pStyle w:val="p1"/>
        <w:spacing w:line="276" w:lineRule="auto"/>
        <w:jc w:val="both"/>
        <w:rPr>
          <w:rFonts w:ascii="Calibri" w:hAnsi="Calibri" w:cs="Calibri"/>
          <w:sz w:val="24"/>
          <w:szCs w:val="24"/>
        </w:rPr>
      </w:pPr>
    </w:p>
    <w:p w14:paraId="24B56C66" w14:textId="77777777" w:rsidR="00694448" w:rsidRPr="00F569AE" w:rsidRDefault="00694448" w:rsidP="00694448">
      <w:pPr>
        <w:pStyle w:val="p1"/>
        <w:spacing w:line="276" w:lineRule="auto"/>
        <w:jc w:val="both"/>
        <w:rPr>
          <w:rFonts w:ascii="Calibri" w:hAnsi="Calibri" w:cs="Calibri"/>
          <w:sz w:val="24"/>
          <w:szCs w:val="24"/>
        </w:rPr>
      </w:pPr>
    </w:p>
    <w:p w14:paraId="2D779434" w14:textId="77777777" w:rsidR="005D270D" w:rsidRPr="00F569AE" w:rsidRDefault="005D270D" w:rsidP="00694448">
      <w:pPr>
        <w:pStyle w:val="p1"/>
        <w:spacing w:line="276" w:lineRule="auto"/>
        <w:jc w:val="both"/>
        <w:rPr>
          <w:rFonts w:ascii="Calibri" w:hAnsi="Calibri" w:cs="Calibri"/>
          <w:sz w:val="24"/>
          <w:szCs w:val="24"/>
        </w:rPr>
      </w:pPr>
    </w:p>
    <w:p w14:paraId="2A2CDDD6" w14:textId="77777777" w:rsidR="0020024A" w:rsidRPr="00F569AE" w:rsidRDefault="00A0025F" w:rsidP="0033780B">
      <w:pPr>
        <w:pStyle w:val="Heading1"/>
        <w:numPr>
          <w:ilvl w:val="0"/>
          <w:numId w:val="1"/>
        </w:numPr>
        <w:rPr>
          <w:rFonts w:ascii="Calibri" w:hAnsi="Calibri" w:cs="Calibri"/>
        </w:rPr>
      </w:pPr>
      <w:bookmarkStart w:id="207" w:name="_Toc210058535"/>
      <w:r w:rsidRPr="00F569AE">
        <w:rPr>
          <w:rFonts w:ascii="Calibri" w:hAnsi="Calibri" w:cs="Calibri"/>
        </w:rPr>
        <w:lastRenderedPageBreak/>
        <w:t>ANNEXES</w:t>
      </w:r>
      <w:bookmarkEnd w:id="207"/>
    </w:p>
    <w:p w14:paraId="05FEB085" w14:textId="771F8200" w:rsidR="00E16730" w:rsidRPr="00F569AE" w:rsidRDefault="000245A8" w:rsidP="007822F2">
      <w:pPr>
        <w:pStyle w:val="Heading2"/>
        <w:rPr>
          <w:rFonts w:ascii="Calibri" w:hAnsi="Calibri" w:cs="Calibri"/>
          <w:i/>
        </w:rPr>
      </w:pPr>
      <w:bookmarkStart w:id="208" w:name="_Toc210058536"/>
      <w:bookmarkStart w:id="209" w:name="_Toc200528845"/>
      <w:r w:rsidRPr="00F569AE">
        <w:rPr>
          <w:rFonts w:ascii="Calibri" w:hAnsi="Calibri" w:cs="Calibri"/>
          <w:i/>
        </w:rPr>
        <w:t xml:space="preserve">Annex </w:t>
      </w:r>
      <w:r w:rsidR="00E16730" w:rsidRPr="00F569AE">
        <w:rPr>
          <w:rFonts w:ascii="Calibri" w:hAnsi="Calibri" w:cs="Calibri"/>
          <w:i/>
        </w:rPr>
        <w:t>1: TOR of the Evaluation</w:t>
      </w:r>
      <w:bookmarkEnd w:id="208"/>
    </w:p>
    <w:p w14:paraId="10E19B97" w14:textId="77777777" w:rsidR="00E16730" w:rsidRDefault="00E16730" w:rsidP="007822F2">
      <w:pPr>
        <w:pStyle w:val="Heading2"/>
        <w:rPr>
          <w:rFonts w:ascii="Calibri" w:hAnsi="Calibri" w:cs="Calibri"/>
          <w:b/>
          <w:i/>
        </w:rPr>
      </w:pPr>
    </w:p>
    <w:p w14:paraId="39D488F7" w14:textId="5235F673" w:rsidR="006E2ECA" w:rsidRPr="006E2ECA" w:rsidRDefault="00B22E82" w:rsidP="006E2ECA">
      <w:pPr>
        <w:rPr>
          <w:lang w:val="en-US"/>
        </w:rPr>
      </w:pPr>
      <w:r>
        <w:rPr>
          <w:highlight w:val="yellow"/>
          <w:lang w:val="en-US"/>
        </w:rPr>
        <w:t>Please</w:t>
      </w:r>
      <w:r w:rsidR="00367F45" w:rsidRPr="00367F45">
        <w:rPr>
          <w:highlight w:val="yellow"/>
          <w:lang w:val="en-US"/>
        </w:rPr>
        <w:t xml:space="preserve"> add</w:t>
      </w:r>
    </w:p>
    <w:p w14:paraId="2E5CDE7F" w14:textId="77777777" w:rsidR="00E16730" w:rsidRPr="00F569AE" w:rsidRDefault="00E16730" w:rsidP="007822F2">
      <w:pPr>
        <w:pStyle w:val="Heading2"/>
        <w:rPr>
          <w:rFonts w:ascii="Calibri" w:hAnsi="Calibri" w:cs="Calibri"/>
          <w:b/>
          <w:i/>
        </w:rPr>
      </w:pPr>
    </w:p>
    <w:p w14:paraId="0E980265" w14:textId="77777777" w:rsidR="002A7FBF" w:rsidRPr="00F569AE" w:rsidRDefault="002A7FBF" w:rsidP="002A7FBF">
      <w:pPr>
        <w:rPr>
          <w:lang w:val="en-US"/>
        </w:rPr>
      </w:pPr>
    </w:p>
    <w:p w14:paraId="44BBBCCA" w14:textId="77777777" w:rsidR="002A7FBF" w:rsidRPr="00F569AE" w:rsidRDefault="002A7FBF" w:rsidP="002A7FBF">
      <w:pPr>
        <w:rPr>
          <w:lang w:val="en-US"/>
        </w:rPr>
      </w:pPr>
    </w:p>
    <w:p w14:paraId="48C0CE8E" w14:textId="77777777" w:rsidR="002A7FBF" w:rsidRPr="00F569AE" w:rsidRDefault="002A7FBF" w:rsidP="002A7FBF">
      <w:pPr>
        <w:rPr>
          <w:lang w:val="en-US"/>
        </w:rPr>
      </w:pPr>
    </w:p>
    <w:p w14:paraId="191A45D1" w14:textId="77777777" w:rsidR="002A7FBF" w:rsidRPr="00F569AE" w:rsidRDefault="002A7FBF" w:rsidP="002A7FBF">
      <w:pPr>
        <w:rPr>
          <w:lang w:val="en-US"/>
        </w:rPr>
      </w:pPr>
    </w:p>
    <w:p w14:paraId="323A3304" w14:textId="77777777" w:rsidR="002A7FBF" w:rsidRPr="00F569AE" w:rsidRDefault="002A7FBF" w:rsidP="002A7FBF">
      <w:pPr>
        <w:rPr>
          <w:lang w:val="en-US"/>
        </w:rPr>
      </w:pPr>
    </w:p>
    <w:p w14:paraId="18B95D59" w14:textId="77777777" w:rsidR="002A7FBF" w:rsidRPr="00F569AE" w:rsidRDefault="002A7FBF" w:rsidP="002A7FBF">
      <w:pPr>
        <w:rPr>
          <w:lang w:val="en-US"/>
        </w:rPr>
      </w:pPr>
    </w:p>
    <w:p w14:paraId="6AC9426F" w14:textId="77777777" w:rsidR="002A7FBF" w:rsidRPr="00F569AE" w:rsidRDefault="002A7FBF" w:rsidP="002A7FBF">
      <w:pPr>
        <w:rPr>
          <w:lang w:val="en-US"/>
        </w:rPr>
      </w:pPr>
    </w:p>
    <w:p w14:paraId="52A187F9" w14:textId="77777777" w:rsidR="002A7FBF" w:rsidRPr="00F569AE" w:rsidRDefault="002A7FBF" w:rsidP="002A7FBF">
      <w:pPr>
        <w:rPr>
          <w:lang w:val="en-US"/>
        </w:rPr>
      </w:pPr>
    </w:p>
    <w:p w14:paraId="511D5BDB" w14:textId="77777777" w:rsidR="002A7FBF" w:rsidRPr="00F569AE" w:rsidRDefault="002A7FBF" w:rsidP="002A7FBF">
      <w:pPr>
        <w:rPr>
          <w:lang w:val="en-US"/>
        </w:rPr>
      </w:pPr>
    </w:p>
    <w:p w14:paraId="7EA044A0" w14:textId="77777777" w:rsidR="002A7FBF" w:rsidRPr="00F569AE" w:rsidRDefault="002A7FBF" w:rsidP="002A7FBF">
      <w:pPr>
        <w:rPr>
          <w:lang w:val="en-US"/>
        </w:rPr>
      </w:pPr>
    </w:p>
    <w:p w14:paraId="2725D4FB" w14:textId="77777777" w:rsidR="002A7FBF" w:rsidRPr="00F569AE" w:rsidRDefault="002A7FBF" w:rsidP="002A7FBF">
      <w:pPr>
        <w:rPr>
          <w:lang w:val="en-US"/>
        </w:rPr>
      </w:pPr>
    </w:p>
    <w:p w14:paraId="5CBF705E" w14:textId="77777777" w:rsidR="002A7FBF" w:rsidRPr="00F569AE" w:rsidRDefault="002A7FBF" w:rsidP="002A7FBF">
      <w:pPr>
        <w:rPr>
          <w:lang w:val="en-US"/>
        </w:rPr>
      </w:pPr>
    </w:p>
    <w:p w14:paraId="67F58E87" w14:textId="77777777" w:rsidR="002A7FBF" w:rsidRPr="00F569AE" w:rsidRDefault="002A7FBF" w:rsidP="002A7FBF">
      <w:pPr>
        <w:rPr>
          <w:lang w:val="en-US"/>
        </w:rPr>
      </w:pPr>
    </w:p>
    <w:p w14:paraId="28FAB6CD" w14:textId="77777777" w:rsidR="002A7FBF" w:rsidRPr="00F569AE" w:rsidRDefault="002A7FBF" w:rsidP="002A7FBF">
      <w:pPr>
        <w:rPr>
          <w:lang w:val="en-US"/>
        </w:rPr>
      </w:pPr>
    </w:p>
    <w:p w14:paraId="740B70AC" w14:textId="77777777" w:rsidR="002A7FBF" w:rsidRPr="00F569AE" w:rsidRDefault="002A7FBF" w:rsidP="002A7FBF">
      <w:pPr>
        <w:rPr>
          <w:lang w:val="en-US"/>
        </w:rPr>
      </w:pPr>
    </w:p>
    <w:p w14:paraId="1F3617B1" w14:textId="77777777" w:rsidR="002A7FBF" w:rsidRPr="00F569AE" w:rsidRDefault="002A7FBF" w:rsidP="002A7FBF">
      <w:pPr>
        <w:rPr>
          <w:lang w:val="en-US"/>
        </w:rPr>
      </w:pPr>
    </w:p>
    <w:p w14:paraId="4E9F1109" w14:textId="77777777" w:rsidR="002A7FBF" w:rsidRPr="00F569AE" w:rsidRDefault="002A7FBF" w:rsidP="002A7FBF">
      <w:pPr>
        <w:rPr>
          <w:lang w:val="en-US"/>
        </w:rPr>
      </w:pPr>
    </w:p>
    <w:p w14:paraId="7C76F958" w14:textId="77777777" w:rsidR="002A7FBF" w:rsidRPr="00F569AE" w:rsidRDefault="002A7FBF" w:rsidP="002A7FBF">
      <w:pPr>
        <w:rPr>
          <w:lang w:val="en-US"/>
        </w:rPr>
      </w:pPr>
    </w:p>
    <w:p w14:paraId="479A1C6A" w14:textId="77777777" w:rsidR="002A7FBF" w:rsidRPr="00F569AE" w:rsidRDefault="002A7FBF" w:rsidP="002A7FBF">
      <w:pPr>
        <w:rPr>
          <w:lang w:val="en-US"/>
        </w:rPr>
      </w:pPr>
    </w:p>
    <w:p w14:paraId="1F46A46A" w14:textId="77777777" w:rsidR="002A7FBF" w:rsidRPr="00F569AE" w:rsidRDefault="002A7FBF" w:rsidP="002A7FBF">
      <w:pPr>
        <w:rPr>
          <w:lang w:val="en-US"/>
        </w:rPr>
      </w:pPr>
    </w:p>
    <w:p w14:paraId="6888BA42" w14:textId="77777777" w:rsidR="002A7FBF" w:rsidRPr="00F569AE" w:rsidRDefault="002A7FBF" w:rsidP="002A7FBF">
      <w:pPr>
        <w:rPr>
          <w:lang w:val="en-US"/>
        </w:rPr>
      </w:pPr>
    </w:p>
    <w:p w14:paraId="09ADD437" w14:textId="77777777" w:rsidR="002A7FBF" w:rsidRPr="00F569AE" w:rsidRDefault="002A7FBF" w:rsidP="002A7FBF">
      <w:pPr>
        <w:rPr>
          <w:lang w:val="en-US"/>
        </w:rPr>
      </w:pPr>
    </w:p>
    <w:p w14:paraId="60448D1D" w14:textId="77777777" w:rsidR="002A7FBF" w:rsidRPr="00F569AE" w:rsidRDefault="002A7FBF" w:rsidP="002A7FBF">
      <w:pPr>
        <w:rPr>
          <w:lang w:val="en-US"/>
        </w:rPr>
      </w:pPr>
    </w:p>
    <w:p w14:paraId="7E37506F" w14:textId="77777777" w:rsidR="002A7FBF" w:rsidRPr="00F569AE" w:rsidRDefault="002A7FBF" w:rsidP="002A7FBF">
      <w:pPr>
        <w:rPr>
          <w:lang w:val="en-US"/>
        </w:rPr>
      </w:pPr>
    </w:p>
    <w:p w14:paraId="4A87E00B" w14:textId="77777777" w:rsidR="002A7FBF" w:rsidRPr="00F569AE" w:rsidRDefault="002A7FBF" w:rsidP="002A7FBF">
      <w:pPr>
        <w:rPr>
          <w:lang w:val="en-US"/>
        </w:rPr>
      </w:pPr>
    </w:p>
    <w:p w14:paraId="21E48150" w14:textId="77777777" w:rsidR="002A7FBF" w:rsidRPr="00F569AE" w:rsidRDefault="002A7FBF" w:rsidP="002A7FBF">
      <w:pPr>
        <w:rPr>
          <w:lang w:val="en-US"/>
        </w:rPr>
      </w:pPr>
    </w:p>
    <w:p w14:paraId="7343E0CD" w14:textId="77777777" w:rsidR="002A7FBF" w:rsidRPr="00F569AE" w:rsidRDefault="002A7FBF" w:rsidP="002A7FBF">
      <w:pPr>
        <w:rPr>
          <w:lang w:val="en-US"/>
        </w:rPr>
      </w:pPr>
    </w:p>
    <w:p w14:paraId="6A10E4BB" w14:textId="77777777" w:rsidR="002A7FBF" w:rsidRPr="00F569AE" w:rsidRDefault="002A7FBF" w:rsidP="002A7FBF">
      <w:pPr>
        <w:rPr>
          <w:lang w:val="en-US"/>
        </w:rPr>
      </w:pPr>
    </w:p>
    <w:p w14:paraId="483938F0" w14:textId="77777777" w:rsidR="002A7FBF" w:rsidRPr="00F569AE" w:rsidRDefault="002A7FBF" w:rsidP="002A7FBF">
      <w:pPr>
        <w:rPr>
          <w:lang w:val="en-US"/>
        </w:rPr>
      </w:pPr>
    </w:p>
    <w:p w14:paraId="41736FA6" w14:textId="77777777" w:rsidR="002A7FBF" w:rsidRPr="00F569AE" w:rsidRDefault="002A7FBF" w:rsidP="002A7FBF">
      <w:pPr>
        <w:rPr>
          <w:lang w:val="en-US"/>
        </w:rPr>
        <w:sectPr w:rsidR="002A7FBF" w:rsidRPr="00F569AE" w:rsidSect="004A2470">
          <w:pgSz w:w="11900" w:h="16820"/>
          <w:pgMar w:top="1440" w:right="1440" w:bottom="1440" w:left="1440" w:header="708" w:footer="708" w:gutter="0"/>
          <w:cols w:space="708"/>
          <w:titlePg/>
          <w:docGrid w:linePitch="360"/>
        </w:sectPr>
      </w:pPr>
    </w:p>
    <w:p w14:paraId="2F063F00" w14:textId="77777777" w:rsidR="002A7FBF" w:rsidRPr="00F569AE" w:rsidRDefault="002A7FBF" w:rsidP="002A7FBF">
      <w:pPr>
        <w:rPr>
          <w:lang w:val="en-US"/>
        </w:rPr>
      </w:pPr>
    </w:p>
    <w:p w14:paraId="3CCBE99A" w14:textId="6A96F0BE" w:rsidR="00E26127" w:rsidRPr="00F569AE" w:rsidRDefault="00E16730" w:rsidP="007822F2">
      <w:pPr>
        <w:pStyle w:val="Heading2"/>
        <w:rPr>
          <w:rFonts w:ascii="Calibri" w:hAnsi="Calibri" w:cs="Calibri"/>
          <w:i/>
        </w:rPr>
      </w:pPr>
      <w:bookmarkStart w:id="210" w:name="_Toc210058537"/>
      <w:r w:rsidRPr="00F569AE">
        <w:rPr>
          <w:rFonts w:ascii="Calibri" w:hAnsi="Calibri" w:cs="Calibri"/>
          <w:i/>
        </w:rPr>
        <w:t>Annex 2</w:t>
      </w:r>
      <w:r w:rsidR="000245A8" w:rsidRPr="00F569AE">
        <w:rPr>
          <w:rFonts w:ascii="Calibri" w:hAnsi="Calibri" w:cs="Calibri"/>
          <w:i/>
        </w:rPr>
        <w:t>:</w:t>
      </w:r>
      <w:r w:rsidR="00E26127" w:rsidRPr="00F569AE">
        <w:rPr>
          <w:rFonts w:ascii="Calibri" w:hAnsi="Calibri" w:cs="Calibri"/>
          <w:sz w:val="24"/>
          <w:szCs w:val="24"/>
        </w:rPr>
        <w:t xml:space="preserve"> </w:t>
      </w:r>
      <w:r w:rsidR="00A26B51" w:rsidRPr="00F569AE">
        <w:rPr>
          <w:rFonts w:ascii="Calibri" w:hAnsi="Calibri" w:cs="Calibri"/>
          <w:i/>
        </w:rPr>
        <w:t>P</w:t>
      </w:r>
      <w:r w:rsidR="00E26127" w:rsidRPr="00F569AE">
        <w:rPr>
          <w:rFonts w:ascii="Calibri" w:hAnsi="Calibri" w:cs="Calibri"/>
          <w:i/>
        </w:rPr>
        <w:t>roject results framework with indication of progress</w:t>
      </w:r>
      <w:bookmarkEnd w:id="210"/>
    </w:p>
    <w:p w14:paraId="021A6D22" w14:textId="77777777" w:rsidR="00312C7B" w:rsidRPr="00F569AE" w:rsidRDefault="00312C7B" w:rsidP="00312C7B">
      <w:pPr>
        <w:jc w:val="center"/>
        <w:rPr>
          <w:rFonts w:ascii="Calibri" w:hAnsi="Calibri" w:cs="Calibri"/>
          <w:b/>
          <w:sz w:val="32"/>
          <w:szCs w:val="32"/>
          <w:lang w:val="en-US"/>
        </w:rPr>
      </w:pPr>
    </w:p>
    <w:p w14:paraId="2E7B0CEF" w14:textId="2F559AA5" w:rsidR="00312C7B" w:rsidRPr="00F569AE" w:rsidRDefault="00312C7B" w:rsidP="00312C7B">
      <w:pPr>
        <w:jc w:val="center"/>
        <w:rPr>
          <w:rFonts w:ascii="Calibri" w:hAnsi="Calibri" w:cs="Calibri"/>
          <w:b/>
          <w:sz w:val="32"/>
          <w:szCs w:val="32"/>
          <w:lang w:val="en-US"/>
        </w:rPr>
      </w:pPr>
      <w:r w:rsidRPr="00F569AE">
        <w:rPr>
          <w:rFonts w:ascii="Calibri" w:hAnsi="Calibri" w:cs="Calibri"/>
          <w:b/>
          <w:sz w:val="32"/>
          <w:szCs w:val="32"/>
          <w:lang w:val="en-US"/>
        </w:rPr>
        <w:t>Result Framework – MEG II</w:t>
      </w:r>
    </w:p>
    <w:tbl>
      <w:tblPr>
        <w:tblW w:w="14677" w:type="dxa"/>
        <w:tblLayout w:type="fixed"/>
        <w:tblLook w:val="04A0" w:firstRow="1" w:lastRow="0" w:firstColumn="1" w:lastColumn="0" w:noHBand="0" w:noVBand="1"/>
      </w:tblPr>
      <w:tblGrid>
        <w:gridCol w:w="2600"/>
        <w:gridCol w:w="652"/>
        <w:gridCol w:w="3429"/>
        <w:gridCol w:w="1499"/>
        <w:gridCol w:w="990"/>
        <w:gridCol w:w="968"/>
        <w:gridCol w:w="969"/>
        <w:gridCol w:w="969"/>
        <w:gridCol w:w="969"/>
        <w:gridCol w:w="1632"/>
      </w:tblGrid>
      <w:tr w:rsidR="00D12E01" w:rsidRPr="00D42106" w14:paraId="1286113B" w14:textId="77777777" w:rsidTr="00A84808">
        <w:trPr>
          <w:trHeight w:val="322"/>
        </w:trPr>
        <w:tc>
          <w:tcPr>
            <w:tcW w:w="2600" w:type="dxa"/>
            <w:vMerge w:val="restart"/>
            <w:tcBorders>
              <w:top w:val="single" w:sz="8" w:space="0" w:color="auto"/>
              <w:left w:val="single" w:sz="8" w:space="0" w:color="auto"/>
              <w:bottom w:val="single" w:sz="4" w:space="0" w:color="000000"/>
              <w:right w:val="single" w:sz="4" w:space="0" w:color="000000"/>
            </w:tcBorders>
            <w:shd w:val="clear" w:color="auto" w:fill="83CAEB" w:themeFill="accent1" w:themeFillTint="66"/>
            <w:hideMark/>
          </w:tcPr>
          <w:p w14:paraId="7E09E84C"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Outcomes / Outputs</w:t>
            </w:r>
          </w:p>
        </w:tc>
        <w:tc>
          <w:tcPr>
            <w:tcW w:w="652" w:type="dxa"/>
            <w:tcBorders>
              <w:top w:val="single" w:sz="8" w:space="0" w:color="auto"/>
              <w:left w:val="nil"/>
              <w:bottom w:val="nil"/>
              <w:right w:val="single" w:sz="4" w:space="0" w:color="auto"/>
            </w:tcBorders>
            <w:shd w:val="clear" w:color="auto" w:fill="83CAEB" w:themeFill="accent1" w:themeFillTint="66"/>
            <w:hideMark/>
          </w:tcPr>
          <w:p w14:paraId="5D21AB36"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vMerge w:val="restart"/>
            <w:tcBorders>
              <w:top w:val="single" w:sz="8" w:space="0" w:color="auto"/>
              <w:left w:val="single" w:sz="4" w:space="0" w:color="auto"/>
              <w:bottom w:val="single" w:sz="4" w:space="0" w:color="auto"/>
              <w:right w:val="single" w:sz="4" w:space="0" w:color="auto"/>
            </w:tcBorders>
            <w:shd w:val="clear" w:color="auto" w:fill="83CAEB" w:themeFill="accent1" w:themeFillTint="66"/>
            <w:hideMark/>
          </w:tcPr>
          <w:p w14:paraId="6FB21D57"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Indicators </w:t>
            </w:r>
          </w:p>
        </w:tc>
        <w:tc>
          <w:tcPr>
            <w:tcW w:w="1499" w:type="dxa"/>
            <w:vMerge w:val="restart"/>
            <w:tcBorders>
              <w:top w:val="single" w:sz="8" w:space="0" w:color="auto"/>
              <w:left w:val="single" w:sz="4" w:space="0" w:color="auto"/>
              <w:bottom w:val="single" w:sz="4" w:space="0" w:color="auto"/>
              <w:right w:val="single" w:sz="4" w:space="0" w:color="auto"/>
            </w:tcBorders>
            <w:shd w:val="clear" w:color="auto" w:fill="83CAEB" w:themeFill="accent1" w:themeFillTint="66"/>
            <w:noWrap/>
            <w:hideMark/>
          </w:tcPr>
          <w:p w14:paraId="1F1C93EF"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Baseline, 2020</w:t>
            </w:r>
          </w:p>
        </w:tc>
        <w:tc>
          <w:tcPr>
            <w:tcW w:w="990" w:type="dxa"/>
            <w:vMerge w:val="restart"/>
            <w:tcBorders>
              <w:top w:val="single" w:sz="8" w:space="0" w:color="auto"/>
              <w:left w:val="single" w:sz="8" w:space="0" w:color="auto"/>
              <w:right w:val="single" w:sz="8" w:space="0" w:color="auto"/>
            </w:tcBorders>
            <w:shd w:val="clear" w:color="auto" w:fill="83CAEB" w:themeFill="accent1" w:themeFillTint="66"/>
            <w:vAlign w:val="center"/>
          </w:tcPr>
          <w:p w14:paraId="2663FEEF"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Target, 2024</w:t>
            </w:r>
          </w:p>
        </w:tc>
        <w:tc>
          <w:tcPr>
            <w:tcW w:w="3875" w:type="dxa"/>
            <w:gridSpan w:val="4"/>
            <w:vMerge w:val="restart"/>
            <w:tcBorders>
              <w:top w:val="single" w:sz="8" w:space="0" w:color="auto"/>
              <w:left w:val="single" w:sz="8" w:space="0" w:color="auto"/>
              <w:bottom w:val="single" w:sz="4" w:space="0" w:color="auto"/>
              <w:right w:val="single" w:sz="8" w:space="0" w:color="000000"/>
            </w:tcBorders>
            <w:shd w:val="clear" w:color="auto" w:fill="83CAEB" w:themeFill="accent1" w:themeFillTint="66"/>
            <w:noWrap/>
            <w:vAlign w:val="center"/>
            <w:hideMark/>
          </w:tcPr>
          <w:p w14:paraId="6537D8C2"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Progress</w:t>
            </w:r>
          </w:p>
        </w:tc>
        <w:tc>
          <w:tcPr>
            <w:tcW w:w="1632" w:type="dxa"/>
            <w:vMerge w:val="restart"/>
            <w:tcBorders>
              <w:top w:val="single" w:sz="8" w:space="0" w:color="auto"/>
              <w:left w:val="single" w:sz="8" w:space="0" w:color="auto"/>
              <w:right w:val="single" w:sz="8" w:space="0" w:color="000000"/>
            </w:tcBorders>
            <w:shd w:val="clear" w:color="auto" w:fill="83CAEB" w:themeFill="accent1" w:themeFillTint="66"/>
            <w:vAlign w:val="center"/>
          </w:tcPr>
          <w:p w14:paraId="2A8384B0"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Status as of 2025</w:t>
            </w:r>
          </w:p>
        </w:tc>
      </w:tr>
      <w:tr w:rsidR="00D12E01" w:rsidRPr="00D42106" w14:paraId="0BFA759B" w14:textId="77777777" w:rsidTr="00A84808">
        <w:trPr>
          <w:trHeight w:val="322"/>
          <w:tblHeader/>
        </w:trPr>
        <w:tc>
          <w:tcPr>
            <w:tcW w:w="2600" w:type="dxa"/>
            <w:vMerge/>
            <w:tcBorders>
              <w:top w:val="single" w:sz="8" w:space="0" w:color="auto"/>
              <w:left w:val="single" w:sz="8" w:space="0" w:color="auto"/>
              <w:bottom w:val="single" w:sz="4" w:space="0" w:color="000000"/>
              <w:right w:val="single" w:sz="4" w:space="0" w:color="000000"/>
            </w:tcBorders>
            <w:shd w:val="clear" w:color="auto" w:fill="83CAEB" w:themeFill="accent1" w:themeFillTint="66"/>
            <w:vAlign w:val="center"/>
            <w:hideMark/>
          </w:tcPr>
          <w:p w14:paraId="3C4FCE3D" w14:textId="77777777" w:rsidR="00D12E01" w:rsidRPr="00D42106" w:rsidRDefault="00D12E01">
            <w:pPr>
              <w:rPr>
                <w:rFonts w:ascii="Calibri" w:hAnsi="Calibri" w:cs="Calibri"/>
                <w:b/>
                <w:sz w:val="18"/>
                <w:szCs w:val="18"/>
                <w:lang w:eastAsia="sr-Latn-BA"/>
              </w:rPr>
            </w:pPr>
          </w:p>
        </w:tc>
        <w:tc>
          <w:tcPr>
            <w:tcW w:w="652" w:type="dxa"/>
            <w:tcBorders>
              <w:top w:val="nil"/>
              <w:left w:val="nil"/>
              <w:bottom w:val="single" w:sz="4" w:space="0" w:color="auto"/>
              <w:right w:val="single" w:sz="4" w:space="0" w:color="auto"/>
            </w:tcBorders>
            <w:shd w:val="clear" w:color="auto" w:fill="83CAEB" w:themeFill="accent1" w:themeFillTint="66"/>
            <w:vAlign w:val="center"/>
            <w:hideMark/>
          </w:tcPr>
          <w:p w14:paraId="5CA7D0C7"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vMerge/>
            <w:tcBorders>
              <w:top w:val="single" w:sz="8" w:space="0" w:color="auto"/>
              <w:left w:val="single" w:sz="4" w:space="0" w:color="auto"/>
              <w:bottom w:val="single" w:sz="4" w:space="0" w:color="auto"/>
              <w:right w:val="single" w:sz="4" w:space="0" w:color="auto"/>
            </w:tcBorders>
            <w:shd w:val="clear" w:color="auto" w:fill="83CAEB" w:themeFill="accent1" w:themeFillTint="66"/>
            <w:vAlign w:val="center"/>
            <w:hideMark/>
          </w:tcPr>
          <w:p w14:paraId="2D013B3C" w14:textId="77777777" w:rsidR="00D12E01" w:rsidRPr="00D42106" w:rsidRDefault="00D12E01">
            <w:pPr>
              <w:rPr>
                <w:rFonts w:ascii="Calibri" w:hAnsi="Calibri" w:cs="Calibri"/>
                <w:b/>
                <w:sz w:val="18"/>
                <w:szCs w:val="18"/>
                <w:lang w:eastAsia="sr-Latn-BA"/>
              </w:rPr>
            </w:pPr>
          </w:p>
        </w:tc>
        <w:tc>
          <w:tcPr>
            <w:tcW w:w="1499" w:type="dxa"/>
            <w:vMerge/>
            <w:tcBorders>
              <w:top w:val="single" w:sz="8" w:space="0" w:color="auto"/>
              <w:left w:val="single" w:sz="4" w:space="0" w:color="auto"/>
              <w:bottom w:val="single" w:sz="4" w:space="0" w:color="auto"/>
              <w:right w:val="single" w:sz="4" w:space="0" w:color="auto"/>
            </w:tcBorders>
            <w:shd w:val="clear" w:color="auto" w:fill="83CAEB" w:themeFill="accent1" w:themeFillTint="66"/>
            <w:vAlign w:val="center"/>
            <w:hideMark/>
          </w:tcPr>
          <w:p w14:paraId="234A3794" w14:textId="77777777" w:rsidR="00D12E01" w:rsidRPr="00D42106" w:rsidRDefault="00D12E01">
            <w:pPr>
              <w:rPr>
                <w:rFonts w:ascii="Calibri" w:hAnsi="Calibri" w:cs="Calibri"/>
                <w:b/>
                <w:sz w:val="18"/>
                <w:szCs w:val="18"/>
                <w:lang w:eastAsia="sr-Latn-BA"/>
              </w:rPr>
            </w:pPr>
          </w:p>
        </w:tc>
        <w:tc>
          <w:tcPr>
            <w:tcW w:w="990" w:type="dxa"/>
            <w:vMerge/>
            <w:tcBorders>
              <w:left w:val="single" w:sz="8" w:space="0" w:color="auto"/>
              <w:bottom w:val="single" w:sz="4" w:space="0" w:color="auto"/>
              <w:right w:val="single" w:sz="8" w:space="0" w:color="auto"/>
            </w:tcBorders>
            <w:shd w:val="clear" w:color="auto" w:fill="83CAEB" w:themeFill="accent1" w:themeFillTint="66"/>
            <w:vAlign w:val="center"/>
          </w:tcPr>
          <w:p w14:paraId="7142E6E1" w14:textId="77777777" w:rsidR="00D12E01" w:rsidRPr="00D42106" w:rsidRDefault="00D12E01">
            <w:pPr>
              <w:jc w:val="center"/>
              <w:rPr>
                <w:rFonts w:ascii="Calibri" w:hAnsi="Calibri" w:cs="Calibri"/>
                <w:b/>
                <w:sz w:val="18"/>
                <w:szCs w:val="18"/>
                <w:lang w:eastAsia="sr-Latn-BA"/>
              </w:rPr>
            </w:pPr>
          </w:p>
        </w:tc>
        <w:tc>
          <w:tcPr>
            <w:tcW w:w="3875" w:type="dxa"/>
            <w:gridSpan w:val="4"/>
            <w:vMerge/>
            <w:tcBorders>
              <w:top w:val="single" w:sz="8" w:space="0" w:color="auto"/>
              <w:left w:val="single" w:sz="8" w:space="0" w:color="auto"/>
              <w:bottom w:val="single" w:sz="4" w:space="0" w:color="auto"/>
              <w:right w:val="single" w:sz="8" w:space="0" w:color="000000"/>
            </w:tcBorders>
            <w:shd w:val="clear" w:color="auto" w:fill="83CAEB" w:themeFill="accent1" w:themeFillTint="66"/>
            <w:vAlign w:val="center"/>
            <w:hideMark/>
          </w:tcPr>
          <w:p w14:paraId="2EA035D5" w14:textId="77777777" w:rsidR="00D12E01" w:rsidRPr="00D42106" w:rsidRDefault="00D12E01">
            <w:pPr>
              <w:jc w:val="center"/>
              <w:rPr>
                <w:rFonts w:ascii="Calibri" w:hAnsi="Calibri" w:cs="Calibri"/>
                <w:b/>
                <w:sz w:val="18"/>
                <w:szCs w:val="18"/>
                <w:lang w:eastAsia="sr-Latn-BA"/>
              </w:rPr>
            </w:pPr>
          </w:p>
        </w:tc>
        <w:tc>
          <w:tcPr>
            <w:tcW w:w="1632" w:type="dxa"/>
            <w:vMerge/>
            <w:tcBorders>
              <w:left w:val="single" w:sz="8" w:space="0" w:color="auto"/>
              <w:bottom w:val="single" w:sz="4" w:space="0" w:color="auto"/>
              <w:right w:val="single" w:sz="8" w:space="0" w:color="000000"/>
            </w:tcBorders>
            <w:shd w:val="clear" w:color="auto" w:fill="83CAEB" w:themeFill="accent1" w:themeFillTint="66"/>
            <w:vAlign w:val="center"/>
          </w:tcPr>
          <w:p w14:paraId="533DFC07" w14:textId="77777777" w:rsidR="00D12E01" w:rsidRPr="00D42106" w:rsidRDefault="00D12E01">
            <w:pPr>
              <w:jc w:val="center"/>
              <w:rPr>
                <w:rFonts w:ascii="Calibri" w:hAnsi="Calibri" w:cs="Calibri"/>
                <w:b/>
                <w:sz w:val="18"/>
                <w:szCs w:val="18"/>
                <w:lang w:eastAsia="sr-Latn-BA"/>
              </w:rPr>
            </w:pPr>
          </w:p>
        </w:tc>
      </w:tr>
      <w:tr w:rsidR="00D12E01" w:rsidRPr="00D42106" w14:paraId="226F9715" w14:textId="77777777" w:rsidTr="00A84808">
        <w:trPr>
          <w:trHeight w:val="289"/>
        </w:trPr>
        <w:tc>
          <w:tcPr>
            <w:tcW w:w="2600" w:type="dxa"/>
            <w:tcBorders>
              <w:top w:val="single" w:sz="4" w:space="0" w:color="auto"/>
              <w:left w:val="single" w:sz="8" w:space="0" w:color="auto"/>
              <w:bottom w:val="single" w:sz="4" w:space="0" w:color="auto"/>
              <w:right w:val="single" w:sz="4" w:space="0" w:color="auto"/>
            </w:tcBorders>
            <w:shd w:val="clear" w:color="auto" w:fill="83CAEB" w:themeFill="accent1" w:themeFillTint="66"/>
            <w:vAlign w:val="center"/>
            <w:hideMark/>
          </w:tcPr>
          <w:p w14:paraId="227E85B7"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Impact (Overall Goal) </w:t>
            </w:r>
          </w:p>
        </w:tc>
        <w:tc>
          <w:tcPr>
            <w:tcW w:w="652" w:type="dxa"/>
            <w:tcBorders>
              <w:top w:val="nil"/>
              <w:left w:val="nil"/>
              <w:bottom w:val="single" w:sz="4" w:space="0" w:color="auto"/>
              <w:right w:val="single" w:sz="4" w:space="0" w:color="auto"/>
            </w:tcBorders>
            <w:shd w:val="clear" w:color="auto" w:fill="83CAEB" w:themeFill="accent1" w:themeFillTint="66"/>
            <w:vAlign w:val="center"/>
            <w:hideMark/>
          </w:tcPr>
          <w:p w14:paraId="6ADC7F1E"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shd w:val="clear" w:color="auto" w:fill="83CAEB" w:themeFill="accent1" w:themeFillTint="66"/>
            <w:vAlign w:val="center"/>
            <w:hideMark/>
          </w:tcPr>
          <w:p w14:paraId="2805803C"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Impact indicators</w:t>
            </w:r>
          </w:p>
        </w:tc>
        <w:tc>
          <w:tcPr>
            <w:tcW w:w="1499" w:type="dxa"/>
            <w:tcBorders>
              <w:top w:val="nil"/>
              <w:left w:val="nil"/>
              <w:bottom w:val="single" w:sz="4" w:space="0" w:color="auto"/>
              <w:right w:val="single" w:sz="4" w:space="0" w:color="auto"/>
            </w:tcBorders>
            <w:shd w:val="clear" w:color="auto" w:fill="83CAEB" w:themeFill="accent1" w:themeFillTint="66"/>
            <w:noWrap/>
            <w:vAlign w:val="bottom"/>
            <w:hideMark/>
          </w:tcPr>
          <w:p w14:paraId="76154BA5"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xml:space="preserve">Value </w:t>
            </w:r>
          </w:p>
        </w:tc>
        <w:tc>
          <w:tcPr>
            <w:tcW w:w="990" w:type="dxa"/>
            <w:tcBorders>
              <w:top w:val="nil"/>
              <w:left w:val="single" w:sz="8" w:space="0" w:color="auto"/>
              <w:bottom w:val="single" w:sz="4" w:space="0" w:color="auto"/>
              <w:right w:val="single" w:sz="8" w:space="0" w:color="auto"/>
            </w:tcBorders>
            <w:shd w:val="clear" w:color="auto" w:fill="83CAEB" w:themeFill="accent1" w:themeFillTint="66"/>
            <w:vAlign w:val="center"/>
          </w:tcPr>
          <w:p w14:paraId="2A03EE95" w14:textId="77777777" w:rsidR="00D12E01" w:rsidRPr="00D42106" w:rsidRDefault="00D12E01">
            <w:pPr>
              <w:jc w:val="center"/>
              <w:rPr>
                <w:rFonts w:ascii="Calibri" w:hAnsi="Calibri" w:cs="Calibri"/>
                <w:b/>
                <w:sz w:val="18"/>
                <w:szCs w:val="18"/>
                <w:lang w:eastAsia="sr-Latn-BA"/>
              </w:rPr>
            </w:pPr>
          </w:p>
        </w:tc>
        <w:tc>
          <w:tcPr>
            <w:tcW w:w="968" w:type="dxa"/>
            <w:tcBorders>
              <w:top w:val="nil"/>
              <w:left w:val="single" w:sz="8" w:space="0" w:color="auto"/>
              <w:bottom w:val="single" w:sz="4" w:space="0" w:color="auto"/>
              <w:right w:val="single" w:sz="4" w:space="0" w:color="auto"/>
            </w:tcBorders>
            <w:shd w:val="clear" w:color="auto" w:fill="83CAEB" w:themeFill="accent1" w:themeFillTint="66"/>
            <w:noWrap/>
            <w:vAlign w:val="center"/>
            <w:hideMark/>
          </w:tcPr>
          <w:p w14:paraId="73E48458"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Y1</w:t>
            </w:r>
          </w:p>
        </w:tc>
        <w:tc>
          <w:tcPr>
            <w:tcW w:w="969" w:type="dxa"/>
            <w:tcBorders>
              <w:top w:val="nil"/>
              <w:left w:val="nil"/>
              <w:bottom w:val="single" w:sz="4" w:space="0" w:color="auto"/>
              <w:right w:val="single" w:sz="4" w:space="0" w:color="auto"/>
            </w:tcBorders>
            <w:shd w:val="clear" w:color="auto" w:fill="83CAEB" w:themeFill="accent1" w:themeFillTint="66"/>
            <w:noWrap/>
            <w:vAlign w:val="center"/>
            <w:hideMark/>
          </w:tcPr>
          <w:p w14:paraId="20B62958"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Y2</w:t>
            </w:r>
          </w:p>
        </w:tc>
        <w:tc>
          <w:tcPr>
            <w:tcW w:w="969" w:type="dxa"/>
            <w:tcBorders>
              <w:top w:val="nil"/>
              <w:left w:val="nil"/>
              <w:bottom w:val="single" w:sz="4" w:space="0" w:color="auto"/>
              <w:right w:val="single" w:sz="4" w:space="0" w:color="auto"/>
            </w:tcBorders>
            <w:shd w:val="clear" w:color="auto" w:fill="83CAEB" w:themeFill="accent1" w:themeFillTint="66"/>
            <w:noWrap/>
            <w:vAlign w:val="center"/>
            <w:hideMark/>
          </w:tcPr>
          <w:p w14:paraId="075CD4BD"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Y3</w:t>
            </w:r>
          </w:p>
        </w:tc>
        <w:tc>
          <w:tcPr>
            <w:tcW w:w="969" w:type="dxa"/>
            <w:tcBorders>
              <w:top w:val="nil"/>
              <w:left w:val="nil"/>
              <w:bottom w:val="single" w:sz="4" w:space="0" w:color="auto"/>
              <w:right w:val="single" w:sz="8" w:space="0" w:color="auto"/>
            </w:tcBorders>
            <w:shd w:val="clear" w:color="auto" w:fill="83CAEB" w:themeFill="accent1" w:themeFillTint="66"/>
            <w:noWrap/>
            <w:vAlign w:val="center"/>
            <w:hideMark/>
          </w:tcPr>
          <w:p w14:paraId="0F59F9E1"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Y4</w:t>
            </w:r>
          </w:p>
        </w:tc>
        <w:tc>
          <w:tcPr>
            <w:tcW w:w="1632" w:type="dxa"/>
            <w:tcBorders>
              <w:top w:val="nil"/>
              <w:left w:val="nil"/>
              <w:bottom w:val="single" w:sz="4" w:space="0" w:color="auto"/>
              <w:right w:val="single" w:sz="8" w:space="0" w:color="auto"/>
            </w:tcBorders>
            <w:shd w:val="clear" w:color="auto" w:fill="83CAEB" w:themeFill="accent1" w:themeFillTint="66"/>
            <w:vAlign w:val="center"/>
          </w:tcPr>
          <w:p w14:paraId="09D3EE74" w14:textId="77777777" w:rsidR="00D12E01" w:rsidRPr="00D42106" w:rsidRDefault="00D12E01">
            <w:pPr>
              <w:jc w:val="center"/>
              <w:rPr>
                <w:rFonts w:ascii="Calibri" w:hAnsi="Calibri" w:cs="Calibri"/>
                <w:b/>
                <w:sz w:val="18"/>
                <w:szCs w:val="18"/>
                <w:lang w:eastAsia="sr-Latn-BA"/>
              </w:rPr>
            </w:pPr>
          </w:p>
        </w:tc>
      </w:tr>
      <w:tr w:rsidR="00D12E01" w:rsidRPr="00D42106" w14:paraId="10109467" w14:textId="77777777" w:rsidTr="0038576D">
        <w:trPr>
          <w:trHeight w:val="1958"/>
        </w:trPr>
        <w:tc>
          <w:tcPr>
            <w:tcW w:w="2600" w:type="dxa"/>
            <w:tcBorders>
              <w:top w:val="single" w:sz="4" w:space="0" w:color="auto"/>
              <w:left w:val="single" w:sz="8" w:space="0" w:color="auto"/>
              <w:bottom w:val="single" w:sz="4" w:space="0" w:color="auto"/>
              <w:right w:val="single" w:sz="4" w:space="0" w:color="auto"/>
            </w:tcBorders>
            <w:shd w:val="clear" w:color="auto" w:fill="F2F2F2" w:themeFill="background1" w:themeFillShade="F2"/>
            <w:vAlign w:val="center"/>
            <w:hideMark/>
          </w:tcPr>
          <w:p w14:paraId="2E03CA49"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xml:space="preserve">Goal: To contribute to the democratization of local governance in Bosnia and Herzegovina and more effective and efficient public services for the citizens, particularly water supply and wastewater management services. </w:t>
            </w:r>
          </w:p>
        </w:tc>
        <w:tc>
          <w:tcPr>
            <w:tcW w:w="652" w:type="dxa"/>
            <w:tcBorders>
              <w:top w:val="nil"/>
              <w:left w:val="nil"/>
              <w:right w:val="single" w:sz="4" w:space="0" w:color="auto"/>
            </w:tcBorders>
            <w:shd w:val="clear" w:color="auto" w:fill="F2F2F2" w:themeFill="background1" w:themeFillShade="F2"/>
            <w:vAlign w:val="center"/>
            <w:hideMark/>
          </w:tcPr>
          <w:p w14:paraId="62741B33" w14:textId="77777777" w:rsidR="00D12E01" w:rsidRPr="00D42106" w:rsidRDefault="00D12E01">
            <w:pPr>
              <w:jc w:val="both"/>
              <w:rPr>
                <w:rFonts w:ascii="Calibri" w:hAnsi="Calibri" w:cs="Calibri"/>
                <w:b/>
                <w:sz w:val="18"/>
                <w:szCs w:val="18"/>
                <w:lang w:eastAsia="sr-Latn-BA"/>
              </w:rPr>
            </w:pPr>
            <w:r w:rsidRPr="00D42106">
              <w:rPr>
                <w:rFonts w:ascii="Calibri" w:hAnsi="Calibri" w:cs="Calibri"/>
                <w:b/>
                <w:sz w:val="18"/>
                <w:szCs w:val="18"/>
                <w:lang w:eastAsia="sr-Latn-BA"/>
              </w:rPr>
              <w:t> </w:t>
            </w:r>
          </w:p>
          <w:p w14:paraId="1B4454B6" w14:textId="77777777" w:rsidR="00D12E01" w:rsidRPr="00D42106" w:rsidRDefault="00D12E01">
            <w:pPr>
              <w:jc w:val="both"/>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right w:val="single" w:sz="4" w:space="0" w:color="auto"/>
            </w:tcBorders>
            <w:shd w:val="clear" w:color="auto" w:fill="F2F2F2" w:themeFill="background1" w:themeFillShade="F2"/>
            <w:vAlign w:val="center"/>
            <w:hideMark/>
          </w:tcPr>
          <w:p w14:paraId="27729426" w14:textId="77777777" w:rsidR="00D12E01" w:rsidRPr="00D42106" w:rsidRDefault="00D12E01">
            <w:pPr>
              <w:jc w:val="both"/>
              <w:rPr>
                <w:rFonts w:ascii="Calibri" w:hAnsi="Calibri" w:cs="Calibri"/>
                <w:i/>
                <w:sz w:val="18"/>
                <w:szCs w:val="18"/>
                <w:u w:val="single"/>
                <w:lang w:eastAsia="sr-Latn-BA"/>
              </w:rPr>
            </w:pPr>
            <w:r w:rsidRPr="00D42106">
              <w:rPr>
                <w:rFonts w:ascii="Calibri" w:hAnsi="Calibri" w:cs="Calibri"/>
                <w:i/>
                <w:sz w:val="18"/>
                <w:szCs w:val="18"/>
                <w:lang w:eastAsia="sr-Latn-BA"/>
              </w:rPr>
              <w:t>% of local governments in the country which meet the good local governance benchmarks, thus ensure democratic governance and effective service delivery.</w:t>
            </w:r>
            <w:r w:rsidRPr="00D42106">
              <w:rPr>
                <w:rFonts w:ascii="Calibri" w:hAnsi="Calibri" w:cs="Calibri"/>
                <w:i/>
                <w:sz w:val="18"/>
                <w:szCs w:val="18"/>
                <w:u w:val="single"/>
                <w:lang w:eastAsia="sr-Latn-BA"/>
              </w:rPr>
              <w:t xml:space="preserve"> </w:t>
            </w:r>
          </w:p>
          <w:p w14:paraId="71AA3AF6"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u w:val="single"/>
                <w:lang w:eastAsia="sr-Latn-BA"/>
              </w:rPr>
              <w:t>Baseline (2020):</w:t>
            </w:r>
            <w:r w:rsidRPr="00D42106">
              <w:rPr>
                <w:rFonts w:ascii="Calibri" w:hAnsi="Calibri" w:cs="Calibri"/>
                <w:i/>
                <w:sz w:val="18"/>
                <w:szCs w:val="18"/>
                <w:lang w:eastAsia="sr-Latn-BA"/>
              </w:rPr>
              <w:t xml:space="preserve"> 11% (Phase I MEG Project partner local governments).</w:t>
            </w:r>
          </w:p>
        </w:tc>
        <w:tc>
          <w:tcPr>
            <w:tcW w:w="1499" w:type="dxa"/>
            <w:tcBorders>
              <w:top w:val="nil"/>
              <w:left w:val="nil"/>
              <w:right w:val="single" w:sz="4" w:space="0" w:color="auto"/>
            </w:tcBorders>
            <w:noWrap/>
            <w:vAlign w:val="center"/>
          </w:tcPr>
          <w:p w14:paraId="2AA4E24F"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11%</w:t>
            </w:r>
          </w:p>
        </w:tc>
        <w:tc>
          <w:tcPr>
            <w:tcW w:w="990" w:type="dxa"/>
            <w:tcBorders>
              <w:top w:val="nil"/>
              <w:left w:val="single" w:sz="8" w:space="0" w:color="auto"/>
              <w:right w:val="single" w:sz="8" w:space="0" w:color="auto"/>
            </w:tcBorders>
            <w:shd w:val="clear" w:color="auto" w:fill="D9D9D9" w:themeFill="background1" w:themeFillShade="D9"/>
            <w:vAlign w:val="center"/>
          </w:tcPr>
          <w:p w14:paraId="128ABC9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25%</w:t>
            </w:r>
          </w:p>
        </w:tc>
        <w:tc>
          <w:tcPr>
            <w:tcW w:w="968" w:type="dxa"/>
            <w:tcBorders>
              <w:top w:val="nil"/>
              <w:left w:val="single" w:sz="8" w:space="0" w:color="auto"/>
              <w:right w:val="single" w:sz="4" w:space="0" w:color="auto"/>
            </w:tcBorders>
            <w:noWrap/>
            <w:vAlign w:val="center"/>
          </w:tcPr>
          <w:p w14:paraId="6F7239D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11%</w:t>
            </w:r>
          </w:p>
        </w:tc>
        <w:tc>
          <w:tcPr>
            <w:tcW w:w="969" w:type="dxa"/>
            <w:tcBorders>
              <w:top w:val="nil"/>
              <w:left w:val="nil"/>
              <w:right w:val="single" w:sz="4" w:space="0" w:color="auto"/>
            </w:tcBorders>
            <w:noWrap/>
            <w:vAlign w:val="center"/>
          </w:tcPr>
          <w:p w14:paraId="0C228591"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11%</w:t>
            </w:r>
          </w:p>
        </w:tc>
        <w:tc>
          <w:tcPr>
            <w:tcW w:w="969" w:type="dxa"/>
            <w:tcBorders>
              <w:top w:val="nil"/>
              <w:left w:val="nil"/>
              <w:right w:val="single" w:sz="4" w:space="0" w:color="auto"/>
            </w:tcBorders>
            <w:noWrap/>
            <w:vAlign w:val="center"/>
          </w:tcPr>
          <w:p w14:paraId="236ABAA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20%</w:t>
            </w:r>
          </w:p>
        </w:tc>
        <w:tc>
          <w:tcPr>
            <w:tcW w:w="969" w:type="dxa"/>
            <w:tcBorders>
              <w:top w:val="nil"/>
              <w:left w:val="nil"/>
              <w:right w:val="single" w:sz="8" w:space="0" w:color="auto"/>
            </w:tcBorders>
            <w:noWrap/>
            <w:vAlign w:val="center"/>
          </w:tcPr>
          <w:p w14:paraId="5087949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20%</w:t>
            </w:r>
          </w:p>
        </w:tc>
        <w:tc>
          <w:tcPr>
            <w:tcW w:w="1632" w:type="dxa"/>
            <w:tcBorders>
              <w:top w:val="nil"/>
              <w:left w:val="nil"/>
              <w:right w:val="single" w:sz="8" w:space="0" w:color="auto"/>
            </w:tcBorders>
            <w:shd w:val="clear" w:color="auto" w:fill="D9F2D0" w:themeFill="accent6" w:themeFillTint="33"/>
            <w:vAlign w:val="center"/>
          </w:tcPr>
          <w:p w14:paraId="7C5C9C0D"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24.8%</w:t>
            </w:r>
          </w:p>
          <w:p w14:paraId="07DBA333"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(old + new MEG LGs)</w:t>
            </w:r>
          </w:p>
        </w:tc>
      </w:tr>
      <w:tr w:rsidR="00D12E01" w:rsidRPr="00D42106" w14:paraId="165A19C4" w14:textId="77777777" w:rsidTr="00A84808">
        <w:trPr>
          <w:trHeight w:val="289"/>
        </w:trPr>
        <w:tc>
          <w:tcPr>
            <w:tcW w:w="2600" w:type="dxa"/>
            <w:vMerge w:val="restart"/>
            <w:tcBorders>
              <w:top w:val="single" w:sz="8" w:space="0" w:color="auto"/>
              <w:left w:val="single" w:sz="8" w:space="0" w:color="auto"/>
              <w:bottom w:val="single" w:sz="4" w:space="0" w:color="auto"/>
              <w:right w:val="single" w:sz="4" w:space="0" w:color="auto"/>
            </w:tcBorders>
            <w:shd w:val="clear" w:color="auto" w:fill="C1E4F5" w:themeFill="accent1" w:themeFillTint="33"/>
            <w:vAlign w:val="center"/>
            <w:hideMark/>
          </w:tcPr>
          <w:p w14:paraId="6719E1B9"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Outcomes</w:t>
            </w:r>
          </w:p>
        </w:tc>
        <w:tc>
          <w:tcPr>
            <w:tcW w:w="652" w:type="dxa"/>
            <w:vMerge w:val="restart"/>
            <w:tcBorders>
              <w:top w:val="single" w:sz="8" w:space="0" w:color="auto"/>
              <w:left w:val="nil"/>
              <w:right w:val="single" w:sz="4" w:space="0" w:color="auto"/>
            </w:tcBorders>
            <w:shd w:val="clear" w:color="auto" w:fill="C1E4F5" w:themeFill="accent1" w:themeFillTint="33"/>
            <w:vAlign w:val="center"/>
            <w:hideMark/>
          </w:tcPr>
          <w:p w14:paraId="66F559C9"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p w14:paraId="6D825D37"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vMerge w:val="restart"/>
            <w:tcBorders>
              <w:top w:val="single" w:sz="8" w:space="0" w:color="auto"/>
              <w:left w:val="single" w:sz="4" w:space="0" w:color="auto"/>
              <w:bottom w:val="single" w:sz="4" w:space="0" w:color="auto"/>
              <w:right w:val="single" w:sz="4" w:space="0" w:color="auto"/>
            </w:tcBorders>
            <w:shd w:val="clear" w:color="auto" w:fill="C1E4F5" w:themeFill="accent1" w:themeFillTint="33"/>
            <w:vAlign w:val="center"/>
            <w:hideMark/>
          </w:tcPr>
          <w:p w14:paraId="3D3F0815"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Outcome indicators</w:t>
            </w:r>
          </w:p>
        </w:tc>
        <w:tc>
          <w:tcPr>
            <w:tcW w:w="1499" w:type="dxa"/>
            <w:tcBorders>
              <w:top w:val="single" w:sz="8" w:space="0" w:color="auto"/>
              <w:left w:val="nil"/>
              <w:bottom w:val="single" w:sz="4" w:space="0" w:color="auto"/>
              <w:right w:val="single" w:sz="8" w:space="0" w:color="000000"/>
            </w:tcBorders>
            <w:shd w:val="clear" w:color="auto" w:fill="C1E4F5" w:themeFill="accent1" w:themeFillTint="33"/>
            <w:noWrap/>
            <w:vAlign w:val="bottom"/>
            <w:hideMark/>
          </w:tcPr>
          <w:p w14:paraId="3625E645"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Baseline</w:t>
            </w:r>
          </w:p>
        </w:tc>
        <w:tc>
          <w:tcPr>
            <w:tcW w:w="990" w:type="dxa"/>
            <w:tcBorders>
              <w:top w:val="single" w:sz="8" w:space="0" w:color="auto"/>
              <w:left w:val="nil"/>
              <w:bottom w:val="single" w:sz="4" w:space="0" w:color="auto"/>
              <w:right w:val="nil"/>
            </w:tcBorders>
            <w:shd w:val="clear" w:color="auto" w:fill="C1E4F5" w:themeFill="accent1" w:themeFillTint="33"/>
            <w:vAlign w:val="center"/>
          </w:tcPr>
          <w:p w14:paraId="66FFBA55" w14:textId="77777777" w:rsidR="00D12E01" w:rsidRPr="00D42106" w:rsidRDefault="00D12E01">
            <w:pPr>
              <w:jc w:val="center"/>
              <w:rPr>
                <w:rFonts w:ascii="Calibri" w:hAnsi="Calibri" w:cs="Calibri"/>
                <w:b/>
                <w:sz w:val="18"/>
                <w:szCs w:val="18"/>
                <w:lang w:eastAsia="sr-Latn-BA"/>
              </w:rPr>
            </w:pPr>
          </w:p>
        </w:tc>
        <w:tc>
          <w:tcPr>
            <w:tcW w:w="3875" w:type="dxa"/>
            <w:gridSpan w:val="4"/>
            <w:tcBorders>
              <w:top w:val="single" w:sz="8" w:space="0" w:color="auto"/>
              <w:left w:val="nil"/>
              <w:bottom w:val="single" w:sz="4" w:space="0" w:color="auto"/>
              <w:right w:val="single" w:sz="8" w:space="0" w:color="000000"/>
            </w:tcBorders>
            <w:shd w:val="clear" w:color="auto" w:fill="C1E4F5" w:themeFill="accent1" w:themeFillTint="33"/>
            <w:noWrap/>
            <w:vAlign w:val="center"/>
            <w:hideMark/>
          </w:tcPr>
          <w:p w14:paraId="7B9C43D7"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Targets (plan)</w:t>
            </w:r>
            <w:r>
              <w:rPr>
                <w:rFonts w:ascii="Calibri" w:hAnsi="Calibri" w:cs="Calibri"/>
                <w:b/>
                <w:sz w:val="18"/>
                <w:szCs w:val="18"/>
                <w:lang w:eastAsia="sr-Latn-BA"/>
              </w:rPr>
              <w:t xml:space="preserve"> </w:t>
            </w:r>
            <w:r w:rsidRPr="00F03233">
              <w:rPr>
                <w:rFonts w:ascii="Calibri" w:hAnsi="Calibri" w:cs="Calibri"/>
                <w:b/>
                <w:color w:val="FF0000"/>
                <w:sz w:val="18"/>
                <w:szCs w:val="18"/>
                <w:lang w:eastAsia="sr-Latn-BA"/>
              </w:rPr>
              <w:t>NOTE: The data per year is actual progress</w:t>
            </w:r>
          </w:p>
        </w:tc>
        <w:tc>
          <w:tcPr>
            <w:tcW w:w="1632" w:type="dxa"/>
            <w:tcBorders>
              <w:top w:val="single" w:sz="8" w:space="0" w:color="auto"/>
              <w:left w:val="nil"/>
              <w:bottom w:val="single" w:sz="4" w:space="0" w:color="auto"/>
              <w:right w:val="single" w:sz="8" w:space="0" w:color="000000"/>
            </w:tcBorders>
            <w:shd w:val="clear" w:color="auto" w:fill="C1E4F5" w:themeFill="accent1" w:themeFillTint="33"/>
            <w:vAlign w:val="center"/>
          </w:tcPr>
          <w:p w14:paraId="34E37DB3" w14:textId="77777777" w:rsidR="00D12E01" w:rsidRPr="00D42106" w:rsidRDefault="00D12E01">
            <w:pPr>
              <w:jc w:val="center"/>
              <w:rPr>
                <w:rFonts w:ascii="Calibri" w:hAnsi="Calibri" w:cs="Calibri"/>
                <w:b/>
                <w:sz w:val="18"/>
                <w:szCs w:val="18"/>
                <w:lang w:eastAsia="sr-Latn-BA"/>
              </w:rPr>
            </w:pPr>
          </w:p>
        </w:tc>
      </w:tr>
      <w:tr w:rsidR="00D12E01" w:rsidRPr="00D42106" w14:paraId="4E1F1AEF" w14:textId="77777777" w:rsidTr="00A84808">
        <w:trPr>
          <w:trHeight w:val="289"/>
        </w:trPr>
        <w:tc>
          <w:tcPr>
            <w:tcW w:w="2600" w:type="dxa"/>
            <w:vMerge/>
            <w:tcBorders>
              <w:top w:val="single" w:sz="8" w:space="0" w:color="auto"/>
              <w:left w:val="single" w:sz="8" w:space="0" w:color="auto"/>
              <w:bottom w:val="single" w:sz="4" w:space="0" w:color="auto"/>
              <w:right w:val="single" w:sz="4" w:space="0" w:color="auto"/>
            </w:tcBorders>
            <w:shd w:val="clear" w:color="auto" w:fill="C1E4F5" w:themeFill="accent1" w:themeFillTint="33"/>
            <w:vAlign w:val="center"/>
            <w:hideMark/>
          </w:tcPr>
          <w:p w14:paraId="199B3099" w14:textId="77777777" w:rsidR="00D12E01" w:rsidRPr="00D42106" w:rsidRDefault="00D12E01">
            <w:pPr>
              <w:rPr>
                <w:rFonts w:ascii="Calibri" w:hAnsi="Calibri" w:cs="Calibri"/>
                <w:b/>
                <w:sz w:val="18"/>
                <w:szCs w:val="18"/>
                <w:lang w:eastAsia="sr-Latn-BA"/>
              </w:rPr>
            </w:pPr>
          </w:p>
        </w:tc>
        <w:tc>
          <w:tcPr>
            <w:tcW w:w="652" w:type="dxa"/>
            <w:vMerge/>
            <w:tcBorders>
              <w:left w:val="nil"/>
              <w:bottom w:val="single" w:sz="4" w:space="0" w:color="auto"/>
              <w:right w:val="single" w:sz="4" w:space="0" w:color="auto"/>
            </w:tcBorders>
            <w:shd w:val="clear" w:color="auto" w:fill="C1E4F5" w:themeFill="accent1" w:themeFillTint="33"/>
            <w:vAlign w:val="center"/>
            <w:hideMark/>
          </w:tcPr>
          <w:p w14:paraId="71A4207E" w14:textId="77777777" w:rsidR="00D12E01" w:rsidRPr="00D42106" w:rsidRDefault="00D12E01">
            <w:pPr>
              <w:rPr>
                <w:rFonts w:ascii="Calibri" w:hAnsi="Calibri" w:cs="Calibri"/>
                <w:b/>
                <w:sz w:val="18"/>
                <w:szCs w:val="18"/>
                <w:lang w:eastAsia="sr-Latn-BA"/>
              </w:rPr>
            </w:pPr>
          </w:p>
        </w:tc>
        <w:tc>
          <w:tcPr>
            <w:tcW w:w="3429" w:type="dxa"/>
            <w:vMerge/>
            <w:tcBorders>
              <w:top w:val="single" w:sz="8" w:space="0" w:color="auto"/>
              <w:left w:val="single" w:sz="4" w:space="0" w:color="auto"/>
              <w:bottom w:val="single" w:sz="4" w:space="0" w:color="auto"/>
              <w:right w:val="single" w:sz="4" w:space="0" w:color="auto"/>
            </w:tcBorders>
            <w:shd w:val="clear" w:color="auto" w:fill="C1E4F5" w:themeFill="accent1" w:themeFillTint="33"/>
            <w:vAlign w:val="center"/>
            <w:hideMark/>
          </w:tcPr>
          <w:p w14:paraId="407F637B" w14:textId="77777777" w:rsidR="00D12E01" w:rsidRPr="00D42106" w:rsidRDefault="00D12E01">
            <w:pPr>
              <w:rPr>
                <w:rFonts w:ascii="Calibri" w:hAnsi="Calibri" w:cs="Calibri"/>
                <w:b/>
                <w:sz w:val="18"/>
                <w:szCs w:val="18"/>
                <w:lang w:eastAsia="sr-Latn-BA"/>
              </w:rPr>
            </w:pPr>
          </w:p>
        </w:tc>
        <w:tc>
          <w:tcPr>
            <w:tcW w:w="1499" w:type="dxa"/>
            <w:tcBorders>
              <w:top w:val="nil"/>
              <w:left w:val="nil"/>
              <w:bottom w:val="single" w:sz="4" w:space="0" w:color="auto"/>
              <w:right w:val="single" w:sz="4" w:space="0" w:color="auto"/>
            </w:tcBorders>
            <w:shd w:val="clear" w:color="auto" w:fill="C1E4F5" w:themeFill="accent1" w:themeFillTint="33"/>
            <w:noWrap/>
            <w:vAlign w:val="bottom"/>
            <w:hideMark/>
          </w:tcPr>
          <w:p w14:paraId="72183A20"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Value </w:t>
            </w:r>
          </w:p>
        </w:tc>
        <w:tc>
          <w:tcPr>
            <w:tcW w:w="990" w:type="dxa"/>
            <w:tcBorders>
              <w:top w:val="nil"/>
              <w:left w:val="single" w:sz="8" w:space="0" w:color="auto"/>
              <w:bottom w:val="single" w:sz="4" w:space="0" w:color="auto"/>
              <w:right w:val="single" w:sz="8" w:space="0" w:color="auto"/>
            </w:tcBorders>
            <w:shd w:val="clear" w:color="auto" w:fill="C1E4F5" w:themeFill="accent1" w:themeFillTint="33"/>
            <w:vAlign w:val="center"/>
          </w:tcPr>
          <w:p w14:paraId="267AD2AA" w14:textId="77777777" w:rsidR="00D12E01" w:rsidRPr="00D42106" w:rsidRDefault="00D12E01">
            <w:pPr>
              <w:jc w:val="center"/>
              <w:rPr>
                <w:rFonts w:ascii="Calibri" w:hAnsi="Calibri" w:cs="Calibri"/>
                <w:b/>
                <w:sz w:val="18"/>
                <w:szCs w:val="18"/>
                <w:lang w:eastAsia="sr-Latn-BA"/>
              </w:rPr>
            </w:pPr>
          </w:p>
        </w:tc>
        <w:tc>
          <w:tcPr>
            <w:tcW w:w="968" w:type="dxa"/>
            <w:tcBorders>
              <w:top w:val="nil"/>
              <w:left w:val="single" w:sz="8" w:space="0" w:color="auto"/>
              <w:bottom w:val="single" w:sz="4" w:space="0" w:color="auto"/>
              <w:right w:val="single" w:sz="4" w:space="0" w:color="auto"/>
            </w:tcBorders>
            <w:shd w:val="clear" w:color="auto" w:fill="C1E4F5" w:themeFill="accent1" w:themeFillTint="33"/>
            <w:noWrap/>
            <w:vAlign w:val="center"/>
            <w:hideMark/>
          </w:tcPr>
          <w:p w14:paraId="50F092F5"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Y1</w:t>
            </w:r>
          </w:p>
        </w:tc>
        <w:tc>
          <w:tcPr>
            <w:tcW w:w="969" w:type="dxa"/>
            <w:tcBorders>
              <w:top w:val="nil"/>
              <w:left w:val="nil"/>
              <w:bottom w:val="single" w:sz="4" w:space="0" w:color="auto"/>
              <w:right w:val="single" w:sz="4" w:space="0" w:color="auto"/>
            </w:tcBorders>
            <w:shd w:val="clear" w:color="auto" w:fill="C1E4F5" w:themeFill="accent1" w:themeFillTint="33"/>
            <w:noWrap/>
            <w:vAlign w:val="center"/>
            <w:hideMark/>
          </w:tcPr>
          <w:p w14:paraId="38429A9E"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Y2</w:t>
            </w:r>
          </w:p>
        </w:tc>
        <w:tc>
          <w:tcPr>
            <w:tcW w:w="969" w:type="dxa"/>
            <w:tcBorders>
              <w:top w:val="nil"/>
              <w:left w:val="nil"/>
              <w:bottom w:val="single" w:sz="4" w:space="0" w:color="auto"/>
              <w:right w:val="single" w:sz="4" w:space="0" w:color="auto"/>
            </w:tcBorders>
            <w:shd w:val="clear" w:color="auto" w:fill="C1E4F5" w:themeFill="accent1" w:themeFillTint="33"/>
            <w:noWrap/>
            <w:vAlign w:val="center"/>
            <w:hideMark/>
          </w:tcPr>
          <w:p w14:paraId="6E328287"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Y3</w:t>
            </w:r>
          </w:p>
        </w:tc>
        <w:tc>
          <w:tcPr>
            <w:tcW w:w="969" w:type="dxa"/>
            <w:tcBorders>
              <w:top w:val="nil"/>
              <w:left w:val="nil"/>
              <w:bottom w:val="single" w:sz="4" w:space="0" w:color="auto"/>
              <w:right w:val="single" w:sz="8" w:space="0" w:color="auto"/>
            </w:tcBorders>
            <w:shd w:val="clear" w:color="auto" w:fill="C1E4F5" w:themeFill="accent1" w:themeFillTint="33"/>
            <w:noWrap/>
            <w:vAlign w:val="center"/>
            <w:hideMark/>
          </w:tcPr>
          <w:p w14:paraId="22C65ACC"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Y4</w:t>
            </w:r>
          </w:p>
        </w:tc>
        <w:tc>
          <w:tcPr>
            <w:tcW w:w="1632" w:type="dxa"/>
            <w:tcBorders>
              <w:top w:val="nil"/>
              <w:left w:val="nil"/>
              <w:bottom w:val="single" w:sz="4" w:space="0" w:color="auto"/>
              <w:right w:val="single" w:sz="8" w:space="0" w:color="auto"/>
            </w:tcBorders>
            <w:shd w:val="clear" w:color="auto" w:fill="C1E4F5" w:themeFill="accent1" w:themeFillTint="33"/>
            <w:vAlign w:val="center"/>
          </w:tcPr>
          <w:p w14:paraId="2E961136" w14:textId="77777777" w:rsidR="00D12E01" w:rsidRPr="00D42106" w:rsidRDefault="00D12E01">
            <w:pPr>
              <w:jc w:val="center"/>
              <w:rPr>
                <w:rFonts w:ascii="Calibri" w:hAnsi="Calibri" w:cs="Calibri"/>
                <w:b/>
                <w:sz w:val="18"/>
                <w:szCs w:val="18"/>
                <w:lang w:eastAsia="sr-Latn-BA"/>
              </w:rPr>
            </w:pPr>
          </w:p>
        </w:tc>
      </w:tr>
      <w:tr w:rsidR="00D12E01" w:rsidRPr="00D42106" w14:paraId="72AE9E9A" w14:textId="77777777" w:rsidTr="00A84808">
        <w:trPr>
          <w:trHeight w:val="712"/>
        </w:trPr>
        <w:tc>
          <w:tcPr>
            <w:tcW w:w="2600" w:type="dxa"/>
            <w:vMerge w:val="restart"/>
            <w:tcBorders>
              <w:top w:val="single" w:sz="4" w:space="0" w:color="auto"/>
              <w:left w:val="single" w:sz="8" w:space="0" w:color="auto"/>
              <w:bottom w:val="single" w:sz="4" w:space="0" w:color="000000"/>
              <w:right w:val="single" w:sz="4" w:space="0" w:color="000000"/>
            </w:tcBorders>
            <w:shd w:val="clear" w:color="auto" w:fill="F2F2F2" w:themeFill="background1" w:themeFillShade="F2"/>
            <w:vAlign w:val="center"/>
            <w:hideMark/>
          </w:tcPr>
          <w:p w14:paraId="1A592642"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Outcome 1: State, entity, and cantonal governments set in place a more conducive policy and regulatory environment that affirms result-oriented local governance and improved water supply and wastewater management services</w:t>
            </w:r>
          </w:p>
        </w:tc>
        <w:tc>
          <w:tcPr>
            <w:tcW w:w="652" w:type="dxa"/>
            <w:tcBorders>
              <w:top w:val="nil"/>
              <w:left w:val="nil"/>
              <w:bottom w:val="nil"/>
              <w:right w:val="single" w:sz="4" w:space="0" w:color="auto"/>
            </w:tcBorders>
            <w:shd w:val="clear" w:color="auto" w:fill="F2F2F2" w:themeFill="background1" w:themeFillShade="F2"/>
            <w:vAlign w:val="center"/>
            <w:hideMark/>
          </w:tcPr>
          <w:p w14:paraId="691D66E0"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shd w:val="clear" w:color="auto" w:fill="F2F2F2" w:themeFill="background1" w:themeFillShade="F2"/>
            <w:vAlign w:val="center"/>
            <w:hideMark/>
          </w:tcPr>
          <w:p w14:paraId="2800825B"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The GLG Framework is developed and adopted at state/entity levels as the framework to measure and improve the performance of municipalities as per application of good governance standards.</w:t>
            </w:r>
          </w:p>
        </w:tc>
        <w:tc>
          <w:tcPr>
            <w:tcW w:w="1499" w:type="dxa"/>
            <w:tcBorders>
              <w:top w:val="nil"/>
              <w:left w:val="nil"/>
              <w:bottom w:val="single" w:sz="4" w:space="0" w:color="auto"/>
              <w:right w:val="single" w:sz="4" w:space="0" w:color="auto"/>
            </w:tcBorders>
            <w:noWrap/>
            <w:vAlign w:val="center"/>
            <w:hideMark/>
          </w:tcPr>
          <w:p w14:paraId="3695B4E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No</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2848CAB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Yes</w:t>
            </w:r>
          </w:p>
        </w:tc>
        <w:tc>
          <w:tcPr>
            <w:tcW w:w="968" w:type="dxa"/>
            <w:tcBorders>
              <w:top w:val="nil"/>
              <w:left w:val="single" w:sz="8" w:space="0" w:color="auto"/>
              <w:bottom w:val="single" w:sz="4" w:space="0" w:color="auto"/>
              <w:right w:val="single" w:sz="4" w:space="0" w:color="auto"/>
            </w:tcBorders>
            <w:noWrap/>
            <w:vAlign w:val="center"/>
            <w:hideMark/>
          </w:tcPr>
          <w:p w14:paraId="0B95CA6A"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No</w:t>
            </w:r>
          </w:p>
        </w:tc>
        <w:tc>
          <w:tcPr>
            <w:tcW w:w="969" w:type="dxa"/>
            <w:tcBorders>
              <w:top w:val="nil"/>
              <w:left w:val="nil"/>
              <w:bottom w:val="single" w:sz="4" w:space="0" w:color="auto"/>
              <w:right w:val="single" w:sz="4" w:space="0" w:color="auto"/>
            </w:tcBorders>
            <w:noWrap/>
            <w:vAlign w:val="center"/>
            <w:hideMark/>
          </w:tcPr>
          <w:p w14:paraId="0C83089F"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No</w:t>
            </w:r>
          </w:p>
        </w:tc>
        <w:tc>
          <w:tcPr>
            <w:tcW w:w="969" w:type="dxa"/>
            <w:tcBorders>
              <w:top w:val="nil"/>
              <w:left w:val="nil"/>
              <w:bottom w:val="single" w:sz="4" w:space="0" w:color="auto"/>
              <w:right w:val="single" w:sz="4" w:space="0" w:color="auto"/>
            </w:tcBorders>
            <w:noWrap/>
            <w:vAlign w:val="center"/>
            <w:hideMark/>
          </w:tcPr>
          <w:p w14:paraId="19EE7383"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No</w:t>
            </w:r>
          </w:p>
        </w:tc>
        <w:tc>
          <w:tcPr>
            <w:tcW w:w="969" w:type="dxa"/>
            <w:tcBorders>
              <w:top w:val="nil"/>
              <w:left w:val="nil"/>
              <w:bottom w:val="single" w:sz="4" w:space="0" w:color="auto"/>
              <w:right w:val="single" w:sz="8" w:space="0" w:color="auto"/>
            </w:tcBorders>
            <w:noWrap/>
            <w:vAlign w:val="center"/>
            <w:hideMark/>
          </w:tcPr>
          <w:p w14:paraId="6BD22175"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Yes</w:t>
            </w:r>
          </w:p>
        </w:tc>
        <w:tc>
          <w:tcPr>
            <w:tcW w:w="1632" w:type="dxa"/>
            <w:tcBorders>
              <w:top w:val="nil"/>
              <w:left w:val="nil"/>
              <w:bottom w:val="single" w:sz="4" w:space="0" w:color="auto"/>
              <w:right w:val="single" w:sz="8" w:space="0" w:color="auto"/>
            </w:tcBorders>
            <w:shd w:val="clear" w:color="auto" w:fill="D9F2D0" w:themeFill="accent6" w:themeFillTint="33"/>
            <w:vAlign w:val="center"/>
          </w:tcPr>
          <w:p w14:paraId="775A808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Yes</w:t>
            </w:r>
          </w:p>
          <w:p w14:paraId="6601EB5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(CAF for LGs)</w:t>
            </w:r>
          </w:p>
        </w:tc>
      </w:tr>
      <w:tr w:rsidR="00D12E01" w:rsidRPr="00D42106" w14:paraId="73E6CF6F" w14:textId="77777777" w:rsidTr="00A84808">
        <w:trPr>
          <w:trHeight w:val="712"/>
        </w:trPr>
        <w:tc>
          <w:tcPr>
            <w:tcW w:w="2600" w:type="dxa"/>
            <w:vMerge/>
            <w:tcBorders>
              <w:top w:val="single" w:sz="4" w:space="0" w:color="auto"/>
              <w:left w:val="single" w:sz="8" w:space="0" w:color="auto"/>
              <w:bottom w:val="single" w:sz="4" w:space="0" w:color="000000"/>
              <w:right w:val="single" w:sz="4" w:space="0" w:color="000000"/>
            </w:tcBorders>
            <w:shd w:val="clear" w:color="auto" w:fill="F2F2F2" w:themeFill="background1" w:themeFillShade="F2"/>
            <w:vAlign w:val="center"/>
            <w:hideMark/>
          </w:tcPr>
          <w:p w14:paraId="30078204" w14:textId="77777777" w:rsidR="00D12E01" w:rsidRPr="00D42106" w:rsidRDefault="00D12E01">
            <w:pPr>
              <w:rPr>
                <w:rFonts w:ascii="Calibri" w:hAnsi="Calibri" w:cs="Calibri"/>
                <w:b/>
                <w:sz w:val="18"/>
                <w:szCs w:val="18"/>
                <w:lang w:eastAsia="sr-Latn-BA"/>
              </w:rPr>
            </w:pPr>
          </w:p>
        </w:tc>
        <w:tc>
          <w:tcPr>
            <w:tcW w:w="652" w:type="dxa"/>
            <w:tcBorders>
              <w:top w:val="nil"/>
              <w:left w:val="nil"/>
              <w:bottom w:val="nil"/>
              <w:right w:val="single" w:sz="4" w:space="0" w:color="auto"/>
            </w:tcBorders>
            <w:shd w:val="clear" w:color="auto" w:fill="F2F2F2" w:themeFill="background1" w:themeFillShade="F2"/>
            <w:vAlign w:val="center"/>
            <w:hideMark/>
          </w:tcPr>
          <w:p w14:paraId="2B13A7E6"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shd w:val="clear" w:color="auto" w:fill="F2F2F2" w:themeFill="background1" w:themeFillShade="F2"/>
            <w:vAlign w:val="center"/>
            <w:hideMark/>
          </w:tcPr>
          <w:p w14:paraId="2C1CF13B"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Number of newly-drafted/amended legal/policy/strategic frameworks at higher government levels that contribute to result-oriented local governance as a result of inclusive policy dialogue.</w:t>
            </w:r>
          </w:p>
        </w:tc>
        <w:tc>
          <w:tcPr>
            <w:tcW w:w="1499" w:type="dxa"/>
            <w:tcBorders>
              <w:top w:val="nil"/>
              <w:left w:val="nil"/>
              <w:bottom w:val="single" w:sz="4" w:space="0" w:color="auto"/>
              <w:right w:val="single" w:sz="4" w:space="0" w:color="auto"/>
            </w:tcBorders>
            <w:noWrap/>
            <w:vAlign w:val="center"/>
            <w:hideMark/>
          </w:tcPr>
          <w:p w14:paraId="6D5F33A1"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N/A</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784CA77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4</w:t>
            </w:r>
          </w:p>
        </w:tc>
        <w:tc>
          <w:tcPr>
            <w:tcW w:w="968" w:type="dxa"/>
            <w:tcBorders>
              <w:top w:val="nil"/>
              <w:left w:val="single" w:sz="8" w:space="0" w:color="auto"/>
              <w:bottom w:val="single" w:sz="4" w:space="0" w:color="auto"/>
              <w:right w:val="single" w:sz="4" w:space="0" w:color="auto"/>
            </w:tcBorders>
            <w:noWrap/>
            <w:vAlign w:val="center"/>
            <w:hideMark/>
          </w:tcPr>
          <w:p w14:paraId="2FC1635D"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w:t>
            </w:r>
          </w:p>
        </w:tc>
        <w:tc>
          <w:tcPr>
            <w:tcW w:w="969" w:type="dxa"/>
            <w:tcBorders>
              <w:top w:val="nil"/>
              <w:left w:val="nil"/>
              <w:bottom w:val="single" w:sz="4" w:space="0" w:color="auto"/>
              <w:right w:val="single" w:sz="4" w:space="0" w:color="auto"/>
            </w:tcBorders>
            <w:noWrap/>
            <w:vAlign w:val="center"/>
            <w:hideMark/>
          </w:tcPr>
          <w:p w14:paraId="290DA64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w:t>
            </w:r>
          </w:p>
        </w:tc>
        <w:tc>
          <w:tcPr>
            <w:tcW w:w="969" w:type="dxa"/>
            <w:tcBorders>
              <w:top w:val="nil"/>
              <w:left w:val="nil"/>
              <w:bottom w:val="single" w:sz="4" w:space="0" w:color="auto"/>
              <w:right w:val="single" w:sz="4" w:space="0" w:color="auto"/>
            </w:tcBorders>
            <w:noWrap/>
            <w:vAlign w:val="center"/>
            <w:hideMark/>
          </w:tcPr>
          <w:p w14:paraId="0BAFB953"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w:t>
            </w:r>
          </w:p>
        </w:tc>
        <w:tc>
          <w:tcPr>
            <w:tcW w:w="969" w:type="dxa"/>
            <w:tcBorders>
              <w:top w:val="nil"/>
              <w:left w:val="nil"/>
              <w:bottom w:val="single" w:sz="4" w:space="0" w:color="auto"/>
              <w:right w:val="single" w:sz="8" w:space="0" w:color="auto"/>
            </w:tcBorders>
            <w:noWrap/>
            <w:vAlign w:val="center"/>
            <w:hideMark/>
          </w:tcPr>
          <w:p w14:paraId="6F6550F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w:t>
            </w:r>
          </w:p>
        </w:tc>
        <w:tc>
          <w:tcPr>
            <w:tcW w:w="1632" w:type="dxa"/>
            <w:tcBorders>
              <w:top w:val="nil"/>
              <w:left w:val="nil"/>
              <w:bottom w:val="single" w:sz="4" w:space="0" w:color="auto"/>
              <w:right w:val="single" w:sz="8" w:space="0" w:color="auto"/>
            </w:tcBorders>
            <w:shd w:val="clear" w:color="auto" w:fill="FA807D"/>
            <w:vAlign w:val="center"/>
          </w:tcPr>
          <w:p w14:paraId="1CE0B75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w:t>
            </w:r>
          </w:p>
        </w:tc>
      </w:tr>
      <w:tr w:rsidR="00D12E01" w:rsidRPr="00D42106" w14:paraId="2BAEB811" w14:textId="77777777" w:rsidTr="00A84808">
        <w:trPr>
          <w:trHeight w:val="712"/>
        </w:trPr>
        <w:tc>
          <w:tcPr>
            <w:tcW w:w="2600" w:type="dxa"/>
            <w:vMerge/>
            <w:tcBorders>
              <w:top w:val="single" w:sz="4" w:space="0" w:color="auto"/>
              <w:left w:val="single" w:sz="8" w:space="0" w:color="auto"/>
              <w:bottom w:val="single" w:sz="4" w:space="0" w:color="000000"/>
              <w:right w:val="single" w:sz="4" w:space="0" w:color="000000"/>
            </w:tcBorders>
            <w:shd w:val="clear" w:color="auto" w:fill="F2F2F2" w:themeFill="background1" w:themeFillShade="F2"/>
            <w:vAlign w:val="center"/>
            <w:hideMark/>
          </w:tcPr>
          <w:p w14:paraId="78B0CA0F" w14:textId="77777777" w:rsidR="00D12E01" w:rsidRPr="00D42106" w:rsidRDefault="00D12E01">
            <w:pPr>
              <w:rPr>
                <w:rFonts w:ascii="Calibri" w:hAnsi="Calibri" w:cs="Calibri"/>
                <w:b/>
                <w:sz w:val="18"/>
                <w:szCs w:val="18"/>
                <w:lang w:eastAsia="sr-Latn-BA"/>
              </w:rPr>
            </w:pPr>
          </w:p>
        </w:tc>
        <w:tc>
          <w:tcPr>
            <w:tcW w:w="652" w:type="dxa"/>
            <w:tcBorders>
              <w:top w:val="nil"/>
              <w:left w:val="nil"/>
              <w:bottom w:val="nil"/>
              <w:right w:val="single" w:sz="4" w:space="0" w:color="auto"/>
            </w:tcBorders>
            <w:shd w:val="clear" w:color="auto" w:fill="F2F2F2" w:themeFill="background1" w:themeFillShade="F2"/>
            <w:vAlign w:val="center"/>
            <w:hideMark/>
          </w:tcPr>
          <w:p w14:paraId="3144A181"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shd w:val="clear" w:color="auto" w:fill="F2F2F2" w:themeFill="background1" w:themeFillShade="F2"/>
            <w:vAlign w:val="center"/>
            <w:hideMark/>
          </w:tcPr>
          <w:p w14:paraId="30F495AD"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Number of newly-drafted/amended legal/policy/strategic frameworks at higher government levels that contribute to reforms in the area of water supply and wastewater management services as a result of inclusive policy dialogue.</w:t>
            </w:r>
          </w:p>
        </w:tc>
        <w:tc>
          <w:tcPr>
            <w:tcW w:w="1499" w:type="dxa"/>
            <w:tcBorders>
              <w:top w:val="nil"/>
              <w:left w:val="nil"/>
              <w:bottom w:val="single" w:sz="4" w:space="0" w:color="auto"/>
              <w:right w:val="single" w:sz="4" w:space="0" w:color="auto"/>
            </w:tcBorders>
            <w:noWrap/>
            <w:vAlign w:val="center"/>
            <w:hideMark/>
          </w:tcPr>
          <w:p w14:paraId="321ED01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N/A</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6321A55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w:t>
            </w:r>
          </w:p>
        </w:tc>
        <w:tc>
          <w:tcPr>
            <w:tcW w:w="968" w:type="dxa"/>
            <w:tcBorders>
              <w:top w:val="nil"/>
              <w:left w:val="single" w:sz="8" w:space="0" w:color="auto"/>
              <w:bottom w:val="single" w:sz="4" w:space="0" w:color="auto"/>
              <w:right w:val="single" w:sz="4" w:space="0" w:color="auto"/>
            </w:tcBorders>
            <w:noWrap/>
            <w:vAlign w:val="center"/>
            <w:hideMark/>
          </w:tcPr>
          <w:p w14:paraId="1CD11A81"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w:t>
            </w:r>
          </w:p>
        </w:tc>
        <w:tc>
          <w:tcPr>
            <w:tcW w:w="969" w:type="dxa"/>
            <w:tcBorders>
              <w:top w:val="nil"/>
              <w:left w:val="nil"/>
              <w:bottom w:val="single" w:sz="4" w:space="0" w:color="auto"/>
              <w:right w:val="single" w:sz="4" w:space="0" w:color="auto"/>
            </w:tcBorders>
            <w:noWrap/>
            <w:vAlign w:val="center"/>
            <w:hideMark/>
          </w:tcPr>
          <w:p w14:paraId="1CF2922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4</w:t>
            </w:r>
          </w:p>
        </w:tc>
        <w:tc>
          <w:tcPr>
            <w:tcW w:w="969" w:type="dxa"/>
            <w:tcBorders>
              <w:top w:val="nil"/>
              <w:left w:val="nil"/>
              <w:bottom w:val="single" w:sz="4" w:space="0" w:color="auto"/>
              <w:right w:val="single" w:sz="4" w:space="0" w:color="auto"/>
            </w:tcBorders>
            <w:noWrap/>
            <w:vAlign w:val="center"/>
            <w:hideMark/>
          </w:tcPr>
          <w:p w14:paraId="20DE4427"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w:t>
            </w:r>
          </w:p>
        </w:tc>
        <w:tc>
          <w:tcPr>
            <w:tcW w:w="969" w:type="dxa"/>
            <w:tcBorders>
              <w:top w:val="nil"/>
              <w:left w:val="nil"/>
              <w:bottom w:val="single" w:sz="4" w:space="0" w:color="auto"/>
              <w:right w:val="single" w:sz="8" w:space="0" w:color="auto"/>
            </w:tcBorders>
            <w:noWrap/>
            <w:vAlign w:val="center"/>
            <w:hideMark/>
          </w:tcPr>
          <w:p w14:paraId="09E95F6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6</w:t>
            </w:r>
          </w:p>
        </w:tc>
        <w:tc>
          <w:tcPr>
            <w:tcW w:w="1632" w:type="dxa"/>
            <w:tcBorders>
              <w:top w:val="nil"/>
              <w:left w:val="nil"/>
              <w:bottom w:val="single" w:sz="4" w:space="0" w:color="auto"/>
              <w:right w:val="single" w:sz="8" w:space="0" w:color="auto"/>
            </w:tcBorders>
            <w:shd w:val="clear" w:color="auto" w:fill="D9F2D0" w:themeFill="accent6" w:themeFillTint="33"/>
            <w:vAlign w:val="center"/>
          </w:tcPr>
          <w:p w14:paraId="58FE37C7"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6</w:t>
            </w:r>
          </w:p>
        </w:tc>
      </w:tr>
      <w:tr w:rsidR="00D12E01" w:rsidRPr="00D42106" w14:paraId="18ECAB0C" w14:textId="77777777" w:rsidTr="00A84808">
        <w:trPr>
          <w:trHeight w:val="433"/>
        </w:trPr>
        <w:tc>
          <w:tcPr>
            <w:tcW w:w="2600" w:type="dxa"/>
            <w:vMerge/>
            <w:tcBorders>
              <w:top w:val="single" w:sz="4" w:space="0" w:color="auto"/>
              <w:left w:val="single" w:sz="8" w:space="0" w:color="auto"/>
              <w:bottom w:val="single" w:sz="4" w:space="0" w:color="000000"/>
              <w:right w:val="single" w:sz="4" w:space="0" w:color="000000"/>
            </w:tcBorders>
            <w:shd w:val="clear" w:color="auto" w:fill="F2CEED" w:themeFill="accent5" w:themeFillTint="33"/>
            <w:vAlign w:val="center"/>
            <w:hideMark/>
          </w:tcPr>
          <w:p w14:paraId="68D837CB" w14:textId="77777777" w:rsidR="00D12E01" w:rsidRPr="00D42106" w:rsidRDefault="00D12E01">
            <w:pPr>
              <w:rPr>
                <w:rFonts w:ascii="Calibri" w:hAnsi="Calibri" w:cs="Calibri"/>
                <w:b/>
                <w:sz w:val="18"/>
                <w:szCs w:val="18"/>
                <w:lang w:eastAsia="sr-Latn-BA"/>
              </w:rPr>
            </w:pPr>
          </w:p>
        </w:tc>
        <w:tc>
          <w:tcPr>
            <w:tcW w:w="652" w:type="dxa"/>
            <w:tcBorders>
              <w:top w:val="nil"/>
              <w:left w:val="nil"/>
              <w:bottom w:val="single" w:sz="4" w:space="0" w:color="auto"/>
              <w:right w:val="single" w:sz="4" w:space="0" w:color="auto"/>
            </w:tcBorders>
            <w:shd w:val="clear" w:color="auto" w:fill="F2F2F2" w:themeFill="background1" w:themeFillShade="F2"/>
            <w:vAlign w:val="center"/>
            <w:hideMark/>
          </w:tcPr>
          <w:p w14:paraId="49E15BDC"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1.1</w:t>
            </w:r>
          </w:p>
        </w:tc>
        <w:tc>
          <w:tcPr>
            <w:tcW w:w="3429" w:type="dxa"/>
            <w:tcBorders>
              <w:top w:val="nil"/>
              <w:left w:val="nil"/>
              <w:bottom w:val="single" w:sz="4" w:space="0" w:color="auto"/>
              <w:right w:val="single" w:sz="4" w:space="0" w:color="auto"/>
            </w:tcBorders>
            <w:shd w:val="clear" w:color="auto" w:fill="F2F2F2" w:themeFill="background1" w:themeFillShade="F2"/>
            <w:vAlign w:val="center"/>
            <w:hideMark/>
          </w:tcPr>
          <w:p w14:paraId="658DDD16" w14:textId="77777777" w:rsidR="00D12E01" w:rsidRPr="00D42106" w:rsidRDefault="00D12E01">
            <w:pPr>
              <w:jc w:val="both"/>
              <w:rPr>
                <w:rFonts w:ascii="Calibri" w:hAnsi="Calibri" w:cs="Calibri"/>
                <w:i/>
                <w:sz w:val="18"/>
                <w:szCs w:val="18"/>
                <w:lang w:eastAsia="sr-Latn-BA"/>
              </w:rPr>
            </w:pPr>
            <w:hyperlink r:id="rId78" w:anchor="RANGE!#REF!" w:history="1">
              <w:r w:rsidRPr="00D42106">
                <w:rPr>
                  <w:rFonts w:ascii="Calibri" w:hAnsi="Calibri" w:cs="Calibri"/>
                  <w:i/>
                  <w:sz w:val="18"/>
                  <w:szCs w:val="18"/>
                  <w:lang w:eastAsia="sr-Latn-BA"/>
                </w:rPr>
                <w:t xml:space="preserve">Existence of country-wide harmonized regulatory framework fully aligned with the EU Water Directives and functional institutional setup at relevant government levels which enable sustainable and quality water supply and wastewater management services. </w:t>
              </w:r>
            </w:hyperlink>
          </w:p>
        </w:tc>
        <w:tc>
          <w:tcPr>
            <w:tcW w:w="1499" w:type="dxa"/>
            <w:tcBorders>
              <w:top w:val="nil"/>
              <w:left w:val="nil"/>
              <w:bottom w:val="single" w:sz="4" w:space="0" w:color="auto"/>
              <w:right w:val="single" w:sz="4" w:space="0" w:color="auto"/>
            </w:tcBorders>
            <w:noWrap/>
            <w:vAlign w:val="center"/>
            <w:hideMark/>
          </w:tcPr>
          <w:p w14:paraId="0E6790DA"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No</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362CB85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Yes</w:t>
            </w:r>
          </w:p>
        </w:tc>
        <w:tc>
          <w:tcPr>
            <w:tcW w:w="968" w:type="dxa"/>
            <w:tcBorders>
              <w:top w:val="nil"/>
              <w:left w:val="single" w:sz="8" w:space="0" w:color="auto"/>
              <w:bottom w:val="single" w:sz="4" w:space="0" w:color="auto"/>
              <w:right w:val="single" w:sz="4" w:space="0" w:color="auto"/>
            </w:tcBorders>
            <w:noWrap/>
            <w:vAlign w:val="center"/>
            <w:hideMark/>
          </w:tcPr>
          <w:p w14:paraId="6CA89D7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No</w:t>
            </w:r>
          </w:p>
        </w:tc>
        <w:tc>
          <w:tcPr>
            <w:tcW w:w="969" w:type="dxa"/>
            <w:tcBorders>
              <w:top w:val="nil"/>
              <w:left w:val="nil"/>
              <w:bottom w:val="single" w:sz="4" w:space="0" w:color="auto"/>
              <w:right w:val="single" w:sz="4" w:space="0" w:color="auto"/>
            </w:tcBorders>
            <w:noWrap/>
            <w:vAlign w:val="center"/>
            <w:hideMark/>
          </w:tcPr>
          <w:p w14:paraId="1BAE09D2"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No</w:t>
            </w:r>
          </w:p>
        </w:tc>
        <w:tc>
          <w:tcPr>
            <w:tcW w:w="969" w:type="dxa"/>
            <w:tcBorders>
              <w:top w:val="nil"/>
              <w:left w:val="nil"/>
              <w:bottom w:val="single" w:sz="4" w:space="0" w:color="auto"/>
              <w:right w:val="single" w:sz="4" w:space="0" w:color="auto"/>
            </w:tcBorders>
            <w:noWrap/>
            <w:vAlign w:val="center"/>
            <w:hideMark/>
          </w:tcPr>
          <w:p w14:paraId="7EBB6F1D"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Yes</w:t>
            </w:r>
          </w:p>
        </w:tc>
        <w:tc>
          <w:tcPr>
            <w:tcW w:w="969" w:type="dxa"/>
            <w:tcBorders>
              <w:top w:val="nil"/>
              <w:left w:val="nil"/>
              <w:bottom w:val="single" w:sz="4" w:space="0" w:color="auto"/>
              <w:right w:val="single" w:sz="8" w:space="0" w:color="auto"/>
            </w:tcBorders>
            <w:noWrap/>
            <w:vAlign w:val="center"/>
            <w:hideMark/>
          </w:tcPr>
          <w:p w14:paraId="77A2A3B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Yes</w:t>
            </w:r>
          </w:p>
        </w:tc>
        <w:tc>
          <w:tcPr>
            <w:tcW w:w="1632" w:type="dxa"/>
            <w:tcBorders>
              <w:top w:val="nil"/>
              <w:left w:val="nil"/>
              <w:bottom w:val="single" w:sz="4" w:space="0" w:color="auto"/>
              <w:right w:val="single" w:sz="8" w:space="0" w:color="auto"/>
            </w:tcBorders>
            <w:shd w:val="clear" w:color="auto" w:fill="D9F2D0" w:themeFill="accent6" w:themeFillTint="33"/>
            <w:vAlign w:val="center"/>
          </w:tcPr>
          <w:p w14:paraId="356FB12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Yes</w:t>
            </w:r>
          </w:p>
        </w:tc>
      </w:tr>
      <w:tr w:rsidR="00850353" w:rsidRPr="00D42106" w14:paraId="5C270516" w14:textId="77777777" w:rsidTr="00A84808">
        <w:trPr>
          <w:trHeight w:val="475"/>
        </w:trPr>
        <w:tc>
          <w:tcPr>
            <w:tcW w:w="2600" w:type="dxa"/>
            <w:vMerge w:val="restart"/>
            <w:tcBorders>
              <w:top w:val="single" w:sz="4" w:space="0" w:color="auto"/>
              <w:left w:val="single" w:sz="8" w:space="0" w:color="auto"/>
              <w:bottom w:val="nil"/>
              <w:right w:val="single" w:sz="4" w:space="0" w:color="000000"/>
            </w:tcBorders>
            <w:shd w:val="clear" w:color="auto" w:fill="F2F2F2" w:themeFill="background1" w:themeFillShade="F2"/>
            <w:vAlign w:val="center"/>
            <w:hideMark/>
          </w:tcPr>
          <w:p w14:paraId="4A6A9877"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Outcome 2: Local governments improve their performance, are more accountable, inclusive and gender-responsive, and provide high quality services, in particular in the water sector.</w:t>
            </w:r>
          </w:p>
        </w:tc>
        <w:tc>
          <w:tcPr>
            <w:tcW w:w="652" w:type="dxa"/>
            <w:tcBorders>
              <w:top w:val="nil"/>
              <w:left w:val="nil"/>
              <w:bottom w:val="nil"/>
              <w:right w:val="single" w:sz="4" w:space="0" w:color="auto"/>
            </w:tcBorders>
            <w:shd w:val="clear" w:color="auto" w:fill="F2F2F2" w:themeFill="background1" w:themeFillShade="F2"/>
            <w:vAlign w:val="center"/>
            <w:hideMark/>
          </w:tcPr>
          <w:p w14:paraId="7667F467"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shd w:val="clear" w:color="auto" w:fill="F2F2F2" w:themeFill="background1" w:themeFillShade="F2"/>
            <w:vAlign w:val="center"/>
            <w:hideMark/>
          </w:tcPr>
          <w:p w14:paraId="0D181832"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population satisfied with the overall quality of public services in target localities (average for all partner local governments) from baseline.</w:t>
            </w:r>
          </w:p>
        </w:tc>
        <w:tc>
          <w:tcPr>
            <w:tcW w:w="1499" w:type="dxa"/>
            <w:tcBorders>
              <w:top w:val="nil"/>
              <w:left w:val="nil"/>
              <w:bottom w:val="single" w:sz="4" w:space="0" w:color="auto"/>
              <w:right w:val="single" w:sz="4" w:space="0" w:color="auto"/>
            </w:tcBorders>
            <w:noWrap/>
            <w:vAlign w:val="center"/>
            <w:hideMark/>
          </w:tcPr>
          <w:p w14:paraId="7064E48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TBD</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69A0930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60%</w:t>
            </w:r>
          </w:p>
        </w:tc>
        <w:tc>
          <w:tcPr>
            <w:tcW w:w="968" w:type="dxa"/>
            <w:tcBorders>
              <w:top w:val="nil"/>
              <w:left w:val="single" w:sz="8" w:space="0" w:color="auto"/>
              <w:bottom w:val="single" w:sz="4" w:space="0" w:color="auto"/>
              <w:right w:val="single" w:sz="4" w:space="0" w:color="auto"/>
            </w:tcBorders>
            <w:noWrap/>
            <w:vAlign w:val="center"/>
            <w:hideMark/>
          </w:tcPr>
          <w:p w14:paraId="5035F213"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w:t>
            </w:r>
          </w:p>
        </w:tc>
        <w:tc>
          <w:tcPr>
            <w:tcW w:w="969" w:type="dxa"/>
            <w:tcBorders>
              <w:top w:val="nil"/>
              <w:left w:val="nil"/>
              <w:bottom w:val="single" w:sz="4" w:space="0" w:color="auto"/>
              <w:right w:val="single" w:sz="4" w:space="0" w:color="auto"/>
            </w:tcBorders>
            <w:noWrap/>
            <w:vAlign w:val="center"/>
            <w:hideMark/>
          </w:tcPr>
          <w:p w14:paraId="40949E0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54%</w:t>
            </w:r>
          </w:p>
        </w:tc>
        <w:tc>
          <w:tcPr>
            <w:tcW w:w="969" w:type="dxa"/>
            <w:tcBorders>
              <w:top w:val="nil"/>
              <w:left w:val="nil"/>
              <w:bottom w:val="single" w:sz="4" w:space="0" w:color="auto"/>
              <w:right w:val="single" w:sz="4" w:space="0" w:color="auto"/>
            </w:tcBorders>
            <w:noWrap/>
            <w:vAlign w:val="center"/>
            <w:hideMark/>
          </w:tcPr>
          <w:p w14:paraId="207ED48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53%</w:t>
            </w:r>
          </w:p>
        </w:tc>
        <w:tc>
          <w:tcPr>
            <w:tcW w:w="969" w:type="dxa"/>
            <w:tcBorders>
              <w:top w:val="nil"/>
              <w:left w:val="nil"/>
              <w:bottom w:val="single" w:sz="4" w:space="0" w:color="auto"/>
              <w:right w:val="single" w:sz="8" w:space="0" w:color="auto"/>
            </w:tcBorders>
            <w:noWrap/>
            <w:vAlign w:val="center"/>
            <w:hideMark/>
          </w:tcPr>
          <w:p w14:paraId="3CAAEC32"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52.5%</w:t>
            </w:r>
          </w:p>
        </w:tc>
        <w:tc>
          <w:tcPr>
            <w:tcW w:w="1632" w:type="dxa"/>
            <w:tcBorders>
              <w:top w:val="nil"/>
              <w:left w:val="nil"/>
              <w:bottom w:val="single" w:sz="4" w:space="0" w:color="auto"/>
              <w:right w:val="single" w:sz="8" w:space="0" w:color="auto"/>
            </w:tcBorders>
            <w:shd w:val="clear" w:color="auto" w:fill="FA807D"/>
            <w:vAlign w:val="center"/>
          </w:tcPr>
          <w:p w14:paraId="04340EC3"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52.5%</w:t>
            </w:r>
          </w:p>
        </w:tc>
      </w:tr>
      <w:tr w:rsidR="00850353" w:rsidRPr="00D42106" w14:paraId="147FFCAC" w14:textId="77777777" w:rsidTr="00E55CFD">
        <w:trPr>
          <w:trHeight w:val="475"/>
        </w:trPr>
        <w:tc>
          <w:tcPr>
            <w:tcW w:w="2600" w:type="dxa"/>
            <w:vMerge/>
            <w:tcBorders>
              <w:top w:val="single" w:sz="4" w:space="0" w:color="auto"/>
              <w:left w:val="single" w:sz="8" w:space="0" w:color="auto"/>
              <w:bottom w:val="nil"/>
              <w:right w:val="single" w:sz="4" w:space="0" w:color="000000"/>
            </w:tcBorders>
            <w:shd w:val="clear" w:color="auto" w:fill="F2F2F2" w:themeFill="background1" w:themeFillShade="F2"/>
            <w:vAlign w:val="center"/>
            <w:hideMark/>
          </w:tcPr>
          <w:p w14:paraId="5FFB0A50" w14:textId="77777777" w:rsidR="00D12E01" w:rsidRPr="00D42106" w:rsidRDefault="00D12E01">
            <w:pPr>
              <w:rPr>
                <w:rFonts w:ascii="Calibri" w:hAnsi="Calibri" w:cs="Calibri"/>
                <w:b/>
                <w:sz w:val="18"/>
                <w:szCs w:val="18"/>
                <w:lang w:eastAsia="sr-Latn-BA"/>
              </w:rPr>
            </w:pPr>
          </w:p>
        </w:tc>
        <w:tc>
          <w:tcPr>
            <w:tcW w:w="652" w:type="dxa"/>
            <w:tcBorders>
              <w:top w:val="nil"/>
              <w:left w:val="nil"/>
              <w:bottom w:val="nil"/>
              <w:right w:val="single" w:sz="4" w:space="0" w:color="auto"/>
            </w:tcBorders>
            <w:shd w:val="clear" w:color="auto" w:fill="F2F2F2" w:themeFill="background1" w:themeFillShade="F2"/>
            <w:vAlign w:val="center"/>
            <w:hideMark/>
          </w:tcPr>
          <w:p w14:paraId="3CC7796D"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shd w:val="clear" w:color="auto" w:fill="F2F2F2" w:themeFill="background1" w:themeFillShade="F2"/>
            <w:vAlign w:val="center"/>
            <w:hideMark/>
          </w:tcPr>
          <w:p w14:paraId="4B8A26AF"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xml:space="preserve">% of citizens within partner local governments satisfied with the water supply and wastewater management services, from baseline. </w:t>
            </w:r>
          </w:p>
        </w:tc>
        <w:tc>
          <w:tcPr>
            <w:tcW w:w="1499" w:type="dxa"/>
            <w:tcBorders>
              <w:top w:val="nil"/>
              <w:left w:val="nil"/>
              <w:bottom w:val="single" w:sz="4" w:space="0" w:color="auto"/>
              <w:right w:val="single" w:sz="4" w:space="0" w:color="auto"/>
            </w:tcBorders>
            <w:noWrap/>
            <w:vAlign w:val="center"/>
            <w:hideMark/>
          </w:tcPr>
          <w:p w14:paraId="0DFAEA7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TBD</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6E024187"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50%</w:t>
            </w:r>
          </w:p>
        </w:tc>
        <w:tc>
          <w:tcPr>
            <w:tcW w:w="968" w:type="dxa"/>
            <w:tcBorders>
              <w:top w:val="nil"/>
              <w:left w:val="single" w:sz="8" w:space="0" w:color="auto"/>
              <w:bottom w:val="single" w:sz="4" w:space="0" w:color="auto"/>
              <w:right w:val="single" w:sz="4" w:space="0" w:color="auto"/>
            </w:tcBorders>
            <w:noWrap/>
            <w:vAlign w:val="center"/>
            <w:hideMark/>
          </w:tcPr>
          <w:p w14:paraId="6798D7D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w:t>
            </w:r>
          </w:p>
        </w:tc>
        <w:tc>
          <w:tcPr>
            <w:tcW w:w="969" w:type="dxa"/>
            <w:tcBorders>
              <w:top w:val="nil"/>
              <w:left w:val="nil"/>
              <w:bottom w:val="single" w:sz="4" w:space="0" w:color="auto"/>
              <w:right w:val="single" w:sz="4" w:space="0" w:color="auto"/>
            </w:tcBorders>
            <w:noWrap/>
            <w:vAlign w:val="center"/>
            <w:hideMark/>
          </w:tcPr>
          <w:p w14:paraId="6D9E5B3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57%</w:t>
            </w:r>
          </w:p>
        </w:tc>
        <w:tc>
          <w:tcPr>
            <w:tcW w:w="969" w:type="dxa"/>
            <w:tcBorders>
              <w:top w:val="nil"/>
              <w:left w:val="nil"/>
              <w:bottom w:val="single" w:sz="4" w:space="0" w:color="auto"/>
              <w:right w:val="single" w:sz="4" w:space="0" w:color="auto"/>
            </w:tcBorders>
            <w:noWrap/>
            <w:vAlign w:val="center"/>
            <w:hideMark/>
          </w:tcPr>
          <w:p w14:paraId="6F1DC7E2"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48%</w:t>
            </w:r>
          </w:p>
        </w:tc>
        <w:tc>
          <w:tcPr>
            <w:tcW w:w="969" w:type="dxa"/>
            <w:tcBorders>
              <w:top w:val="nil"/>
              <w:left w:val="nil"/>
              <w:bottom w:val="single" w:sz="4" w:space="0" w:color="auto"/>
              <w:right w:val="single" w:sz="8" w:space="0" w:color="auto"/>
            </w:tcBorders>
            <w:noWrap/>
            <w:vAlign w:val="center"/>
            <w:hideMark/>
          </w:tcPr>
          <w:p w14:paraId="648A1BD1"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48.5%</w:t>
            </w:r>
          </w:p>
        </w:tc>
        <w:tc>
          <w:tcPr>
            <w:tcW w:w="1632" w:type="dxa"/>
            <w:tcBorders>
              <w:top w:val="nil"/>
              <w:left w:val="nil"/>
              <w:bottom w:val="single" w:sz="4" w:space="0" w:color="auto"/>
              <w:right w:val="single" w:sz="8" w:space="0" w:color="auto"/>
            </w:tcBorders>
            <w:shd w:val="clear" w:color="auto" w:fill="D9F2D0" w:themeFill="accent6" w:themeFillTint="33"/>
            <w:vAlign w:val="center"/>
          </w:tcPr>
          <w:p w14:paraId="2159FE5D"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48.5%</w:t>
            </w:r>
          </w:p>
        </w:tc>
      </w:tr>
      <w:tr w:rsidR="00850353" w:rsidRPr="00D42106" w14:paraId="000BC0A0" w14:textId="77777777" w:rsidTr="00A84808">
        <w:trPr>
          <w:trHeight w:val="526"/>
        </w:trPr>
        <w:tc>
          <w:tcPr>
            <w:tcW w:w="2600" w:type="dxa"/>
            <w:vMerge/>
            <w:tcBorders>
              <w:top w:val="single" w:sz="4" w:space="0" w:color="auto"/>
              <w:left w:val="single" w:sz="8" w:space="0" w:color="auto"/>
              <w:bottom w:val="nil"/>
              <w:right w:val="single" w:sz="4" w:space="0" w:color="000000"/>
            </w:tcBorders>
            <w:shd w:val="clear" w:color="auto" w:fill="F2F2F2" w:themeFill="background1" w:themeFillShade="F2"/>
            <w:vAlign w:val="center"/>
            <w:hideMark/>
          </w:tcPr>
          <w:p w14:paraId="0D0CFF85" w14:textId="77777777" w:rsidR="00D12E01" w:rsidRPr="00D42106" w:rsidRDefault="00D12E01">
            <w:pPr>
              <w:rPr>
                <w:rFonts w:ascii="Calibri" w:hAnsi="Calibri" w:cs="Calibri"/>
                <w:b/>
                <w:sz w:val="18"/>
                <w:szCs w:val="18"/>
                <w:lang w:eastAsia="sr-Latn-BA"/>
              </w:rPr>
            </w:pPr>
          </w:p>
        </w:tc>
        <w:tc>
          <w:tcPr>
            <w:tcW w:w="652" w:type="dxa"/>
            <w:tcBorders>
              <w:top w:val="nil"/>
              <w:left w:val="nil"/>
              <w:bottom w:val="nil"/>
              <w:right w:val="single" w:sz="4" w:space="0" w:color="auto"/>
            </w:tcBorders>
            <w:shd w:val="clear" w:color="auto" w:fill="F2F2F2" w:themeFill="background1" w:themeFillShade="F2"/>
            <w:vAlign w:val="center"/>
            <w:hideMark/>
          </w:tcPr>
          <w:p w14:paraId="46B34B29"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shd w:val="clear" w:color="auto" w:fill="F2F2F2" w:themeFill="background1" w:themeFillShade="F2"/>
            <w:vAlign w:val="center"/>
            <w:hideMark/>
          </w:tcPr>
          <w:p w14:paraId="6757466C"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of people</w:t>
            </w:r>
            <w:r w:rsidRPr="00D42106">
              <w:rPr>
                <w:rFonts w:ascii="Calibri" w:hAnsi="Calibri" w:cs="Calibri"/>
                <w:sz w:val="18"/>
                <w:szCs w:val="18"/>
                <w:lang w:eastAsia="sr-Latn-BA"/>
              </w:rPr>
              <w:t xml:space="preserve"> </w:t>
            </w:r>
            <w:r w:rsidRPr="00D42106">
              <w:rPr>
                <w:rFonts w:ascii="Calibri" w:hAnsi="Calibri" w:cs="Calibri"/>
                <w:i/>
                <w:sz w:val="18"/>
                <w:szCs w:val="18"/>
                <w:lang w:eastAsia="sr-Latn-BA"/>
              </w:rPr>
              <w:t>(M/F) participating in and influencing public service provision, decision-making and budgets in their localities (SDC GOV ARI 1)</w:t>
            </w:r>
          </w:p>
        </w:tc>
        <w:tc>
          <w:tcPr>
            <w:tcW w:w="1499" w:type="dxa"/>
            <w:tcBorders>
              <w:top w:val="nil"/>
              <w:left w:val="nil"/>
              <w:bottom w:val="single" w:sz="4" w:space="0" w:color="auto"/>
              <w:right w:val="single" w:sz="4" w:space="0" w:color="auto"/>
            </w:tcBorders>
            <w:noWrap/>
            <w:vAlign w:val="center"/>
            <w:hideMark/>
          </w:tcPr>
          <w:p w14:paraId="1A3597F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75</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1513CCC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112</w:t>
            </w:r>
          </w:p>
        </w:tc>
        <w:tc>
          <w:tcPr>
            <w:tcW w:w="968" w:type="dxa"/>
            <w:tcBorders>
              <w:top w:val="nil"/>
              <w:left w:val="single" w:sz="8" w:space="0" w:color="auto"/>
              <w:bottom w:val="single" w:sz="4" w:space="0" w:color="auto"/>
              <w:right w:val="single" w:sz="4" w:space="0" w:color="auto"/>
            </w:tcBorders>
            <w:noWrap/>
            <w:vAlign w:val="center"/>
            <w:hideMark/>
          </w:tcPr>
          <w:p w14:paraId="33A4A7C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75</w:t>
            </w:r>
          </w:p>
        </w:tc>
        <w:tc>
          <w:tcPr>
            <w:tcW w:w="969" w:type="dxa"/>
            <w:tcBorders>
              <w:top w:val="nil"/>
              <w:left w:val="nil"/>
              <w:bottom w:val="single" w:sz="4" w:space="0" w:color="auto"/>
              <w:right w:val="single" w:sz="4" w:space="0" w:color="auto"/>
            </w:tcBorders>
            <w:noWrap/>
            <w:vAlign w:val="center"/>
            <w:hideMark/>
          </w:tcPr>
          <w:p w14:paraId="4EC5EFF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91</w:t>
            </w:r>
          </w:p>
        </w:tc>
        <w:tc>
          <w:tcPr>
            <w:tcW w:w="969" w:type="dxa"/>
            <w:tcBorders>
              <w:top w:val="nil"/>
              <w:left w:val="nil"/>
              <w:bottom w:val="single" w:sz="4" w:space="0" w:color="auto"/>
              <w:right w:val="single" w:sz="4" w:space="0" w:color="auto"/>
            </w:tcBorders>
            <w:noWrap/>
            <w:vAlign w:val="center"/>
            <w:hideMark/>
          </w:tcPr>
          <w:p w14:paraId="1A947D3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133</w:t>
            </w:r>
          </w:p>
        </w:tc>
        <w:tc>
          <w:tcPr>
            <w:tcW w:w="969" w:type="dxa"/>
            <w:tcBorders>
              <w:top w:val="nil"/>
              <w:left w:val="nil"/>
              <w:bottom w:val="single" w:sz="4" w:space="0" w:color="auto"/>
              <w:right w:val="single" w:sz="8" w:space="0" w:color="auto"/>
            </w:tcBorders>
            <w:noWrap/>
            <w:vAlign w:val="center"/>
            <w:hideMark/>
          </w:tcPr>
          <w:p w14:paraId="4D93E185"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133</w:t>
            </w:r>
          </w:p>
        </w:tc>
        <w:tc>
          <w:tcPr>
            <w:tcW w:w="1632" w:type="dxa"/>
            <w:tcBorders>
              <w:top w:val="nil"/>
              <w:left w:val="nil"/>
              <w:bottom w:val="single" w:sz="4" w:space="0" w:color="auto"/>
              <w:right w:val="single" w:sz="8" w:space="0" w:color="auto"/>
            </w:tcBorders>
            <w:shd w:val="clear" w:color="auto" w:fill="D9F2D0" w:themeFill="accent6" w:themeFillTint="33"/>
            <w:vAlign w:val="center"/>
          </w:tcPr>
          <w:p w14:paraId="3D3F9CE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 xml:space="preserve"> 133</w:t>
            </w:r>
          </w:p>
          <w:p w14:paraId="4C735835"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(average for 174 in old and 93 in new LGs)</w:t>
            </w:r>
          </w:p>
        </w:tc>
      </w:tr>
      <w:tr w:rsidR="00850353" w:rsidRPr="00D42106" w14:paraId="34A5D16D" w14:textId="77777777" w:rsidTr="00A84808">
        <w:trPr>
          <w:trHeight w:val="289"/>
        </w:trPr>
        <w:tc>
          <w:tcPr>
            <w:tcW w:w="2600" w:type="dxa"/>
            <w:vMerge w:val="restart"/>
            <w:tcBorders>
              <w:top w:val="single" w:sz="4" w:space="0" w:color="auto"/>
              <w:left w:val="single" w:sz="8" w:space="0" w:color="auto"/>
              <w:bottom w:val="nil"/>
              <w:right w:val="single" w:sz="4" w:space="0" w:color="000000"/>
            </w:tcBorders>
            <w:shd w:val="clear" w:color="auto" w:fill="F2F2F2" w:themeFill="background1" w:themeFillShade="F2"/>
            <w:vAlign w:val="center"/>
            <w:hideMark/>
          </w:tcPr>
          <w:p w14:paraId="5DE965A8"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Outcome 3: Citizens, particularly the most vulnerable, benefit from improved water supply and wastewater management services, provided in a more efficient, accountable and sustainable manner.</w:t>
            </w:r>
          </w:p>
        </w:tc>
        <w:tc>
          <w:tcPr>
            <w:tcW w:w="652" w:type="dxa"/>
            <w:tcBorders>
              <w:top w:val="single" w:sz="4" w:space="0" w:color="auto"/>
              <w:left w:val="nil"/>
              <w:bottom w:val="nil"/>
              <w:right w:val="single" w:sz="4" w:space="0" w:color="auto"/>
            </w:tcBorders>
            <w:shd w:val="clear" w:color="auto" w:fill="F2F2F2" w:themeFill="background1" w:themeFillShade="F2"/>
            <w:vAlign w:val="center"/>
            <w:hideMark/>
          </w:tcPr>
          <w:p w14:paraId="5DEDCC53"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shd w:val="clear" w:color="auto" w:fill="F2F2F2" w:themeFill="background1" w:themeFillShade="F2"/>
            <w:vAlign w:val="center"/>
            <w:hideMark/>
          </w:tcPr>
          <w:p w14:paraId="06C48205"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of people using safely managed drinking water services.</w:t>
            </w:r>
          </w:p>
        </w:tc>
        <w:tc>
          <w:tcPr>
            <w:tcW w:w="1499" w:type="dxa"/>
            <w:tcBorders>
              <w:top w:val="nil"/>
              <w:left w:val="nil"/>
              <w:bottom w:val="single" w:sz="4" w:space="0" w:color="auto"/>
              <w:right w:val="single" w:sz="4" w:space="0" w:color="auto"/>
            </w:tcBorders>
            <w:noWrap/>
            <w:vAlign w:val="center"/>
            <w:hideMark/>
          </w:tcPr>
          <w:p w14:paraId="3BBCA29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N/A</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4EB5DA6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100,000 (at least)</w:t>
            </w:r>
          </w:p>
        </w:tc>
        <w:tc>
          <w:tcPr>
            <w:tcW w:w="968" w:type="dxa"/>
            <w:tcBorders>
              <w:top w:val="nil"/>
              <w:left w:val="single" w:sz="8" w:space="0" w:color="auto"/>
              <w:bottom w:val="single" w:sz="4" w:space="0" w:color="auto"/>
              <w:right w:val="single" w:sz="4" w:space="0" w:color="auto"/>
            </w:tcBorders>
            <w:noWrap/>
            <w:vAlign w:val="center"/>
            <w:hideMark/>
          </w:tcPr>
          <w:p w14:paraId="3188D56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w:t>
            </w:r>
          </w:p>
        </w:tc>
        <w:tc>
          <w:tcPr>
            <w:tcW w:w="969" w:type="dxa"/>
            <w:tcBorders>
              <w:top w:val="nil"/>
              <w:left w:val="nil"/>
              <w:bottom w:val="single" w:sz="4" w:space="0" w:color="auto"/>
              <w:right w:val="single" w:sz="4" w:space="0" w:color="auto"/>
            </w:tcBorders>
            <w:noWrap/>
            <w:vAlign w:val="center"/>
            <w:hideMark/>
          </w:tcPr>
          <w:p w14:paraId="696F6911"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759,559</w:t>
            </w:r>
          </w:p>
        </w:tc>
        <w:tc>
          <w:tcPr>
            <w:tcW w:w="969" w:type="dxa"/>
            <w:tcBorders>
              <w:top w:val="nil"/>
              <w:left w:val="nil"/>
              <w:bottom w:val="single" w:sz="4" w:space="0" w:color="auto"/>
              <w:right w:val="single" w:sz="4" w:space="0" w:color="auto"/>
            </w:tcBorders>
            <w:noWrap/>
            <w:vAlign w:val="center"/>
            <w:hideMark/>
          </w:tcPr>
          <w:p w14:paraId="721EA82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777,188</w:t>
            </w:r>
          </w:p>
        </w:tc>
        <w:tc>
          <w:tcPr>
            <w:tcW w:w="969" w:type="dxa"/>
            <w:tcBorders>
              <w:top w:val="nil"/>
              <w:left w:val="nil"/>
              <w:bottom w:val="single" w:sz="4" w:space="0" w:color="auto"/>
              <w:right w:val="single" w:sz="8" w:space="0" w:color="auto"/>
            </w:tcBorders>
            <w:noWrap/>
            <w:vAlign w:val="center"/>
            <w:hideMark/>
          </w:tcPr>
          <w:p w14:paraId="1D2617D2"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782,080</w:t>
            </w:r>
          </w:p>
        </w:tc>
        <w:tc>
          <w:tcPr>
            <w:tcW w:w="1632" w:type="dxa"/>
            <w:tcBorders>
              <w:top w:val="nil"/>
              <w:left w:val="nil"/>
              <w:bottom w:val="single" w:sz="4" w:space="0" w:color="auto"/>
              <w:right w:val="single" w:sz="8" w:space="0" w:color="auto"/>
            </w:tcBorders>
            <w:shd w:val="clear" w:color="auto" w:fill="D9F2D0" w:themeFill="accent6" w:themeFillTint="33"/>
            <w:vAlign w:val="center"/>
          </w:tcPr>
          <w:p w14:paraId="596C8E8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782,080</w:t>
            </w:r>
          </w:p>
        </w:tc>
      </w:tr>
      <w:tr w:rsidR="00850353" w:rsidRPr="00D42106" w14:paraId="2FC2431F" w14:textId="77777777" w:rsidTr="00A84808">
        <w:trPr>
          <w:trHeight w:val="475"/>
        </w:trPr>
        <w:tc>
          <w:tcPr>
            <w:tcW w:w="2600" w:type="dxa"/>
            <w:vMerge/>
            <w:tcBorders>
              <w:top w:val="single" w:sz="4" w:space="0" w:color="auto"/>
              <w:left w:val="single" w:sz="8" w:space="0" w:color="auto"/>
              <w:bottom w:val="nil"/>
              <w:right w:val="single" w:sz="4" w:space="0" w:color="000000"/>
            </w:tcBorders>
            <w:shd w:val="clear" w:color="auto" w:fill="F2F2F2" w:themeFill="background1" w:themeFillShade="F2"/>
            <w:vAlign w:val="center"/>
            <w:hideMark/>
          </w:tcPr>
          <w:p w14:paraId="58601564" w14:textId="77777777" w:rsidR="00D12E01" w:rsidRPr="00D42106" w:rsidRDefault="00D12E01">
            <w:pPr>
              <w:rPr>
                <w:rFonts w:ascii="Calibri" w:hAnsi="Calibri" w:cs="Calibri"/>
                <w:b/>
                <w:sz w:val="18"/>
                <w:szCs w:val="18"/>
                <w:lang w:eastAsia="sr-Latn-BA"/>
              </w:rPr>
            </w:pPr>
          </w:p>
        </w:tc>
        <w:tc>
          <w:tcPr>
            <w:tcW w:w="652" w:type="dxa"/>
            <w:tcBorders>
              <w:top w:val="nil"/>
              <w:left w:val="nil"/>
              <w:bottom w:val="nil"/>
              <w:right w:val="single" w:sz="4" w:space="0" w:color="auto"/>
            </w:tcBorders>
            <w:shd w:val="clear" w:color="auto" w:fill="F2F2F2" w:themeFill="background1" w:themeFillShade="F2"/>
            <w:vAlign w:val="center"/>
            <w:hideMark/>
          </w:tcPr>
          <w:p w14:paraId="79219283"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bookmarkStart w:id="211" w:name="RANGE!D16"/>
        <w:tc>
          <w:tcPr>
            <w:tcW w:w="3429" w:type="dxa"/>
            <w:tcBorders>
              <w:top w:val="nil"/>
              <w:left w:val="nil"/>
              <w:bottom w:val="single" w:sz="4" w:space="0" w:color="auto"/>
              <w:right w:val="single" w:sz="4" w:space="0" w:color="auto"/>
            </w:tcBorders>
            <w:shd w:val="clear" w:color="auto" w:fill="F2F2F2" w:themeFill="background1" w:themeFillShade="F2"/>
            <w:vAlign w:val="center"/>
            <w:hideMark/>
          </w:tcPr>
          <w:p w14:paraId="17FEAF17"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fldChar w:fldCharType="begin"/>
            </w:r>
            <w:r w:rsidRPr="00D42106">
              <w:rPr>
                <w:rFonts w:ascii="Calibri" w:hAnsi="Calibri" w:cs="Calibri"/>
                <w:i/>
                <w:iCs/>
                <w:sz w:val="18"/>
                <w:szCs w:val="18"/>
                <w:lang w:eastAsia="sr-Latn-BA"/>
              </w:rPr>
              <w:instrText xml:space="preserve"> HYPERLINK "file:///C:\\Users\\Misel\\Desktop\\Result%20Framework%20(002).xlsx" \l "RANGE!#REF!" </w:instrText>
            </w:r>
            <w:r w:rsidRPr="00D42106">
              <w:rPr>
                <w:rFonts w:ascii="Calibri" w:hAnsi="Calibri" w:cs="Calibri"/>
                <w:i/>
                <w:sz w:val="18"/>
                <w:szCs w:val="18"/>
                <w:lang w:eastAsia="sr-Latn-BA"/>
              </w:rPr>
            </w:r>
            <w:r w:rsidRPr="00D42106">
              <w:rPr>
                <w:rFonts w:ascii="Calibri" w:hAnsi="Calibri" w:cs="Calibri"/>
                <w:i/>
                <w:sz w:val="18"/>
                <w:szCs w:val="18"/>
                <w:lang w:eastAsia="sr-Latn-BA"/>
              </w:rPr>
              <w:fldChar w:fldCharType="separate"/>
            </w:r>
            <w:r w:rsidRPr="00D42106">
              <w:rPr>
                <w:rFonts w:ascii="Calibri" w:hAnsi="Calibri" w:cs="Calibri"/>
                <w:i/>
                <w:sz w:val="18"/>
                <w:szCs w:val="18"/>
                <w:lang w:eastAsia="sr-Latn-BA"/>
              </w:rPr>
              <w:t>% of local governments with adequate governance arrangements and frameworks to enable effective and sustainable water services.</w:t>
            </w:r>
            <w:r w:rsidRPr="00D42106">
              <w:rPr>
                <w:rFonts w:ascii="Calibri" w:hAnsi="Calibri" w:cs="Calibri"/>
                <w:i/>
                <w:sz w:val="18"/>
                <w:szCs w:val="18"/>
                <w:lang w:eastAsia="sr-Latn-BA"/>
              </w:rPr>
              <w:fldChar w:fldCharType="end"/>
            </w:r>
            <w:bookmarkEnd w:id="211"/>
          </w:p>
        </w:tc>
        <w:tc>
          <w:tcPr>
            <w:tcW w:w="1499" w:type="dxa"/>
            <w:tcBorders>
              <w:top w:val="nil"/>
              <w:left w:val="nil"/>
              <w:bottom w:val="single" w:sz="4" w:space="0" w:color="auto"/>
              <w:right w:val="single" w:sz="4" w:space="0" w:color="auto"/>
            </w:tcBorders>
            <w:noWrap/>
            <w:vAlign w:val="center"/>
            <w:hideMark/>
          </w:tcPr>
          <w:p w14:paraId="208FD6C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5-10%</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49306152"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25%</w:t>
            </w:r>
          </w:p>
        </w:tc>
        <w:tc>
          <w:tcPr>
            <w:tcW w:w="968" w:type="dxa"/>
            <w:tcBorders>
              <w:top w:val="nil"/>
              <w:left w:val="single" w:sz="8" w:space="0" w:color="auto"/>
              <w:bottom w:val="single" w:sz="4" w:space="0" w:color="auto"/>
              <w:right w:val="single" w:sz="4" w:space="0" w:color="auto"/>
            </w:tcBorders>
            <w:noWrap/>
            <w:vAlign w:val="center"/>
            <w:hideMark/>
          </w:tcPr>
          <w:p w14:paraId="6012616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17%</w:t>
            </w:r>
          </w:p>
        </w:tc>
        <w:tc>
          <w:tcPr>
            <w:tcW w:w="969" w:type="dxa"/>
            <w:tcBorders>
              <w:top w:val="nil"/>
              <w:left w:val="nil"/>
              <w:bottom w:val="single" w:sz="4" w:space="0" w:color="auto"/>
              <w:right w:val="single" w:sz="4" w:space="0" w:color="auto"/>
            </w:tcBorders>
            <w:noWrap/>
            <w:vAlign w:val="center"/>
            <w:hideMark/>
          </w:tcPr>
          <w:p w14:paraId="3C2E90D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25%</w:t>
            </w:r>
          </w:p>
        </w:tc>
        <w:tc>
          <w:tcPr>
            <w:tcW w:w="969" w:type="dxa"/>
            <w:tcBorders>
              <w:top w:val="nil"/>
              <w:left w:val="nil"/>
              <w:bottom w:val="single" w:sz="4" w:space="0" w:color="auto"/>
              <w:right w:val="single" w:sz="4" w:space="0" w:color="auto"/>
            </w:tcBorders>
            <w:noWrap/>
            <w:vAlign w:val="center"/>
            <w:hideMark/>
          </w:tcPr>
          <w:p w14:paraId="61786B3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25%</w:t>
            </w:r>
          </w:p>
        </w:tc>
        <w:tc>
          <w:tcPr>
            <w:tcW w:w="969" w:type="dxa"/>
            <w:tcBorders>
              <w:top w:val="nil"/>
              <w:left w:val="nil"/>
              <w:bottom w:val="single" w:sz="4" w:space="0" w:color="auto"/>
              <w:right w:val="single" w:sz="8" w:space="0" w:color="auto"/>
            </w:tcBorders>
            <w:noWrap/>
            <w:vAlign w:val="center"/>
            <w:hideMark/>
          </w:tcPr>
          <w:p w14:paraId="63B508C5"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25%</w:t>
            </w:r>
          </w:p>
        </w:tc>
        <w:tc>
          <w:tcPr>
            <w:tcW w:w="1632" w:type="dxa"/>
            <w:tcBorders>
              <w:top w:val="nil"/>
              <w:left w:val="nil"/>
              <w:bottom w:val="single" w:sz="4" w:space="0" w:color="auto"/>
              <w:right w:val="single" w:sz="8" w:space="0" w:color="auto"/>
            </w:tcBorders>
            <w:shd w:val="clear" w:color="auto" w:fill="D9F2D0" w:themeFill="accent6" w:themeFillTint="33"/>
            <w:vAlign w:val="center"/>
          </w:tcPr>
          <w:p w14:paraId="331E62D5"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25%</w:t>
            </w:r>
          </w:p>
        </w:tc>
      </w:tr>
      <w:tr w:rsidR="00D12E01" w:rsidRPr="00D42106" w14:paraId="69AE9B9A" w14:textId="77777777" w:rsidTr="00A84808">
        <w:trPr>
          <w:trHeight w:val="721"/>
        </w:trPr>
        <w:tc>
          <w:tcPr>
            <w:tcW w:w="2600" w:type="dxa"/>
            <w:vMerge/>
            <w:tcBorders>
              <w:top w:val="single" w:sz="4" w:space="0" w:color="auto"/>
              <w:left w:val="single" w:sz="8" w:space="0" w:color="auto"/>
              <w:bottom w:val="nil"/>
              <w:right w:val="single" w:sz="4" w:space="0" w:color="000000"/>
            </w:tcBorders>
            <w:shd w:val="clear" w:color="auto" w:fill="F2F2F2" w:themeFill="background1" w:themeFillShade="F2"/>
            <w:vAlign w:val="center"/>
            <w:hideMark/>
          </w:tcPr>
          <w:p w14:paraId="4A95C983" w14:textId="77777777" w:rsidR="00D12E01" w:rsidRPr="00D42106" w:rsidRDefault="00D12E01">
            <w:pPr>
              <w:rPr>
                <w:rFonts w:ascii="Calibri" w:hAnsi="Calibri" w:cs="Calibri"/>
                <w:b/>
                <w:sz w:val="18"/>
                <w:szCs w:val="18"/>
                <w:lang w:eastAsia="sr-Latn-BA"/>
              </w:rPr>
            </w:pPr>
          </w:p>
        </w:tc>
        <w:tc>
          <w:tcPr>
            <w:tcW w:w="652" w:type="dxa"/>
            <w:tcBorders>
              <w:top w:val="nil"/>
              <w:left w:val="nil"/>
              <w:bottom w:val="nil"/>
              <w:right w:val="single" w:sz="4" w:space="0" w:color="auto"/>
            </w:tcBorders>
            <w:shd w:val="clear" w:color="auto" w:fill="F2F2F2" w:themeFill="background1" w:themeFillShade="F2"/>
            <w:vAlign w:val="center"/>
            <w:hideMark/>
          </w:tcPr>
          <w:p w14:paraId="6F608AD7"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nil"/>
              <w:right w:val="single" w:sz="4" w:space="0" w:color="auto"/>
            </w:tcBorders>
            <w:shd w:val="clear" w:color="auto" w:fill="F2F2F2" w:themeFill="background1" w:themeFillShade="F2"/>
            <w:vAlign w:val="center"/>
            <w:hideMark/>
          </w:tcPr>
          <w:p w14:paraId="65BB5BA8"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of partner local governments who have introduced subsidy system for vulnerable citizens for water supply and wastewater management services.</w:t>
            </w:r>
          </w:p>
        </w:tc>
        <w:tc>
          <w:tcPr>
            <w:tcW w:w="1499" w:type="dxa"/>
            <w:tcBorders>
              <w:top w:val="nil"/>
              <w:left w:val="nil"/>
              <w:bottom w:val="nil"/>
              <w:right w:val="single" w:sz="4" w:space="0" w:color="auto"/>
            </w:tcBorders>
            <w:noWrap/>
            <w:vAlign w:val="center"/>
            <w:hideMark/>
          </w:tcPr>
          <w:p w14:paraId="5FB8181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11%</w:t>
            </w:r>
          </w:p>
        </w:tc>
        <w:tc>
          <w:tcPr>
            <w:tcW w:w="990" w:type="dxa"/>
            <w:tcBorders>
              <w:top w:val="nil"/>
              <w:left w:val="single" w:sz="8" w:space="0" w:color="auto"/>
              <w:bottom w:val="nil"/>
              <w:right w:val="single" w:sz="8" w:space="0" w:color="auto"/>
            </w:tcBorders>
            <w:shd w:val="clear" w:color="auto" w:fill="D9D9D9" w:themeFill="background1" w:themeFillShade="D9"/>
            <w:vAlign w:val="center"/>
          </w:tcPr>
          <w:p w14:paraId="348219C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75%</w:t>
            </w:r>
          </w:p>
        </w:tc>
        <w:tc>
          <w:tcPr>
            <w:tcW w:w="968" w:type="dxa"/>
            <w:tcBorders>
              <w:top w:val="nil"/>
              <w:left w:val="single" w:sz="8" w:space="0" w:color="auto"/>
              <w:bottom w:val="nil"/>
              <w:right w:val="single" w:sz="4" w:space="0" w:color="auto"/>
            </w:tcBorders>
            <w:noWrap/>
            <w:vAlign w:val="center"/>
            <w:hideMark/>
          </w:tcPr>
          <w:p w14:paraId="7E24C4A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45%</w:t>
            </w:r>
          </w:p>
        </w:tc>
        <w:tc>
          <w:tcPr>
            <w:tcW w:w="969" w:type="dxa"/>
            <w:tcBorders>
              <w:top w:val="nil"/>
              <w:left w:val="nil"/>
              <w:bottom w:val="nil"/>
              <w:right w:val="single" w:sz="4" w:space="0" w:color="auto"/>
            </w:tcBorders>
            <w:noWrap/>
            <w:vAlign w:val="center"/>
            <w:hideMark/>
          </w:tcPr>
          <w:p w14:paraId="639A470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51%</w:t>
            </w:r>
          </w:p>
        </w:tc>
        <w:tc>
          <w:tcPr>
            <w:tcW w:w="969" w:type="dxa"/>
            <w:tcBorders>
              <w:top w:val="nil"/>
              <w:left w:val="nil"/>
              <w:bottom w:val="nil"/>
              <w:right w:val="single" w:sz="4" w:space="0" w:color="auto"/>
            </w:tcBorders>
            <w:noWrap/>
            <w:vAlign w:val="center"/>
            <w:hideMark/>
          </w:tcPr>
          <w:p w14:paraId="30A41FD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73%</w:t>
            </w:r>
          </w:p>
        </w:tc>
        <w:tc>
          <w:tcPr>
            <w:tcW w:w="969" w:type="dxa"/>
            <w:tcBorders>
              <w:top w:val="nil"/>
              <w:left w:val="nil"/>
              <w:bottom w:val="nil"/>
              <w:right w:val="single" w:sz="8" w:space="0" w:color="auto"/>
            </w:tcBorders>
            <w:noWrap/>
            <w:vAlign w:val="center"/>
            <w:hideMark/>
          </w:tcPr>
          <w:p w14:paraId="2365CFA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86%</w:t>
            </w:r>
          </w:p>
        </w:tc>
        <w:tc>
          <w:tcPr>
            <w:tcW w:w="1632" w:type="dxa"/>
            <w:tcBorders>
              <w:top w:val="nil"/>
              <w:left w:val="nil"/>
              <w:bottom w:val="nil"/>
              <w:right w:val="single" w:sz="8" w:space="0" w:color="auto"/>
            </w:tcBorders>
            <w:shd w:val="clear" w:color="auto" w:fill="D9F2D0" w:themeFill="accent6" w:themeFillTint="33"/>
            <w:vAlign w:val="center"/>
          </w:tcPr>
          <w:p w14:paraId="13DBDFA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 xml:space="preserve">82% </w:t>
            </w:r>
          </w:p>
          <w:p w14:paraId="75200D6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(25 out of 29 partner LGs)</w:t>
            </w:r>
          </w:p>
        </w:tc>
      </w:tr>
      <w:tr w:rsidR="00D12E01" w:rsidRPr="00D42106" w14:paraId="0F63D012" w14:textId="77777777" w:rsidTr="00A84808">
        <w:trPr>
          <w:trHeight w:val="289"/>
        </w:trPr>
        <w:tc>
          <w:tcPr>
            <w:tcW w:w="6681" w:type="dxa"/>
            <w:gridSpan w:val="3"/>
            <w:vMerge w:val="restart"/>
            <w:tcBorders>
              <w:top w:val="single" w:sz="8" w:space="0" w:color="auto"/>
              <w:left w:val="single" w:sz="8" w:space="0" w:color="auto"/>
              <w:bottom w:val="single" w:sz="4" w:space="0" w:color="000000"/>
              <w:right w:val="single" w:sz="4" w:space="0" w:color="000000"/>
            </w:tcBorders>
            <w:shd w:val="clear" w:color="auto" w:fill="C1E4F5" w:themeFill="accent1" w:themeFillTint="33"/>
            <w:vAlign w:val="center"/>
            <w:hideMark/>
          </w:tcPr>
          <w:p w14:paraId="6A9460E6"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For outcome 1: State, entity and cantonal governments set in place a more conducive policy and regulatory environment that affirms result-oriented local governance and improved water supply and wastewater management services</w:t>
            </w:r>
          </w:p>
        </w:tc>
        <w:tc>
          <w:tcPr>
            <w:tcW w:w="1499" w:type="dxa"/>
            <w:tcBorders>
              <w:top w:val="single" w:sz="8" w:space="0" w:color="auto"/>
              <w:left w:val="nil"/>
              <w:bottom w:val="single" w:sz="4" w:space="0" w:color="auto"/>
              <w:right w:val="single" w:sz="8" w:space="0" w:color="000000"/>
            </w:tcBorders>
            <w:shd w:val="clear" w:color="auto" w:fill="C1E4F5" w:themeFill="accent1" w:themeFillTint="33"/>
            <w:noWrap/>
            <w:vAlign w:val="bottom"/>
            <w:hideMark/>
          </w:tcPr>
          <w:p w14:paraId="59563E5B"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Baseline</w:t>
            </w:r>
          </w:p>
        </w:tc>
        <w:tc>
          <w:tcPr>
            <w:tcW w:w="990" w:type="dxa"/>
            <w:tcBorders>
              <w:top w:val="single" w:sz="8" w:space="0" w:color="auto"/>
              <w:left w:val="nil"/>
              <w:bottom w:val="single" w:sz="4" w:space="0" w:color="auto"/>
              <w:right w:val="nil"/>
            </w:tcBorders>
            <w:shd w:val="clear" w:color="auto" w:fill="C1E4F5" w:themeFill="accent1" w:themeFillTint="33"/>
            <w:vAlign w:val="center"/>
          </w:tcPr>
          <w:p w14:paraId="5CA30AFD" w14:textId="77777777" w:rsidR="00D12E01" w:rsidRPr="00D42106" w:rsidRDefault="00D12E01">
            <w:pPr>
              <w:jc w:val="center"/>
              <w:rPr>
                <w:rFonts w:ascii="Calibri" w:hAnsi="Calibri" w:cs="Calibri"/>
                <w:b/>
                <w:sz w:val="18"/>
                <w:szCs w:val="18"/>
                <w:lang w:eastAsia="sr-Latn-BA"/>
              </w:rPr>
            </w:pPr>
          </w:p>
        </w:tc>
        <w:tc>
          <w:tcPr>
            <w:tcW w:w="3875" w:type="dxa"/>
            <w:gridSpan w:val="4"/>
            <w:tcBorders>
              <w:top w:val="single" w:sz="8" w:space="0" w:color="auto"/>
              <w:left w:val="nil"/>
              <w:bottom w:val="single" w:sz="4" w:space="0" w:color="auto"/>
              <w:right w:val="single" w:sz="8" w:space="0" w:color="000000"/>
            </w:tcBorders>
            <w:shd w:val="clear" w:color="auto" w:fill="C1E4F5" w:themeFill="accent1" w:themeFillTint="33"/>
            <w:noWrap/>
            <w:vAlign w:val="center"/>
            <w:hideMark/>
          </w:tcPr>
          <w:p w14:paraId="75E97542"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Targets (plan)</w:t>
            </w:r>
          </w:p>
        </w:tc>
        <w:tc>
          <w:tcPr>
            <w:tcW w:w="1632" w:type="dxa"/>
            <w:tcBorders>
              <w:top w:val="single" w:sz="8" w:space="0" w:color="auto"/>
              <w:left w:val="nil"/>
              <w:bottom w:val="single" w:sz="4" w:space="0" w:color="auto"/>
              <w:right w:val="single" w:sz="8" w:space="0" w:color="000000"/>
            </w:tcBorders>
            <w:shd w:val="clear" w:color="auto" w:fill="C1E4F5" w:themeFill="accent1" w:themeFillTint="33"/>
            <w:vAlign w:val="center"/>
          </w:tcPr>
          <w:p w14:paraId="18444DA7" w14:textId="77777777" w:rsidR="00D12E01" w:rsidRPr="00D42106" w:rsidRDefault="00D12E01">
            <w:pPr>
              <w:jc w:val="center"/>
              <w:rPr>
                <w:rFonts w:ascii="Calibri" w:hAnsi="Calibri" w:cs="Calibri"/>
                <w:b/>
                <w:sz w:val="18"/>
                <w:szCs w:val="18"/>
                <w:lang w:eastAsia="sr-Latn-BA"/>
              </w:rPr>
            </w:pPr>
          </w:p>
        </w:tc>
      </w:tr>
      <w:tr w:rsidR="00D12E01" w:rsidRPr="00D42106" w14:paraId="138E5189" w14:textId="77777777" w:rsidTr="00A84808">
        <w:trPr>
          <w:trHeight w:val="289"/>
        </w:trPr>
        <w:tc>
          <w:tcPr>
            <w:tcW w:w="6681" w:type="dxa"/>
            <w:gridSpan w:val="3"/>
            <w:vMerge/>
            <w:tcBorders>
              <w:top w:val="single" w:sz="8" w:space="0" w:color="auto"/>
              <w:left w:val="single" w:sz="8" w:space="0" w:color="auto"/>
              <w:bottom w:val="single" w:sz="4" w:space="0" w:color="000000"/>
              <w:right w:val="single" w:sz="4" w:space="0" w:color="000000"/>
            </w:tcBorders>
            <w:shd w:val="clear" w:color="auto" w:fill="C1E4F5" w:themeFill="accent1" w:themeFillTint="33"/>
            <w:vAlign w:val="center"/>
            <w:hideMark/>
          </w:tcPr>
          <w:p w14:paraId="0331F233" w14:textId="77777777" w:rsidR="00D12E01" w:rsidRPr="00D42106" w:rsidRDefault="00D12E01">
            <w:pPr>
              <w:rPr>
                <w:rFonts w:ascii="Calibri" w:hAnsi="Calibri" w:cs="Calibri"/>
                <w:b/>
                <w:sz w:val="18"/>
                <w:szCs w:val="18"/>
                <w:lang w:eastAsia="sr-Latn-BA"/>
              </w:rPr>
            </w:pPr>
          </w:p>
        </w:tc>
        <w:tc>
          <w:tcPr>
            <w:tcW w:w="1499" w:type="dxa"/>
            <w:tcBorders>
              <w:top w:val="nil"/>
              <w:left w:val="nil"/>
              <w:bottom w:val="single" w:sz="4" w:space="0" w:color="auto"/>
              <w:right w:val="single" w:sz="4" w:space="0" w:color="auto"/>
            </w:tcBorders>
            <w:shd w:val="clear" w:color="auto" w:fill="C1E4F5" w:themeFill="accent1" w:themeFillTint="33"/>
            <w:noWrap/>
            <w:vAlign w:val="bottom"/>
            <w:hideMark/>
          </w:tcPr>
          <w:p w14:paraId="2E252FB9"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Value </w:t>
            </w:r>
          </w:p>
        </w:tc>
        <w:tc>
          <w:tcPr>
            <w:tcW w:w="990" w:type="dxa"/>
            <w:tcBorders>
              <w:top w:val="nil"/>
              <w:left w:val="single" w:sz="8" w:space="0" w:color="auto"/>
              <w:bottom w:val="single" w:sz="4" w:space="0" w:color="auto"/>
              <w:right w:val="single" w:sz="8" w:space="0" w:color="auto"/>
            </w:tcBorders>
            <w:shd w:val="clear" w:color="auto" w:fill="C1E4F5" w:themeFill="accent1" w:themeFillTint="33"/>
            <w:vAlign w:val="center"/>
          </w:tcPr>
          <w:p w14:paraId="63A49197" w14:textId="77777777" w:rsidR="00D12E01" w:rsidRPr="00D42106" w:rsidRDefault="00D12E01">
            <w:pPr>
              <w:jc w:val="center"/>
              <w:rPr>
                <w:rFonts w:ascii="Calibri" w:hAnsi="Calibri" w:cs="Calibri"/>
                <w:b/>
                <w:sz w:val="18"/>
                <w:szCs w:val="18"/>
                <w:lang w:eastAsia="sr-Latn-BA"/>
              </w:rPr>
            </w:pPr>
          </w:p>
        </w:tc>
        <w:tc>
          <w:tcPr>
            <w:tcW w:w="968" w:type="dxa"/>
            <w:tcBorders>
              <w:top w:val="nil"/>
              <w:left w:val="single" w:sz="8" w:space="0" w:color="auto"/>
              <w:bottom w:val="single" w:sz="4" w:space="0" w:color="auto"/>
              <w:right w:val="single" w:sz="4" w:space="0" w:color="auto"/>
            </w:tcBorders>
            <w:shd w:val="clear" w:color="auto" w:fill="C1E4F5" w:themeFill="accent1" w:themeFillTint="33"/>
            <w:noWrap/>
            <w:vAlign w:val="center"/>
            <w:hideMark/>
          </w:tcPr>
          <w:p w14:paraId="3B724657"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Y1</w:t>
            </w:r>
          </w:p>
        </w:tc>
        <w:tc>
          <w:tcPr>
            <w:tcW w:w="969" w:type="dxa"/>
            <w:tcBorders>
              <w:top w:val="nil"/>
              <w:left w:val="nil"/>
              <w:bottom w:val="single" w:sz="4" w:space="0" w:color="auto"/>
              <w:right w:val="single" w:sz="4" w:space="0" w:color="auto"/>
            </w:tcBorders>
            <w:shd w:val="clear" w:color="auto" w:fill="C1E4F5" w:themeFill="accent1" w:themeFillTint="33"/>
            <w:noWrap/>
            <w:vAlign w:val="center"/>
            <w:hideMark/>
          </w:tcPr>
          <w:p w14:paraId="2A015471"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Y2</w:t>
            </w:r>
          </w:p>
        </w:tc>
        <w:tc>
          <w:tcPr>
            <w:tcW w:w="969" w:type="dxa"/>
            <w:tcBorders>
              <w:top w:val="nil"/>
              <w:left w:val="nil"/>
              <w:bottom w:val="single" w:sz="4" w:space="0" w:color="auto"/>
              <w:right w:val="single" w:sz="4" w:space="0" w:color="auto"/>
            </w:tcBorders>
            <w:shd w:val="clear" w:color="auto" w:fill="C1E4F5" w:themeFill="accent1" w:themeFillTint="33"/>
            <w:noWrap/>
            <w:vAlign w:val="center"/>
            <w:hideMark/>
          </w:tcPr>
          <w:p w14:paraId="10114EEB"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Y3</w:t>
            </w:r>
          </w:p>
        </w:tc>
        <w:tc>
          <w:tcPr>
            <w:tcW w:w="969" w:type="dxa"/>
            <w:tcBorders>
              <w:top w:val="nil"/>
              <w:left w:val="nil"/>
              <w:bottom w:val="single" w:sz="4" w:space="0" w:color="auto"/>
              <w:right w:val="single" w:sz="8" w:space="0" w:color="auto"/>
            </w:tcBorders>
            <w:shd w:val="clear" w:color="auto" w:fill="C1E4F5" w:themeFill="accent1" w:themeFillTint="33"/>
            <w:noWrap/>
            <w:vAlign w:val="center"/>
            <w:hideMark/>
          </w:tcPr>
          <w:p w14:paraId="030D3503"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Y4</w:t>
            </w:r>
          </w:p>
        </w:tc>
        <w:tc>
          <w:tcPr>
            <w:tcW w:w="1632" w:type="dxa"/>
            <w:tcBorders>
              <w:top w:val="nil"/>
              <w:left w:val="nil"/>
              <w:bottom w:val="single" w:sz="4" w:space="0" w:color="auto"/>
              <w:right w:val="single" w:sz="8" w:space="0" w:color="auto"/>
            </w:tcBorders>
            <w:shd w:val="clear" w:color="auto" w:fill="C1E4F5" w:themeFill="accent1" w:themeFillTint="33"/>
            <w:vAlign w:val="center"/>
          </w:tcPr>
          <w:p w14:paraId="2CB76AF0" w14:textId="77777777" w:rsidR="00D12E01" w:rsidRPr="00D42106" w:rsidRDefault="00D12E01">
            <w:pPr>
              <w:jc w:val="center"/>
              <w:rPr>
                <w:rFonts w:ascii="Calibri" w:hAnsi="Calibri" w:cs="Calibri"/>
                <w:b/>
                <w:sz w:val="18"/>
                <w:szCs w:val="18"/>
                <w:lang w:eastAsia="sr-Latn-BA"/>
              </w:rPr>
            </w:pPr>
          </w:p>
        </w:tc>
      </w:tr>
      <w:tr w:rsidR="00850353" w:rsidRPr="00D42106" w14:paraId="44284AE7" w14:textId="77777777" w:rsidTr="0038576D">
        <w:trPr>
          <w:trHeight w:val="475"/>
        </w:trPr>
        <w:tc>
          <w:tcPr>
            <w:tcW w:w="2600" w:type="dxa"/>
            <w:vMerge w:val="restart"/>
            <w:tcBorders>
              <w:top w:val="single" w:sz="4" w:space="0" w:color="auto"/>
              <w:left w:val="single" w:sz="8" w:space="0" w:color="auto"/>
              <w:bottom w:val="single" w:sz="4" w:space="0" w:color="000000"/>
              <w:right w:val="single" w:sz="4" w:space="0" w:color="000000"/>
            </w:tcBorders>
            <w:vAlign w:val="center"/>
            <w:hideMark/>
          </w:tcPr>
          <w:p w14:paraId="55DA9ECE"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Output 1.1. Relevant entity institutions advance capacities to design and implement gender-responsive policy frameworks that enable performance-oriented local governance system</w:t>
            </w:r>
          </w:p>
        </w:tc>
        <w:tc>
          <w:tcPr>
            <w:tcW w:w="652" w:type="dxa"/>
            <w:tcBorders>
              <w:top w:val="nil"/>
              <w:left w:val="nil"/>
              <w:bottom w:val="nil"/>
              <w:right w:val="single" w:sz="4" w:space="0" w:color="auto"/>
            </w:tcBorders>
            <w:vAlign w:val="center"/>
            <w:hideMark/>
          </w:tcPr>
          <w:p w14:paraId="3F0B1ADB"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vAlign w:val="center"/>
            <w:hideMark/>
          </w:tcPr>
          <w:p w14:paraId="28120B1E"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xml:space="preserve">Number of thematic assessments / policy papers newly developed to support and inform policy dialogue. </w:t>
            </w:r>
          </w:p>
        </w:tc>
        <w:tc>
          <w:tcPr>
            <w:tcW w:w="1499" w:type="dxa"/>
            <w:tcBorders>
              <w:top w:val="nil"/>
              <w:left w:val="nil"/>
              <w:bottom w:val="single" w:sz="4" w:space="0" w:color="auto"/>
              <w:right w:val="single" w:sz="4" w:space="0" w:color="auto"/>
            </w:tcBorders>
            <w:noWrap/>
            <w:vAlign w:val="center"/>
            <w:hideMark/>
          </w:tcPr>
          <w:p w14:paraId="5741434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7DBF02A2"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w:t>
            </w:r>
          </w:p>
        </w:tc>
        <w:tc>
          <w:tcPr>
            <w:tcW w:w="968" w:type="dxa"/>
            <w:tcBorders>
              <w:top w:val="nil"/>
              <w:left w:val="single" w:sz="8" w:space="0" w:color="auto"/>
              <w:bottom w:val="single" w:sz="4" w:space="0" w:color="auto"/>
              <w:right w:val="single" w:sz="4" w:space="0" w:color="auto"/>
            </w:tcBorders>
            <w:noWrap/>
            <w:vAlign w:val="center"/>
            <w:hideMark/>
          </w:tcPr>
          <w:p w14:paraId="23D50D1F"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w:t>
            </w:r>
          </w:p>
        </w:tc>
        <w:tc>
          <w:tcPr>
            <w:tcW w:w="969" w:type="dxa"/>
            <w:tcBorders>
              <w:top w:val="nil"/>
              <w:left w:val="nil"/>
              <w:bottom w:val="single" w:sz="4" w:space="0" w:color="auto"/>
              <w:right w:val="single" w:sz="4" w:space="0" w:color="auto"/>
            </w:tcBorders>
            <w:noWrap/>
            <w:vAlign w:val="center"/>
            <w:hideMark/>
          </w:tcPr>
          <w:p w14:paraId="3F6512F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w:t>
            </w:r>
          </w:p>
        </w:tc>
        <w:tc>
          <w:tcPr>
            <w:tcW w:w="969" w:type="dxa"/>
            <w:tcBorders>
              <w:top w:val="nil"/>
              <w:left w:val="nil"/>
              <w:bottom w:val="single" w:sz="4" w:space="0" w:color="auto"/>
              <w:right w:val="single" w:sz="4" w:space="0" w:color="auto"/>
            </w:tcBorders>
            <w:noWrap/>
            <w:vAlign w:val="center"/>
            <w:hideMark/>
          </w:tcPr>
          <w:p w14:paraId="23944F4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w:t>
            </w:r>
          </w:p>
        </w:tc>
        <w:tc>
          <w:tcPr>
            <w:tcW w:w="969" w:type="dxa"/>
            <w:tcBorders>
              <w:top w:val="nil"/>
              <w:left w:val="nil"/>
              <w:bottom w:val="single" w:sz="4" w:space="0" w:color="auto"/>
              <w:right w:val="single" w:sz="8" w:space="0" w:color="auto"/>
            </w:tcBorders>
            <w:noWrap/>
            <w:vAlign w:val="center"/>
            <w:hideMark/>
          </w:tcPr>
          <w:p w14:paraId="0BB1A18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w:t>
            </w:r>
          </w:p>
        </w:tc>
        <w:tc>
          <w:tcPr>
            <w:tcW w:w="1632" w:type="dxa"/>
            <w:tcBorders>
              <w:top w:val="nil"/>
              <w:left w:val="nil"/>
              <w:bottom w:val="single" w:sz="4" w:space="0" w:color="auto"/>
              <w:right w:val="single" w:sz="8" w:space="0" w:color="auto"/>
            </w:tcBorders>
            <w:shd w:val="clear" w:color="auto" w:fill="D9F2D0" w:themeFill="accent6" w:themeFillTint="33"/>
            <w:vAlign w:val="center"/>
          </w:tcPr>
          <w:p w14:paraId="388E3F8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w:t>
            </w:r>
          </w:p>
        </w:tc>
      </w:tr>
      <w:tr w:rsidR="00850353" w:rsidRPr="00D42106" w14:paraId="2746578E" w14:textId="77777777" w:rsidTr="0038576D">
        <w:trPr>
          <w:trHeight w:val="712"/>
        </w:trPr>
        <w:tc>
          <w:tcPr>
            <w:tcW w:w="2600" w:type="dxa"/>
            <w:vMerge/>
            <w:tcBorders>
              <w:top w:val="single" w:sz="4" w:space="0" w:color="auto"/>
              <w:left w:val="single" w:sz="8" w:space="0" w:color="auto"/>
              <w:bottom w:val="single" w:sz="4" w:space="0" w:color="000000"/>
              <w:right w:val="single" w:sz="4" w:space="0" w:color="000000"/>
            </w:tcBorders>
            <w:vAlign w:val="center"/>
            <w:hideMark/>
          </w:tcPr>
          <w:p w14:paraId="58CE5B7B" w14:textId="77777777" w:rsidR="00D12E01" w:rsidRPr="00D42106" w:rsidRDefault="00D12E01">
            <w:pPr>
              <w:rPr>
                <w:rFonts w:ascii="Calibri" w:hAnsi="Calibri" w:cs="Calibri"/>
                <w:b/>
                <w:sz w:val="18"/>
                <w:szCs w:val="18"/>
                <w:lang w:eastAsia="sr-Latn-BA"/>
              </w:rPr>
            </w:pPr>
          </w:p>
        </w:tc>
        <w:tc>
          <w:tcPr>
            <w:tcW w:w="652" w:type="dxa"/>
            <w:tcBorders>
              <w:top w:val="nil"/>
              <w:left w:val="nil"/>
              <w:bottom w:val="nil"/>
              <w:right w:val="single" w:sz="4" w:space="0" w:color="auto"/>
            </w:tcBorders>
            <w:vAlign w:val="center"/>
            <w:hideMark/>
          </w:tcPr>
          <w:p w14:paraId="7F98562C"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vAlign w:val="center"/>
            <w:hideMark/>
          </w:tcPr>
          <w:p w14:paraId="122EC3AF"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of local governments in the country which engage in consultations and contribute to the development of the standard good local governance framework.</w:t>
            </w:r>
          </w:p>
        </w:tc>
        <w:tc>
          <w:tcPr>
            <w:tcW w:w="1499" w:type="dxa"/>
            <w:tcBorders>
              <w:top w:val="nil"/>
              <w:left w:val="nil"/>
              <w:bottom w:val="single" w:sz="4" w:space="0" w:color="auto"/>
              <w:right w:val="single" w:sz="4" w:space="0" w:color="auto"/>
            </w:tcBorders>
            <w:noWrap/>
            <w:vAlign w:val="center"/>
            <w:hideMark/>
          </w:tcPr>
          <w:p w14:paraId="2715C10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10%</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089BFD92"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60% (at least)</w:t>
            </w:r>
          </w:p>
        </w:tc>
        <w:tc>
          <w:tcPr>
            <w:tcW w:w="968" w:type="dxa"/>
            <w:tcBorders>
              <w:top w:val="nil"/>
              <w:left w:val="single" w:sz="8" w:space="0" w:color="auto"/>
              <w:bottom w:val="single" w:sz="4" w:space="0" w:color="auto"/>
              <w:right w:val="single" w:sz="4" w:space="0" w:color="auto"/>
            </w:tcBorders>
            <w:noWrap/>
            <w:vAlign w:val="center"/>
            <w:hideMark/>
          </w:tcPr>
          <w:p w14:paraId="635B887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20%</w:t>
            </w:r>
          </w:p>
        </w:tc>
        <w:tc>
          <w:tcPr>
            <w:tcW w:w="969" w:type="dxa"/>
            <w:tcBorders>
              <w:top w:val="nil"/>
              <w:left w:val="nil"/>
              <w:bottom w:val="single" w:sz="4" w:space="0" w:color="auto"/>
              <w:right w:val="single" w:sz="4" w:space="0" w:color="auto"/>
            </w:tcBorders>
            <w:noWrap/>
            <w:vAlign w:val="center"/>
            <w:hideMark/>
          </w:tcPr>
          <w:p w14:paraId="498EAFB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30%</w:t>
            </w:r>
          </w:p>
        </w:tc>
        <w:tc>
          <w:tcPr>
            <w:tcW w:w="969" w:type="dxa"/>
            <w:tcBorders>
              <w:top w:val="nil"/>
              <w:left w:val="nil"/>
              <w:bottom w:val="single" w:sz="4" w:space="0" w:color="auto"/>
              <w:right w:val="single" w:sz="4" w:space="0" w:color="auto"/>
            </w:tcBorders>
            <w:noWrap/>
            <w:vAlign w:val="center"/>
            <w:hideMark/>
          </w:tcPr>
          <w:p w14:paraId="01F8F18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37%</w:t>
            </w:r>
          </w:p>
        </w:tc>
        <w:tc>
          <w:tcPr>
            <w:tcW w:w="969" w:type="dxa"/>
            <w:tcBorders>
              <w:top w:val="nil"/>
              <w:left w:val="nil"/>
              <w:bottom w:val="single" w:sz="4" w:space="0" w:color="auto"/>
              <w:right w:val="single" w:sz="8" w:space="0" w:color="auto"/>
            </w:tcBorders>
            <w:noWrap/>
            <w:vAlign w:val="center"/>
            <w:hideMark/>
          </w:tcPr>
          <w:p w14:paraId="46578CC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50%</w:t>
            </w:r>
          </w:p>
        </w:tc>
        <w:tc>
          <w:tcPr>
            <w:tcW w:w="1632" w:type="dxa"/>
            <w:tcBorders>
              <w:top w:val="nil"/>
              <w:left w:val="nil"/>
              <w:bottom w:val="single" w:sz="4" w:space="0" w:color="auto"/>
              <w:right w:val="single" w:sz="8" w:space="0" w:color="auto"/>
            </w:tcBorders>
            <w:shd w:val="clear" w:color="auto" w:fill="FA807D"/>
            <w:vAlign w:val="center"/>
          </w:tcPr>
          <w:p w14:paraId="27C0B757"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50%</w:t>
            </w:r>
          </w:p>
        </w:tc>
      </w:tr>
      <w:tr w:rsidR="00850353" w:rsidRPr="00D42106" w14:paraId="376596A4" w14:textId="77777777" w:rsidTr="0038576D">
        <w:trPr>
          <w:trHeight w:val="951"/>
        </w:trPr>
        <w:tc>
          <w:tcPr>
            <w:tcW w:w="2600" w:type="dxa"/>
            <w:vMerge/>
            <w:tcBorders>
              <w:top w:val="single" w:sz="4" w:space="0" w:color="auto"/>
              <w:left w:val="single" w:sz="8" w:space="0" w:color="auto"/>
              <w:bottom w:val="single" w:sz="4" w:space="0" w:color="000000"/>
              <w:right w:val="single" w:sz="4" w:space="0" w:color="000000"/>
            </w:tcBorders>
            <w:vAlign w:val="center"/>
            <w:hideMark/>
          </w:tcPr>
          <w:p w14:paraId="509998FC" w14:textId="77777777" w:rsidR="00D12E01" w:rsidRPr="00D42106" w:rsidRDefault="00D12E01">
            <w:pPr>
              <w:rPr>
                <w:rFonts w:ascii="Calibri" w:hAnsi="Calibri" w:cs="Calibri"/>
                <w:b/>
                <w:sz w:val="18"/>
                <w:szCs w:val="18"/>
                <w:lang w:eastAsia="sr-Latn-BA"/>
              </w:rPr>
            </w:pPr>
          </w:p>
        </w:tc>
        <w:tc>
          <w:tcPr>
            <w:tcW w:w="652" w:type="dxa"/>
            <w:tcBorders>
              <w:top w:val="nil"/>
              <w:left w:val="nil"/>
              <w:bottom w:val="nil"/>
              <w:right w:val="single" w:sz="4" w:space="0" w:color="auto"/>
            </w:tcBorders>
            <w:vAlign w:val="center"/>
            <w:hideMark/>
          </w:tcPr>
          <w:p w14:paraId="2F8ED071"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vAlign w:val="center"/>
            <w:hideMark/>
          </w:tcPr>
          <w:p w14:paraId="14DF512D"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xml:space="preserve">Number of roadmaps newly developed by and agreed upon by institutional stakeholders that lay out the priority policy/legal/financial measures to be undertaken towards performance-based local governance system. </w:t>
            </w:r>
          </w:p>
        </w:tc>
        <w:tc>
          <w:tcPr>
            <w:tcW w:w="1499" w:type="dxa"/>
            <w:tcBorders>
              <w:top w:val="nil"/>
              <w:left w:val="nil"/>
              <w:bottom w:val="single" w:sz="4" w:space="0" w:color="auto"/>
              <w:right w:val="single" w:sz="4" w:space="0" w:color="auto"/>
            </w:tcBorders>
            <w:noWrap/>
            <w:vAlign w:val="center"/>
            <w:hideMark/>
          </w:tcPr>
          <w:p w14:paraId="5639E1D2"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0599112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w:t>
            </w:r>
          </w:p>
        </w:tc>
        <w:tc>
          <w:tcPr>
            <w:tcW w:w="968" w:type="dxa"/>
            <w:tcBorders>
              <w:top w:val="nil"/>
              <w:left w:val="single" w:sz="8" w:space="0" w:color="auto"/>
              <w:bottom w:val="single" w:sz="4" w:space="0" w:color="auto"/>
              <w:right w:val="single" w:sz="4" w:space="0" w:color="auto"/>
            </w:tcBorders>
            <w:noWrap/>
            <w:vAlign w:val="center"/>
            <w:hideMark/>
          </w:tcPr>
          <w:p w14:paraId="5C33D32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69" w:type="dxa"/>
            <w:tcBorders>
              <w:top w:val="nil"/>
              <w:left w:val="nil"/>
              <w:bottom w:val="single" w:sz="4" w:space="0" w:color="auto"/>
              <w:right w:val="single" w:sz="4" w:space="0" w:color="auto"/>
            </w:tcBorders>
            <w:noWrap/>
            <w:vAlign w:val="center"/>
            <w:hideMark/>
          </w:tcPr>
          <w:p w14:paraId="4B38F5D5"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w:t>
            </w:r>
          </w:p>
        </w:tc>
        <w:tc>
          <w:tcPr>
            <w:tcW w:w="969" w:type="dxa"/>
            <w:tcBorders>
              <w:top w:val="nil"/>
              <w:left w:val="nil"/>
              <w:bottom w:val="single" w:sz="4" w:space="0" w:color="auto"/>
              <w:right w:val="single" w:sz="4" w:space="0" w:color="auto"/>
            </w:tcBorders>
            <w:noWrap/>
            <w:vAlign w:val="center"/>
            <w:hideMark/>
          </w:tcPr>
          <w:p w14:paraId="633BC4B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w:t>
            </w:r>
          </w:p>
        </w:tc>
        <w:tc>
          <w:tcPr>
            <w:tcW w:w="969" w:type="dxa"/>
            <w:tcBorders>
              <w:top w:val="nil"/>
              <w:left w:val="nil"/>
              <w:bottom w:val="single" w:sz="4" w:space="0" w:color="auto"/>
              <w:right w:val="single" w:sz="8" w:space="0" w:color="auto"/>
            </w:tcBorders>
            <w:noWrap/>
            <w:vAlign w:val="center"/>
            <w:hideMark/>
          </w:tcPr>
          <w:p w14:paraId="06F6A69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w:t>
            </w:r>
          </w:p>
        </w:tc>
        <w:tc>
          <w:tcPr>
            <w:tcW w:w="1632" w:type="dxa"/>
            <w:tcBorders>
              <w:top w:val="nil"/>
              <w:left w:val="nil"/>
              <w:bottom w:val="single" w:sz="4" w:space="0" w:color="auto"/>
              <w:right w:val="single" w:sz="8" w:space="0" w:color="auto"/>
            </w:tcBorders>
            <w:shd w:val="clear" w:color="auto" w:fill="FA807D"/>
            <w:vAlign w:val="center"/>
          </w:tcPr>
          <w:p w14:paraId="3F62410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w:t>
            </w:r>
          </w:p>
        </w:tc>
      </w:tr>
      <w:tr w:rsidR="00850353" w:rsidRPr="00D42106" w14:paraId="186B2601" w14:textId="77777777" w:rsidTr="0038576D">
        <w:trPr>
          <w:trHeight w:val="712"/>
        </w:trPr>
        <w:tc>
          <w:tcPr>
            <w:tcW w:w="2600" w:type="dxa"/>
            <w:vMerge/>
            <w:tcBorders>
              <w:top w:val="single" w:sz="4" w:space="0" w:color="auto"/>
              <w:left w:val="single" w:sz="8" w:space="0" w:color="auto"/>
              <w:bottom w:val="single" w:sz="4" w:space="0" w:color="000000"/>
              <w:right w:val="single" w:sz="4" w:space="0" w:color="000000"/>
            </w:tcBorders>
            <w:vAlign w:val="center"/>
            <w:hideMark/>
          </w:tcPr>
          <w:p w14:paraId="4F50D709" w14:textId="77777777" w:rsidR="00D12E01" w:rsidRPr="00D42106" w:rsidRDefault="00D12E01">
            <w:pPr>
              <w:rPr>
                <w:rFonts w:ascii="Calibri" w:hAnsi="Calibri" w:cs="Calibri"/>
                <w:b/>
                <w:sz w:val="18"/>
                <w:szCs w:val="18"/>
                <w:lang w:eastAsia="sr-Latn-BA"/>
              </w:rPr>
            </w:pPr>
          </w:p>
        </w:tc>
        <w:tc>
          <w:tcPr>
            <w:tcW w:w="652" w:type="dxa"/>
            <w:tcBorders>
              <w:top w:val="nil"/>
              <w:left w:val="nil"/>
              <w:bottom w:val="nil"/>
              <w:right w:val="single" w:sz="4" w:space="0" w:color="auto"/>
            </w:tcBorders>
            <w:vAlign w:val="center"/>
            <w:hideMark/>
          </w:tcPr>
          <w:p w14:paraId="6B565CB8"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1.2</w:t>
            </w:r>
          </w:p>
        </w:tc>
        <w:tc>
          <w:tcPr>
            <w:tcW w:w="3429" w:type="dxa"/>
            <w:tcBorders>
              <w:top w:val="nil"/>
              <w:left w:val="nil"/>
              <w:bottom w:val="single" w:sz="4" w:space="0" w:color="auto"/>
              <w:right w:val="single" w:sz="4" w:space="0" w:color="auto"/>
            </w:tcBorders>
            <w:vAlign w:val="center"/>
            <w:hideMark/>
          </w:tcPr>
          <w:p w14:paraId="6B2FE09F"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xml:space="preserve">Number of public servants within higher government level institutions who strengthen their capacity in the area of performance-oriented gender-sensitive local governance as a result of the Project support. </w:t>
            </w:r>
          </w:p>
        </w:tc>
        <w:tc>
          <w:tcPr>
            <w:tcW w:w="1499" w:type="dxa"/>
            <w:tcBorders>
              <w:top w:val="nil"/>
              <w:left w:val="nil"/>
              <w:bottom w:val="single" w:sz="4" w:space="0" w:color="auto"/>
              <w:right w:val="single" w:sz="4" w:space="0" w:color="auto"/>
            </w:tcBorders>
            <w:noWrap/>
            <w:vAlign w:val="center"/>
            <w:hideMark/>
          </w:tcPr>
          <w:p w14:paraId="26C9359D"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101A99A3"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50</w:t>
            </w:r>
          </w:p>
        </w:tc>
        <w:tc>
          <w:tcPr>
            <w:tcW w:w="968" w:type="dxa"/>
            <w:tcBorders>
              <w:top w:val="nil"/>
              <w:left w:val="single" w:sz="8" w:space="0" w:color="auto"/>
              <w:bottom w:val="single" w:sz="4" w:space="0" w:color="auto"/>
              <w:right w:val="single" w:sz="4" w:space="0" w:color="auto"/>
            </w:tcBorders>
            <w:noWrap/>
            <w:vAlign w:val="center"/>
            <w:hideMark/>
          </w:tcPr>
          <w:p w14:paraId="6784AE45"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20</w:t>
            </w:r>
          </w:p>
        </w:tc>
        <w:tc>
          <w:tcPr>
            <w:tcW w:w="969" w:type="dxa"/>
            <w:tcBorders>
              <w:top w:val="nil"/>
              <w:left w:val="nil"/>
              <w:bottom w:val="single" w:sz="4" w:space="0" w:color="auto"/>
              <w:right w:val="single" w:sz="4" w:space="0" w:color="auto"/>
            </w:tcBorders>
            <w:noWrap/>
            <w:vAlign w:val="center"/>
            <w:hideMark/>
          </w:tcPr>
          <w:p w14:paraId="681E85C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37</w:t>
            </w:r>
          </w:p>
        </w:tc>
        <w:tc>
          <w:tcPr>
            <w:tcW w:w="969" w:type="dxa"/>
            <w:tcBorders>
              <w:top w:val="nil"/>
              <w:left w:val="nil"/>
              <w:bottom w:val="single" w:sz="4" w:space="0" w:color="auto"/>
              <w:right w:val="single" w:sz="4" w:space="0" w:color="auto"/>
            </w:tcBorders>
            <w:noWrap/>
            <w:vAlign w:val="center"/>
            <w:hideMark/>
          </w:tcPr>
          <w:p w14:paraId="75FEEEA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47</w:t>
            </w:r>
          </w:p>
        </w:tc>
        <w:tc>
          <w:tcPr>
            <w:tcW w:w="969" w:type="dxa"/>
            <w:tcBorders>
              <w:top w:val="nil"/>
              <w:left w:val="nil"/>
              <w:bottom w:val="single" w:sz="4" w:space="0" w:color="auto"/>
              <w:right w:val="single" w:sz="8" w:space="0" w:color="auto"/>
            </w:tcBorders>
            <w:noWrap/>
            <w:vAlign w:val="center"/>
            <w:hideMark/>
          </w:tcPr>
          <w:p w14:paraId="50170BF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104</w:t>
            </w:r>
          </w:p>
        </w:tc>
        <w:tc>
          <w:tcPr>
            <w:tcW w:w="1632" w:type="dxa"/>
            <w:tcBorders>
              <w:top w:val="nil"/>
              <w:left w:val="nil"/>
              <w:bottom w:val="single" w:sz="4" w:space="0" w:color="auto"/>
              <w:right w:val="single" w:sz="8" w:space="0" w:color="auto"/>
            </w:tcBorders>
            <w:shd w:val="clear" w:color="auto" w:fill="B3E5A1" w:themeFill="accent6" w:themeFillTint="66"/>
            <w:vAlign w:val="center"/>
          </w:tcPr>
          <w:p w14:paraId="1F3391C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211</w:t>
            </w:r>
          </w:p>
        </w:tc>
      </w:tr>
      <w:tr w:rsidR="00850353" w:rsidRPr="00D42106" w14:paraId="1B7B6A99" w14:textId="77777777" w:rsidTr="0038576D">
        <w:trPr>
          <w:trHeight w:val="951"/>
        </w:trPr>
        <w:tc>
          <w:tcPr>
            <w:tcW w:w="2600" w:type="dxa"/>
            <w:vMerge w:val="restart"/>
            <w:tcBorders>
              <w:top w:val="single" w:sz="4" w:space="0" w:color="auto"/>
              <w:left w:val="single" w:sz="8" w:space="0" w:color="auto"/>
              <w:bottom w:val="single" w:sz="8" w:space="0" w:color="000000"/>
              <w:right w:val="single" w:sz="4" w:space="0" w:color="000000"/>
            </w:tcBorders>
            <w:vAlign w:val="center"/>
            <w:hideMark/>
          </w:tcPr>
          <w:p w14:paraId="619DB121"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Output 1.2 Higher level governments capacitated to design policy and regulatory frameworks that advance water supply and wastewater management services.</w:t>
            </w:r>
          </w:p>
        </w:tc>
        <w:tc>
          <w:tcPr>
            <w:tcW w:w="652" w:type="dxa"/>
            <w:tcBorders>
              <w:top w:val="single" w:sz="4" w:space="0" w:color="auto"/>
              <w:left w:val="nil"/>
              <w:bottom w:val="single" w:sz="4" w:space="0" w:color="auto"/>
              <w:right w:val="single" w:sz="4" w:space="0" w:color="auto"/>
            </w:tcBorders>
            <w:vAlign w:val="center"/>
            <w:hideMark/>
          </w:tcPr>
          <w:p w14:paraId="79A124BD"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vAlign w:val="center"/>
            <w:hideMark/>
          </w:tcPr>
          <w:p w14:paraId="360B5A20" w14:textId="77777777" w:rsidR="00D12E01" w:rsidRPr="00D42106" w:rsidRDefault="00D12E01">
            <w:pPr>
              <w:jc w:val="both"/>
              <w:rPr>
                <w:rFonts w:ascii="Calibri" w:hAnsi="Calibri" w:cs="Calibri"/>
                <w:i/>
                <w:sz w:val="18"/>
                <w:szCs w:val="18"/>
                <w:u w:val="single"/>
                <w:lang w:eastAsia="sr-Latn-BA"/>
              </w:rPr>
            </w:pPr>
            <w:r w:rsidRPr="00D42106">
              <w:rPr>
                <w:rFonts w:ascii="Calibri" w:hAnsi="Calibri" w:cs="Calibri"/>
                <w:i/>
                <w:sz w:val="18"/>
                <w:szCs w:val="18"/>
                <w:lang w:eastAsia="sr-Latn-BA"/>
              </w:rPr>
              <w:t>Number of roadmaps developed and agreed upon by institutional stakeholders which lay out the priority policy/legal/financial actions to be undertaken to further reform water supply and wastewater management services.</w:t>
            </w:r>
            <w:r w:rsidRPr="00D42106">
              <w:rPr>
                <w:rFonts w:ascii="Calibri" w:hAnsi="Calibri" w:cs="Calibri"/>
                <w:i/>
                <w:sz w:val="18"/>
                <w:szCs w:val="18"/>
                <w:u w:val="single"/>
                <w:lang w:eastAsia="sr-Latn-BA"/>
              </w:rPr>
              <w:t xml:space="preserve"> </w:t>
            </w:r>
          </w:p>
        </w:tc>
        <w:tc>
          <w:tcPr>
            <w:tcW w:w="1499" w:type="dxa"/>
            <w:tcBorders>
              <w:top w:val="nil"/>
              <w:left w:val="nil"/>
              <w:bottom w:val="single" w:sz="4" w:space="0" w:color="auto"/>
              <w:right w:val="single" w:sz="4" w:space="0" w:color="auto"/>
            </w:tcBorders>
            <w:noWrap/>
            <w:vAlign w:val="center"/>
            <w:hideMark/>
          </w:tcPr>
          <w:p w14:paraId="6C8D540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N/A</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04DD07D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w:t>
            </w:r>
          </w:p>
        </w:tc>
        <w:tc>
          <w:tcPr>
            <w:tcW w:w="968" w:type="dxa"/>
            <w:tcBorders>
              <w:top w:val="nil"/>
              <w:left w:val="single" w:sz="8" w:space="0" w:color="auto"/>
              <w:bottom w:val="single" w:sz="4" w:space="0" w:color="auto"/>
              <w:right w:val="single" w:sz="4" w:space="0" w:color="auto"/>
            </w:tcBorders>
            <w:noWrap/>
            <w:vAlign w:val="center"/>
            <w:hideMark/>
          </w:tcPr>
          <w:p w14:paraId="2E830D57"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69" w:type="dxa"/>
            <w:tcBorders>
              <w:top w:val="nil"/>
              <w:left w:val="nil"/>
              <w:bottom w:val="single" w:sz="4" w:space="0" w:color="auto"/>
              <w:right w:val="single" w:sz="4" w:space="0" w:color="auto"/>
            </w:tcBorders>
            <w:noWrap/>
            <w:vAlign w:val="center"/>
            <w:hideMark/>
          </w:tcPr>
          <w:p w14:paraId="74A37F9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69" w:type="dxa"/>
            <w:tcBorders>
              <w:top w:val="nil"/>
              <w:left w:val="nil"/>
              <w:bottom w:val="single" w:sz="4" w:space="0" w:color="auto"/>
              <w:right w:val="single" w:sz="4" w:space="0" w:color="auto"/>
            </w:tcBorders>
            <w:noWrap/>
            <w:vAlign w:val="center"/>
            <w:hideMark/>
          </w:tcPr>
          <w:p w14:paraId="3F62E4E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w:t>
            </w:r>
          </w:p>
        </w:tc>
        <w:tc>
          <w:tcPr>
            <w:tcW w:w="969" w:type="dxa"/>
            <w:tcBorders>
              <w:top w:val="nil"/>
              <w:left w:val="nil"/>
              <w:bottom w:val="single" w:sz="4" w:space="0" w:color="auto"/>
              <w:right w:val="single" w:sz="8" w:space="0" w:color="auto"/>
            </w:tcBorders>
            <w:noWrap/>
            <w:vAlign w:val="center"/>
            <w:hideMark/>
          </w:tcPr>
          <w:p w14:paraId="4FF34C8D"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w:t>
            </w:r>
          </w:p>
        </w:tc>
        <w:tc>
          <w:tcPr>
            <w:tcW w:w="1632" w:type="dxa"/>
            <w:tcBorders>
              <w:top w:val="nil"/>
              <w:left w:val="nil"/>
              <w:bottom w:val="single" w:sz="4" w:space="0" w:color="auto"/>
              <w:right w:val="single" w:sz="8" w:space="0" w:color="auto"/>
            </w:tcBorders>
            <w:shd w:val="clear" w:color="auto" w:fill="FA807D"/>
            <w:vAlign w:val="center"/>
          </w:tcPr>
          <w:p w14:paraId="43CC9BA2"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w:t>
            </w:r>
          </w:p>
        </w:tc>
      </w:tr>
      <w:tr w:rsidR="00850353" w:rsidRPr="00D42106" w14:paraId="5D1EDB3F" w14:textId="77777777" w:rsidTr="0038576D">
        <w:trPr>
          <w:trHeight w:val="721"/>
        </w:trPr>
        <w:tc>
          <w:tcPr>
            <w:tcW w:w="2600" w:type="dxa"/>
            <w:vMerge/>
            <w:tcBorders>
              <w:top w:val="single" w:sz="4" w:space="0" w:color="auto"/>
              <w:left w:val="single" w:sz="8" w:space="0" w:color="auto"/>
              <w:bottom w:val="single" w:sz="8" w:space="0" w:color="000000"/>
              <w:right w:val="single" w:sz="4" w:space="0" w:color="000000"/>
            </w:tcBorders>
            <w:vAlign w:val="center"/>
            <w:hideMark/>
          </w:tcPr>
          <w:p w14:paraId="68B533C4" w14:textId="77777777" w:rsidR="00D12E01" w:rsidRPr="00D42106" w:rsidRDefault="00D12E01">
            <w:pPr>
              <w:rPr>
                <w:rFonts w:ascii="Calibri" w:hAnsi="Calibri" w:cs="Calibri"/>
                <w:b/>
                <w:sz w:val="18"/>
                <w:szCs w:val="18"/>
                <w:lang w:eastAsia="sr-Latn-BA"/>
              </w:rPr>
            </w:pPr>
          </w:p>
        </w:tc>
        <w:tc>
          <w:tcPr>
            <w:tcW w:w="652" w:type="dxa"/>
            <w:tcBorders>
              <w:top w:val="nil"/>
              <w:left w:val="nil"/>
              <w:bottom w:val="single" w:sz="8" w:space="0" w:color="auto"/>
              <w:right w:val="single" w:sz="4" w:space="0" w:color="auto"/>
            </w:tcBorders>
            <w:vAlign w:val="center"/>
            <w:hideMark/>
          </w:tcPr>
          <w:p w14:paraId="0A8FCB49"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8" w:space="0" w:color="auto"/>
              <w:right w:val="single" w:sz="4" w:space="0" w:color="auto"/>
            </w:tcBorders>
            <w:vAlign w:val="center"/>
            <w:hideMark/>
          </w:tcPr>
          <w:p w14:paraId="49766445"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xml:space="preserve">Number of public servants within higher government level institutions who strengthen their capacity in the area of water supply and wastewater management services as a result of the Project support. </w:t>
            </w:r>
          </w:p>
        </w:tc>
        <w:tc>
          <w:tcPr>
            <w:tcW w:w="1499" w:type="dxa"/>
            <w:tcBorders>
              <w:top w:val="nil"/>
              <w:left w:val="nil"/>
              <w:bottom w:val="single" w:sz="8" w:space="0" w:color="auto"/>
              <w:right w:val="single" w:sz="4" w:space="0" w:color="auto"/>
            </w:tcBorders>
            <w:noWrap/>
            <w:vAlign w:val="center"/>
            <w:hideMark/>
          </w:tcPr>
          <w:p w14:paraId="5DF1801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N/A</w:t>
            </w:r>
          </w:p>
        </w:tc>
        <w:tc>
          <w:tcPr>
            <w:tcW w:w="99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14CC923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70</w:t>
            </w:r>
          </w:p>
        </w:tc>
        <w:tc>
          <w:tcPr>
            <w:tcW w:w="968" w:type="dxa"/>
            <w:tcBorders>
              <w:top w:val="nil"/>
              <w:left w:val="single" w:sz="8" w:space="0" w:color="auto"/>
              <w:bottom w:val="single" w:sz="8" w:space="0" w:color="auto"/>
              <w:right w:val="single" w:sz="4" w:space="0" w:color="auto"/>
            </w:tcBorders>
            <w:noWrap/>
            <w:vAlign w:val="center"/>
            <w:hideMark/>
          </w:tcPr>
          <w:p w14:paraId="0712B60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32</w:t>
            </w:r>
          </w:p>
        </w:tc>
        <w:tc>
          <w:tcPr>
            <w:tcW w:w="969" w:type="dxa"/>
            <w:tcBorders>
              <w:top w:val="nil"/>
              <w:left w:val="nil"/>
              <w:bottom w:val="single" w:sz="8" w:space="0" w:color="auto"/>
              <w:right w:val="single" w:sz="4" w:space="0" w:color="auto"/>
            </w:tcBorders>
            <w:noWrap/>
            <w:vAlign w:val="center"/>
            <w:hideMark/>
          </w:tcPr>
          <w:p w14:paraId="73DE0727"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49</w:t>
            </w:r>
          </w:p>
        </w:tc>
        <w:tc>
          <w:tcPr>
            <w:tcW w:w="969" w:type="dxa"/>
            <w:tcBorders>
              <w:top w:val="nil"/>
              <w:left w:val="nil"/>
              <w:bottom w:val="single" w:sz="8" w:space="0" w:color="auto"/>
              <w:right w:val="single" w:sz="4" w:space="0" w:color="auto"/>
            </w:tcBorders>
            <w:noWrap/>
            <w:vAlign w:val="center"/>
            <w:hideMark/>
          </w:tcPr>
          <w:p w14:paraId="27C5507D"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21</w:t>
            </w:r>
          </w:p>
        </w:tc>
        <w:tc>
          <w:tcPr>
            <w:tcW w:w="969" w:type="dxa"/>
            <w:tcBorders>
              <w:top w:val="nil"/>
              <w:left w:val="nil"/>
              <w:bottom w:val="single" w:sz="8" w:space="0" w:color="auto"/>
              <w:right w:val="single" w:sz="8" w:space="0" w:color="auto"/>
            </w:tcBorders>
            <w:noWrap/>
            <w:vAlign w:val="center"/>
            <w:hideMark/>
          </w:tcPr>
          <w:p w14:paraId="57ADA5D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102</w:t>
            </w:r>
          </w:p>
        </w:tc>
        <w:tc>
          <w:tcPr>
            <w:tcW w:w="1632" w:type="dxa"/>
            <w:tcBorders>
              <w:top w:val="nil"/>
              <w:left w:val="nil"/>
              <w:bottom w:val="single" w:sz="8" w:space="0" w:color="auto"/>
              <w:right w:val="single" w:sz="8" w:space="0" w:color="auto"/>
            </w:tcBorders>
            <w:shd w:val="clear" w:color="auto" w:fill="B3E5A1" w:themeFill="accent6" w:themeFillTint="66"/>
            <w:vAlign w:val="center"/>
          </w:tcPr>
          <w:p w14:paraId="3BC058E3"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102</w:t>
            </w:r>
          </w:p>
        </w:tc>
      </w:tr>
      <w:tr w:rsidR="00D12E01" w:rsidRPr="00D42106" w14:paraId="0BD4E00F" w14:textId="77777777" w:rsidTr="00A84808">
        <w:trPr>
          <w:trHeight w:val="289"/>
        </w:trPr>
        <w:tc>
          <w:tcPr>
            <w:tcW w:w="6681" w:type="dxa"/>
            <w:gridSpan w:val="3"/>
            <w:vMerge w:val="restart"/>
            <w:tcBorders>
              <w:top w:val="single" w:sz="8" w:space="0" w:color="auto"/>
              <w:left w:val="single" w:sz="8" w:space="0" w:color="auto"/>
              <w:bottom w:val="single" w:sz="4" w:space="0" w:color="000000"/>
              <w:right w:val="single" w:sz="4" w:space="0" w:color="000000"/>
            </w:tcBorders>
            <w:shd w:val="clear" w:color="auto" w:fill="C1E4F5" w:themeFill="accent1" w:themeFillTint="33"/>
            <w:vAlign w:val="center"/>
            <w:hideMark/>
          </w:tcPr>
          <w:p w14:paraId="03CDF77A"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For outcome 2: Local governments improve their performance, are more accountable, inclusive, and gender-responsive, and provide high quality services, in particular in the water sector. </w:t>
            </w:r>
          </w:p>
        </w:tc>
        <w:tc>
          <w:tcPr>
            <w:tcW w:w="1499" w:type="dxa"/>
            <w:tcBorders>
              <w:top w:val="single" w:sz="8" w:space="0" w:color="auto"/>
              <w:left w:val="nil"/>
              <w:bottom w:val="single" w:sz="4" w:space="0" w:color="auto"/>
              <w:right w:val="single" w:sz="8" w:space="0" w:color="000000"/>
            </w:tcBorders>
            <w:shd w:val="clear" w:color="auto" w:fill="C1E4F5" w:themeFill="accent1" w:themeFillTint="33"/>
            <w:noWrap/>
            <w:vAlign w:val="bottom"/>
            <w:hideMark/>
          </w:tcPr>
          <w:p w14:paraId="0F9BB2E7"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Baseline</w:t>
            </w:r>
          </w:p>
        </w:tc>
        <w:tc>
          <w:tcPr>
            <w:tcW w:w="990" w:type="dxa"/>
            <w:tcBorders>
              <w:top w:val="single" w:sz="8" w:space="0" w:color="auto"/>
              <w:left w:val="nil"/>
              <w:bottom w:val="single" w:sz="4" w:space="0" w:color="auto"/>
              <w:right w:val="nil"/>
            </w:tcBorders>
            <w:shd w:val="clear" w:color="auto" w:fill="C1E4F5" w:themeFill="accent1" w:themeFillTint="33"/>
            <w:vAlign w:val="center"/>
          </w:tcPr>
          <w:p w14:paraId="632B0881" w14:textId="77777777" w:rsidR="00D12E01" w:rsidRPr="00D42106" w:rsidRDefault="00D12E01">
            <w:pPr>
              <w:jc w:val="center"/>
              <w:rPr>
                <w:rFonts w:ascii="Calibri" w:hAnsi="Calibri" w:cs="Calibri"/>
                <w:b/>
                <w:sz w:val="18"/>
                <w:szCs w:val="18"/>
                <w:lang w:eastAsia="sr-Latn-BA"/>
              </w:rPr>
            </w:pPr>
          </w:p>
        </w:tc>
        <w:tc>
          <w:tcPr>
            <w:tcW w:w="3875" w:type="dxa"/>
            <w:gridSpan w:val="4"/>
            <w:tcBorders>
              <w:top w:val="single" w:sz="8" w:space="0" w:color="auto"/>
              <w:left w:val="nil"/>
              <w:bottom w:val="single" w:sz="4" w:space="0" w:color="auto"/>
              <w:right w:val="single" w:sz="8" w:space="0" w:color="000000"/>
            </w:tcBorders>
            <w:shd w:val="clear" w:color="auto" w:fill="C1E4F5" w:themeFill="accent1" w:themeFillTint="33"/>
            <w:noWrap/>
            <w:vAlign w:val="center"/>
            <w:hideMark/>
          </w:tcPr>
          <w:p w14:paraId="04F22CBC"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Progress</w:t>
            </w:r>
          </w:p>
        </w:tc>
        <w:tc>
          <w:tcPr>
            <w:tcW w:w="1632" w:type="dxa"/>
            <w:tcBorders>
              <w:top w:val="single" w:sz="8" w:space="0" w:color="auto"/>
              <w:left w:val="nil"/>
              <w:bottom w:val="single" w:sz="4" w:space="0" w:color="auto"/>
              <w:right w:val="single" w:sz="8" w:space="0" w:color="000000"/>
            </w:tcBorders>
            <w:shd w:val="clear" w:color="auto" w:fill="C1E4F5" w:themeFill="accent1" w:themeFillTint="33"/>
            <w:vAlign w:val="center"/>
          </w:tcPr>
          <w:p w14:paraId="59AAE30A" w14:textId="77777777" w:rsidR="00D12E01" w:rsidRPr="00D42106" w:rsidRDefault="00D12E01">
            <w:pPr>
              <w:jc w:val="center"/>
              <w:rPr>
                <w:rFonts w:ascii="Calibri" w:hAnsi="Calibri" w:cs="Calibri"/>
                <w:b/>
                <w:sz w:val="18"/>
                <w:szCs w:val="18"/>
                <w:lang w:eastAsia="sr-Latn-BA"/>
              </w:rPr>
            </w:pPr>
          </w:p>
        </w:tc>
      </w:tr>
      <w:tr w:rsidR="00D12E01" w:rsidRPr="00D42106" w14:paraId="6DFB4593" w14:textId="77777777" w:rsidTr="00A84808">
        <w:trPr>
          <w:trHeight w:val="374"/>
        </w:trPr>
        <w:tc>
          <w:tcPr>
            <w:tcW w:w="6681" w:type="dxa"/>
            <w:gridSpan w:val="3"/>
            <w:vMerge/>
            <w:tcBorders>
              <w:top w:val="single" w:sz="8" w:space="0" w:color="auto"/>
              <w:left w:val="single" w:sz="8" w:space="0" w:color="auto"/>
              <w:bottom w:val="single" w:sz="4" w:space="0" w:color="000000"/>
              <w:right w:val="single" w:sz="4" w:space="0" w:color="000000"/>
            </w:tcBorders>
            <w:shd w:val="clear" w:color="auto" w:fill="C1E4F5" w:themeFill="accent1" w:themeFillTint="33"/>
            <w:vAlign w:val="center"/>
            <w:hideMark/>
          </w:tcPr>
          <w:p w14:paraId="00A468BC" w14:textId="77777777" w:rsidR="00D12E01" w:rsidRPr="00D42106" w:rsidRDefault="00D12E01">
            <w:pPr>
              <w:rPr>
                <w:rFonts w:ascii="Calibri" w:hAnsi="Calibri" w:cs="Calibri"/>
                <w:b/>
                <w:sz w:val="18"/>
                <w:szCs w:val="18"/>
                <w:lang w:eastAsia="sr-Latn-BA"/>
              </w:rPr>
            </w:pPr>
          </w:p>
        </w:tc>
        <w:tc>
          <w:tcPr>
            <w:tcW w:w="1499" w:type="dxa"/>
            <w:tcBorders>
              <w:top w:val="nil"/>
              <w:left w:val="nil"/>
              <w:bottom w:val="single" w:sz="4" w:space="0" w:color="auto"/>
              <w:right w:val="single" w:sz="4" w:space="0" w:color="auto"/>
            </w:tcBorders>
            <w:shd w:val="clear" w:color="auto" w:fill="C1E4F5" w:themeFill="accent1" w:themeFillTint="33"/>
            <w:noWrap/>
            <w:vAlign w:val="bottom"/>
            <w:hideMark/>
          </w:tcPr>
          <w:p w14:paraId="3E529A23"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Value </w:t>
            </w:r>
          </w:p>
        </w:tc>
        <w:tc>
          <w:tcPr>
            <w:tcW w:w="990" w:type="dxa"/>
            <w:tcBorders>
              <w:top w:val="nil"/>
              <w:left w:val="single" w:sz="8" w:space="0" w:color="auto"/>
              <w:bottom w:val="single" w:sz="4" w:space="0" w:color="auto"/>
              <w:right w:val="single" w:sz="8" w:space="0" w:color="auto"/>
            </w:tcBorders>
            <w:shd w:val="clear" w:color="auto" w:fill="C1E4F5" w:themeFill="accent1" w:themeFillTint="33"/>
            <w:vAlign w:val="center"/>
          </w:tcPr>
          <w:p w14:paraId="01F00025" w14:textId="77777777" w:rsidR="00D12E01" w:rsidRPr="00D42106" w:rsidRDefault="00D12E01">
            <w:pPr>
              <w:jc w:val="center"/>
              <w:rPr>
                <w:rFonts w:ascii="Calibri" w:hAnsi="Calibri" w:cs="Calibri"/>
                <w:b/>
                <w:sz w:val="18"/>
                <w:szCs w:val="18"/>
                <w:lang w:eastAsia="sr-Latn-BA"/>
              </w:rPr>
            </w:pPr>
          </w:p>
        </w:tc>
        <w:tc>
          <w:tcPr>
            <w:tcW w:w="968" w:type="dxa"/>
            <w:tcBorders>
              <w:top w:val="nil"/>
              <w:left w:val="single" w:sz="8" w:space="0" w:color="auto"/>
              <w:bottom w:val="single" w:sz="4" w:space="0" w:color="auto"/>
              <w:right w:val="single" w:sz="4" w:space="0" w:color="auto"/>
            </w:tcBorders>
            <w:shd w:val="clear" w:color="auto" w:fill="C1E4F5" w:themeFill="accent1" w:themeFillTint="33"/>
            <w:noWrap/>
            <w:vAlign w:val="center"/>
            <w:hideMark/>
          </w:tcPr>
          <w:p w14:paraId="6F4238B2"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Y1</w:t>
            </w:r>
          </w:p>
        </w:tc>
        <w:tc>
          <w:tcPr>
            <w:tcW w:w="969" w:type="dxa"/>
            <w:tcBorders>
              <w:top w:val="nil"/>
              <w:left w:val="nil"/>
              <w:bottom w:val="single" w:sz="4" w:space="0" w:color="auto"/>
              <w:right w:val="single" w:sz="4" w:space="0" w:color="auto"/>
            </w:tcBorders>
            <w:shd w:val="clear" w:color="auto" w:fill="C1E4F5" w:themeFill="accent1" w:themeFillTint="33"/>
            <w:noWrap/>
            <w:vAlign w:val="center"/>
            <w:hideMark/>
          </w:tcPr>
          <w:p w14:paraId="5A85F9C7"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Y2</w:t>
            </w:r>
          </w:p>
        </w:tc>
        <w:tc>
          <w:tcPr>
            <w:tcW w:w="969" w:type="dxa"/>
            <w:tcBorders>
              <w:top w:val="nil"/>
              <w:left w:val="nil"/>
              <w:bottom w:val="single" w:sz="4" w:space="0" w:color="auto"/>
              <w:right w:val="single" w:sz="4" w:space="0" w:color="auto"/>
            </w:tcBorders>
            <w:shd w:val="clear" w:color="auto" w:fill="C1E4F5" w:themeFill="accent1" w:themeFillTint="33"/>
            <w:noWrap/>
            <w:vAlign w:val="center"/>
            <w:hideMark/>
          </w:tcPr>
          <w:p w14:paraId="60CC3476"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Y3</w:t>
            </w:r>
          </w:p>
        </w:tc>
        <w:tc>
          <w:tcPr>
            <w:tcW w:w="969" w:type="dxa"/>
            <w:tcBorders>
              <w:top w:val="nil"/>
              <w:left w:val="nil"/>
              <w:bottom w:val="single" w:sz="4" w:space="0" w:color="auto"/>
              <w:right w:val="single" w:sz="8" w:space="0" w:color="auto"/>
            </w:tcBorders>
            <w:shd w:val="clear" w:color="auto" w:fill="C1E4F5" w:themeFill="accent1" w:themeFillTint="33"/>
            <w:noWrap/>
            <w:vAlign w:val="center"/>
            <w:hideMark/>
          </w:tcPr>
          <w:p w14:paraId="150585A9"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Y4</w:t>
            </w:r>
          </w:p>
        </w:tc>
        <w:tc>
          <w:tcPr>
            <w:tcW w:w="1632" w:type="dxa"/>
            <w:tcBorders>
              <w:top w:val="nil"/>
              <w:left w:val="nil"/>
              <w:bottom w:val="single" w:sz="4" w:space="0" w:color="auto"/>
              <w:right w:val="single" w:sz="8" w:space="0" w:color="auto"/>
            </w:tcBorders>
            <w:shd w:val="clear" w:color="auto" w:fill="C1E4F5" w:themeFill="accent1" w:themeFillTint="33"/>
            <w:vAlign w:val="center"/>
          </w:tcPr>
          <w:p w14:paraId="0FE5625D" w14:textId="77777777" w:rsidR="00D12E01" w:rsidRPr="00D42106" w:rsidRDefault="00D12E01">
            <w:pPr>
              <w:jc w:val="center"/>
              <w:rPr>
                <w:rFonts w:ascii="Calibri" w:hAnsi="Calibri" w:cs="Calibri"/>
                <w:b/>
                <w:sz w:val="18"/>
                <w:szCs w:val="18"/>
                <w:lang w:eastAsia="sr-Latn-BA"/>
              </w:rPr>
            </w:pPr>
          </w:p>
        </w:tc>
      </w:tr>
      <w:tr w:rsidR="00850353" w:rsidRPr="00D42106" w14:paraId="1A949184" w14:textId="77777777" w:rsidTr="0038576D">
        <w:trPr>
          <w:trHeight w:val="421"/>
        </w:trPr>
        <w:tc>
          <w:tcPr>
            <w:tcW w:w="2600" w:type="dxa"/>
            <w:vMerge w:val="restart"/>
            <w:tcBorders>
              <w:top w:val="single" w:sz="4" w:space="0" w:color="auto"/>
              <w:left w:val="single" w:sz="8" w:space="0" w:color="auto"/>
              <w:bottom w:val="single" w:sz="4" w:space="0" w:color="000000"/>
              <w:right w:val="single" w:sz="4" w:space="0" w:color="000000"/>
            </w:tcBorders>
            <w:vAlign w:val="center"/>
            <w:hideMark/>
          </w:tcPr>
          <w:p w14:paraId="5BA916A8"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Output 2.1 Municipal Councils, local administrations and citizens in partner localities understand and institutionalise the good local governance framework </w:t>
            </w:r>
          </w:p>
        </w:tc>
        <w:tc>
          <w:tcPr>
            <w:tcW w:w="652" w:type="dxa"/>
            <w:tcBorders>
              <w:top w:val="nil"/>
              <w:left w:val="nil"/>
              <w:bottom w:val="single" w:sz="4" w:space="0" w:color="auto"/>
              <w:right w:val="single" w:sz="4" w:space="0" w:color="auto"/>
            </w:tcBorders>
            <w:vAlign w:val="center"/>
            <w:hideMark/>
          </w:tcPr>
          <w:p w14:paraId="00D7076C"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vAlign w:val="center"/>
            <w:hideMark/>
          </w:tcPr>
          <w:p w14:paraId="54446C49"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Number of local government elected officials and employees who, as result of Project activities, strengthen their knowledge and understanding of result-oriented local governance, thus are better prepared to apply this agenda within their localities.</w:t>
            </w:r>
          </w:p>
        </w:tc>
        <w:tc>
          <w:tcPr>
            <w:tcW w:w="1499" w:type="dxa"/>
            <w:tcBorders>
              <w:top w:val="nil"/>
              <w:left w:val="nil"/>
              <w:bottom w:val="single" w:sz="4" w:space="0" w:color="auto"/>
              <w:right w:val="single" w:sz="4" w:space="0" w:color="auto"/>
            </w:tcBorders>
            <w:noWrap/>
            <w:vAlign w:val="center"/>
            <w:hideMark/>
          </w:tcPr>
          <w:p w14:paraId="5FFB133F"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3E1E3E5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1000</w:t>
            </w:r>
          </w:p>
        </w:tc>
        <w:tc>
          <w:tcPr>
            <w:tcW w:w="968" w:type="dxa"/>
            <w:tcBorders>
              <w:top w:val="nil"/>
              <w:left w:val="single" w:sz="8" w:space="0" w:color="auto"/>
              <w:bottom w:val="single" w:sz="4" w:space="0" w:color="auto"/>
              <w:right w:val="single" w:sz="4" w:space="0" w:color="auto"/>
            </w:tcBorders>
            <w:noWrap/>
            <w:vAlign w:val="center"/>
            <w:hideMark/>
          </w:tcPr>
          <w:p w14:paraId="2949688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342</w:t>
            </w:r>
          </w:p>
        </w:tc>
        <w:tc>
          <w:tcPr>
            <w:tcW w:w="969" w:type="dxa"/>
            <w:tcBorders>
              <w:top w:val="nil"/>
              <w:left w:val="nil"/>
              <w:bottom w:val="single" w:sz="4" w:space="0" w:color="auto"/>
              <w:right w:val="single" w:sz="4" w:space="0" w:color="auto"/>
            </w:tcBorders>
            <w:noWrap/>
            <w:vAlign w:val="center"/>
            <w:hideMark/>
          </w:tcPr>
          <w:p w14:paraId="003B678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194</w:t>
            </w:r>
          </w:p>
        </w:tc>
        <w:tc>
          <w:tcPr>
            <w:tcW w:w="969" w:type="dxa"/>
            <w:tcBorders>
              <w:top w:val="nil"/>
              <w:left w:val="nil"/>
              <w:bottom w:val="single" w:sz="4" w:space="0" w:color="auto"/>
              <w:right w:val="single" w:sz="4" w:space="0" w:color="auto"/>
            </w:tcBorders>
            <w:noWrap/>
            <w:vAlign w:val="center"/>
            <w:hideMark/>
          </w:tcPr>
          <w:p w14:paraId="0200264D"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417</w:t>
            </w:r>
          </w:p>
        </w:tc>
        <w:tc>
          <w:tcPr>
            <w:tcW w:w="969" w:type="dxa"/>
            <w:tcBorders>
              <w:top w:val="nil"/>
              <w:left w:val="nil"/>
              <w:bottom w:val="single" w:sz="4" w:space="0" w:color="auto"/>
              <w:right w:val="single" w:sz="8" w:space="0" w:color="auto"/>
            </w:tcBorders>
            <w:noWrap/>
            <w:vAlign w:val="center"/>
            <w:hideMark/>
          </w:tcPr>
          <w:p w14:paraId="5ACA138A"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953</w:t>
            </w:r>
          </w:p>
        </w:tc>
        <w:tc>
          <w:tcPr>
            <w:tcW w:w="1632" w:type="dxa"/>
            <w:tcBorders>
              <w:top w:val="nil"/>
              <w:left w:val="nil"/>
              <w:bottom w:val="single" w:sz="4" w:space="0" w:color="auto"/>
              <w:right w:val="single" w:sz="8" w:space="0" w:color="auto"/>
            </w:tcBorders>
            <w:shd w:val="clear" w:color="auto" w:fill="B3E5A1" w:themeFill="accent6" w:themeFillTint="66"/>
            <w:vAlign w:val="center"/>
          </w:tcPr>
          <w:p w14:paraId="155C8CD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1060</w:t>
            </w:r>
          </w:p>
        </w:tc>
      </w:tr>
      <w:tr w:rsidR="00850353" w:rsidRPr="00D42106" w14:paraId="1737BEF7" w14:textId="77777777" w:rsidTr="0038576D">
        <w:trPr>
          <w:trHeight w:val="475"/>
        </w:trPr>
        <w:tc>
          <w:tcPr>
            <w:tcW w:w="2600" w:type="dxa"/>
            <w:vMerge/>
            <w:tcBorders>
              <w:top w:val="single" w:sz="4" w:space="0" w:color="auto"/>
              <w:left w:val="single" w:sz="8" w:space="0" w:color="auto"/>
              <w:bottom w:val="single" w:sz="4" w:space="0" w:color="000000"/>
              <w:right w:val="single" w:sz="4" w:space="0" w:color="000000"/>
            </w:tcBorders>
            <w:vAlign w:val="center"/>
            <w:hideMark/>
          </w:tcPr>
          <w:p w14:paraId="509F3444" w14:textId="77777777" w:rsidR="00D12E01" w:rsidRPr="00D42106" w:rsidRDefault="00D12E01">
            <w:pPr>
              <w:rPr>
                <w:rFonts w:ascii="Calibri" w:hAnsi="Calibri" w:cs="Calibri"/>
                <w:b/>
                <w:sz w:val="18"/>
                <w:szCs w:val="18"/>
                <w:lang w:eastAsia="sr-Latn-BA"/>
              </w:rPr>
            </w:pPr>
          </w:p>
        </w:tc>
        <w:tc>
          <w:tcPr>
            <w:tcW w:w="652" w:type="dxa"/>
            <w:tcBorders>
              <w:top w:val="nil"/>
              <w:left w:val="nil"/>
              <w:bottom w:val="single" w:sz="4" w:space="0" w:color="auto"/>
              <w:right w:val="single" w:sz="4" w:space="0" w:color="auto"/>
            </w:tcBorders>
            <w:vAlign w:val="center"/>
            <w:hideMark/>
          </w:tcPr>
          <w:p w14:paraId="06A50134"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vAlign w:val="center"/>
            <w:hideMark/>
          </w:tcPr>
          <w:p w14:paraId="032BDBF8"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of partner local governments which institutionalize the Good Local Governance Framework.</w:t>
            </w:r>
          </w:p>
        </w:tc>
        <w:tc>
          <w:tcPr>
            <w:tcW w:w="1499" w:type="dxa"/>
            <w:tcBorders>
              <w:top w:val="nil"/>
              <w:left w:val="nil"/>
              <w:bottom w:val="single" w:sz="4" w:space="0" w:color="auto"/>
              <w:right w:val="single" w:sz="4" w:space="0" w:color="auto"/>
            </w:tcBorders>
            <w:noWrap/>
            <w:vAlign w:val="center"/>
            <w:hideMark/>
          </w:tcPr>
          <w:p w14:paraId="44A275C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278D7ECF"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25%</w:t>
            </w:r>
          </w:p>
        </w:tc>
        <w:tc>
          <w:tcPr>
            <w:tcW w:w="968" w:type="dxa"/>
            <w:tcBorders>
              <w:top w:val="nil"/>
              <w:left w:val="single" w:sz="8" w:space="0" w:color="auto"/>
              <w:bottom w:val="single" w:sz="4" w:space="0" w:color="auto"/>
              <w:right w:val="single" w:sz="4" w:space="0" w:color="auto"/>
            </w:tcBorders>
            <w:noWrap/>
            <w:vAlign w:val="center"/>
            <w:hideMark/>
          </w:tcPr>
          <w:p w14:paraId="7A468D0F"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69" w:type="dxa"/>
            <w:tcBorders>
              <w:top w:val="nil"/>
              <w:left w:val="nil"/>
              <w:bottom w:val="single" w:sz="4" w:space="0" w:color="auto"/>
              <w:right w:val="single" w:sz="4" w:space="0" w:color="auto"/>
            </w:tcBorders>
            <w:noWrap/>
            <w:vAlign w:val="center"/>
            <w:hideMark/>
          </w:tcPr>
          <w:p w14:paraId="7F9E6BAF"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30%</w:t>
            </w:r>
          </w:p>
        </w:tc>
        <w:tc>
          <w:tcPr>
            <w:tcW w:w="969" w:type="dxa"/>
            <w:tcBorders>
              <w:top w:val="nil"/>
              <w:left w:val="nil"/>
              <w:bottom w:val="single" w:sz="4" w:space="0" w:color="auto"/>
              <w:right w:val="single" w:sz="4" w:space="0" w:color="auto"/>
            </w:tcBorders>
            <w:noWrap/>
            <w:vAlign w:val="center"/>
            <w:hideMark/>
          </w:tcPr>
          <w:p w14:paraId="7B9626B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30%</w:t>
            </w:r>
          </w:p>
        </w:tc>
        <w:tc>
          <w:tcPr>
            <w:tcW w:w="969" w:type="dxa"/>
            <w:tcBorders>
              <w:top w:val="nil"/>
              <w:left w:val="nil"/>
              <w:bottom w:val="single" w:sz="4" w:space="0" w:color="auto"/>
              <w:right w:val="single" w:sz="8" w:space="0" w:color="auto"/>
            </w:tcBorders>
            <w:noWrap/>
            <w:vAlign w:val="center"/>
            <w:hideMark/>
          </w:tcPr>
          <w:p w14:paraId="4A5803F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35%</w:t>
            </w:r>
          </w:p>
        </w:tc>
        <w:tc>
          <w:tcPr>
            <w:tcW w:w="1632" w:type="dxa"/>
            <w:tcBorders>
              <w:top w:val="nil"/>
              <w:left w:val="nil"/>
              <w:bottom w:val="single" w:sz="4" w:space="0" w:color="auto"/>
              <w:right w:val="single" w:sz="8" w:space="0" w:color="auto"/>
            </w:tcBorders>
            <w:shd w:val="clear" w:color="auto" w:fill="B3E5A1" w:themeFill="accent6" w:themeFillTint="66"/>
            <w:vAlign w:val="center"/>
          </w:tcPr>
          <w:p w14:paraId="2D9DBBB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100%</w:t>
            </w:r>
          </w:p>
        </w:tc>
      </w:tr>
      <w:tr w:rsidR="00850353" w:rsidRPr="00D42106" w14:paraId="61C2C1E2" w14:textId="77777777" w:rsidTr="0038576D">
        <w:trPr>
          <w:trHeight w:val="475"/>
        </w:trPr>
        <w:tc>
          <w:tcPr>
            <w:tcW w:w="2600" w:type="dxa"/>
            <w:vMerge w:val="restart"/>
            <w:tcBorders>
              <w:top w:val="single" w:sz="4" w:space="0" w:color="auto"/>
              <w:left w:val="single" w:sz="8" w:space="0" w:color="auto"/>
              <w:bottom w:val="single" w:sz="8" w:space="0" w:color="000000"/>
              <w:right w:val="single" w:sz="4" w:space="0" w:color="000000"/>
            </w:tcBorders>
            <w:vAlign w:val="center"/>
            <w:hideMark/>
          </w:tcPr>
          <w:p w14:paraId="50A5CEE3"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Output 2.2 Partner local government have acquired adequate capacities and tools to effectively plan and deliver </w:t>
            </w:r>
            <w:r w:rsidRPr="00D42106">
              <w:rPr>
                <w:rFonts w:ascii="Calibri" w:hAnsi="Calibri" w:cs="Calibri"/>
                <w:b/>
                <w:sz w:val="18"/>
                <w:szCs w:val="18"/>
                <w:lang w:eastAsia="sr-Latn-BA"/>
              </w:rPr>
              <w:lastRenderedPageBreak/>
              <w:t>public policies and services, guided by a result-oriented approach</w:t>
            </w:r>
          </w:p>
        </w:tc>
        <w:tc>
          <w:tcPr>
            <w:tcW w:w="652" w:type="dxa"/>
            <w:tcBorders>
              <w:top w:val="nil"/>
              <w:left w:val="nil"/>
              <w:bottom w:val="single" w:sz="4" w:space="0" w:color="auto"/>
              <w:right w:val="single" w:sz="4" w:space="0" w:color="auto"/>
            </w:tcBorders>
            <w:vAlign w:val="center"/>
            <w:hideMark/>
          </w:tcPr>
          <w:p w14:paraId="03FECD69"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lastRenderedPageBreak/>
              <w:t> </w:t>
            </w:r>
          </w:p>
        </w:tc>
        <w:tc>
          <w:tcPr>
            <w:tcW w:w="3429" w:type="dxa"/>
            <w:tcBorders>
              <w:top w:val="nil"/>
              <w:left w:val="nil"/>
              <w:bottom w:val="single" w:sz="4" w:space="0" w:color="auto"/>
              <w:right w:val="single" w:sz="4" w:space="0" w:color="auto"/>
            </w:tcBorders>
            <w:vAlign w:val="center"/>
            <w:hideMark/>
          </w:tcPr>
          <w:p w14:paraId="611ADAAF"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improvement in the annual performance score of local governments measured by the newly-introduced good local governance framework.</w:t>
            </w:r>
          </w:p>
        </w:tc>
        <w:tc>
          <w:tcPr>
            <w:tcW w:w="1499" w:type="dxa"/>
            <w:tcBorders>
              <w:top w:val="nil"/>
              <w:left w:val="nil"/>
              <w:bottom w:val="single" w:sz="4" w:space="0" w:color="auto"/>
              <w:right w:val="single" w:sz="4" w:space="0" w:color="auto"/>
            </w:tcBorders>
            <w:noWrap/>
            <w:vAlign w:val="center"/>
            <w:hideMark/>
          </w:tcPr>
          <w:p w14:paraId="5E44457D"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N/A</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7C2AA50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15% (at least)</w:t>
            </w:r>
          </w:p>
        </w:tc>
        <w:tc>
          <w:tcPr>
            <w:tcW w:w="968" w:type="dxa"/>
            <w:tcBorders>
              <w:top w:val="nil"/>
              <w:left w:val="single" w:sz="8" w:space="0" w:color="auto"/>
              <w:bottom w:val="single" w:sz="4" w:space="0" w:color="auto"/>
              <w:right w:val="single" w:sz="4" w:space="0" w:color="auto"/>
            </w:tcBorders>
            <w:noWrap/>
            <w:vAlign w:val="center"/>
            <w:hideMark/>
          </w:tcPr>
          <w:p w14:paraId="0B0AB8FF"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69" w:type="dxa"/>
            <w:tcBorders>
              <w:top w:val="nil"/>
              <w:left w:val="nil"/>
              <w:bottom w:val="single" w:sz="4" w:space="0" w:color="auto"/>
              <w:right w:val="single" w:sz="4" w:space="0" w:color="auto"/>
            </w:tcBorders>
            <w:noWrap/>
            <w:vAlign w:val="center"/>
            <w:hideMark/>
          </w:tcPr>
          <w:p w14:paraId="3567B6E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48%</w:t>
            </w:r>
          </w:p>
        </w:tc>
        <w:tc>
          <w:tcPr>
            <w:tcW w:w="969" w:type="dxa"/>
            <w:tcBorders>
              <w:top w:val="nil"/>
              <w:left w:val="nil"/>
              <w:bottom w:val="single" w:sz="4" w:space="0" w:color="auto"/>
              <w:right w:val="single" w:sz="4" w:space="0" w:color="auto"/>
            </w:tcBorders>
            <w:noWrap/>
            <w:vAlign w:val="center"/>
            <w:hideMark/>
          </w:tcPr>
          <w:p w14:paraId="66DF779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52%</w:t>
            </w:r>
          </w:p>
        </w:tc>
        <w:tc>
          <w:tcPr>
            <w:tcW w:w="969" w:type="dxa"/>
            <w:tcBorders>
              <w:top w:val="nil"/>
              <w:left w:val="nil"/>
              <w:bottom w:val="single" w:sz="4" w:space="0" w:color="auto"/>
              <w:right w:val="single" w:sz="8" w:space="0" w:color="auto"/>
            </w:tcBorders>
            <w:noWrap/>
            <w:vAlign w:val="center"/>
            <w:hideMark/>
          </w:tcPr>
          <w:p w14:paraId="25FC530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65%</w:t>
            </w:r>
          </w:p>
        </w:tc>
        <w:tc>
          <w:tcPr>
            <w:tcW w:w="1632" w:type="dxa"/>
            <w:tcBorders>
              <w:top w:val="nil"/>
              <w:left w:val="nil"/>
              <w:bottom w:val="single" w:sz="4" w:space="0" w:color="auto"/>
              <w:right w:val="single" w:sz="8" w:space="0" w:color="auto"/>
            </w:tcBorders>
            <w:shd w:val="clear" w:color="auto" w:fill="B3E5A1" w:themeFill="accent6" w:themeFillTint="66"/>
            <w:vAlign w:val="center"/>
          </w:tcPr>
          <w:p w14:paraId="5C0AAFC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 xml:space="preserve">65.5% </w:t>
            </w:r>
          </w:p>
          <w:p w14:paraId="21054207"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(average 72.5% old LGs and 58.55% new LGs)</w:t>
            </w:r>
          </w:p>
        </w:tc>
      </w:tr>
      <w:tr w:rsidR="00850353" w:rsidRPr="00D42106" w14:paraId="20382351" w14:textId="77777777" w:rsidTr="0038576D">
        <w:trPr>
          <w:trHeight w:val="712"/>
        </w:trPr>
        <w:tc>
          <w:tcPr>
            <w:tcW w:w="2600" w:type="dxa"/>
            <w:vMerge/>
            <w:tcBorders>
              <w:top w:val="single" w:sz="4" w:space="0" w:color="auto"/>
              <w:left w:val="single" w:sz="8" w:space="0" w:color="auto"/>
              <w:bottom w:val="single" w:sz="8" w:space="0" w:color="000000"/>
              <w:right w:val="single" w:sz="4" w:space="0" w:color="000000"/>
            </w:tcBorders>
            <w:vAlign w:val="center"/>
            <w:hideMark/>
          </w:tcPr>
          <w:p w14:paraId="0794F5EA" w14:textId="77777777" w:rsidR="00D12E01" w:rsidRPr="00D42106" w:rsidRDefault="00D12E01">
            <w:pPr>
              <w:rPr>
                <w:rFonts w:ascii="Calibri" w:hAnsi="Calibri" w:cs="Calibri"/>
                <w:b/>
                <w:sz w:val="18"/>
                <w:szCs w:val="18"/>
                <w:lang w:eastAsia="sr-Latn-BA"/>
              </w:rPr>
            </w:pPr>
          </w:p>
        </w:tc>
        <w:tc>
          <w:tcPr>
            <w:tcW w:w="652" w:type="dxa"/>
            <w:tcBorders>
              <w:top w:val="nil"/>
              <w:left w:val="nil"/>
              <w:bottom w:val="single" w:sz="4" w:space="0" w:color="auto"/>
              <w:right w:val="single" w:sz="4" w:space="0" w:color="auto"/>
            </w:tcBorders>
            <w:vAlign w:val="center"/>
            <w:hideMark/>
          </w:tcPr>
          <w:p w14:paraId="78AABA51"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4" w:space="0" w:color="auto"/>
              <w:right w:val="single" w:sz="4" w:space="0" w:color="auto"/>
            </w:tcBorders>
            <w:vAlign w:val="center"/>
            <w:hideMark/>
          </w:tcPr>
          <w:p w14:paraId="48BAAAFD"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xml:space="preserve">Number of innovative and scalable solutions and approaches that evidently and sustainably improve public consultation and citizen engagement in policy design and service delivery. </w:t>
            </w:r>
          </w:p>
        </w:tc>
        <w:tc>
          <w:tcPr>
            <w:tcW w:w="1499" w:type="dxa"/>
            <w:tcBorders>
              <w:top w:val="nil"/>
              <w:left w:val="nil"/>
              <w:bottom w:val="single" w:sz="4" w:space="0" w:color="auto"/>
              <w:right w:val="single" w:sz="4" w:space="0" w:color="auto"/>
            </w:tcBorders>
            <w:noWrap/>
            <w:vAlign w:val="center"/>
            <w:hideMark/>
          </w:tcPr>
          <w:p w14:paraId="3C3E859A"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N/A</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459828A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10</w:t>
            </w:r>
          </w:p>
        </w:tc>
        <w:tc>
          <w:tcPr>
            <w:tcW w:w="968" w:type="dxa"/>
            <w:tcBorders>
              <w:top w:val="nil"/>
              <w:left w:val="single" w:sz="8" w:space="0" w:color="auto"/>
              <w:bottom w:val="single" w:sz="4" w:space="0" w:color="auto"/>
              <w:right w:val="single" w:sz="4" w:space="0" w:color="auto"/>
            </w:tcBorders>
            <w:noWrap/>
            <w:vAlign w:val="center"/>
            <w:hideMark/>
          </w:tcPr>
          <w:p w14:paraId="795D7CD7"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69" w:type="dxa"/>
            <w:tcBorders>
              <w:top w:val="nil"/>
              <w:left w:val="nil"/>
              <w:bottom w:val="single" w:sz="4" w:space="0" w:color="auto"/>
              <w:right w:val="single" w:sz="4" w:space="0" w:color="auto"/>
            </w:tcBorders>
            <w:noWrap/>
            <w:vAlign w:val="center"/>
            <w:hideMark/>
          </w:tcPr>
          <w:p w14:paraId="128B37F3"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69" w:type="dxa"/>
            <w:tcBorders>
              <w:top w:val="nil"/>
              <w:left w:val="nil"/>
              <w:bottom w:val="single" w:sz="4" w:space="0" w:color="auto"/>
              <w:right w:val="single" w:sz="4" w:space="0" w:color="auto"/>
            </w:tcBorders>
            <w:noWrap/>
            <w:vAlign w:val="center"/>
            <w:hideMark/>
          </w:tcPr>
          <w:p w14:paraId="01EE11B7"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9</w:t>
            </w:r>
          </w:p>
        </w:tc>
        <w:tc>
          <w:tcPr>
            <w:tcW w:w="969" w:type="dxa"/>
            <w:tcBorders>
              <w:top w:val="nil"/>
              <w:left w:val="nil"/>
              <w:bottom w:val="single" w:sz="4" w:space="0" w:color="auto"/>
              <w:right w:val="single" w:sz="8" w:space="0" w:color="auto"/>
            </w:tcBorders>
            <w:noWrap/>
            <w:vAlign w:val="center"/>
            <w:hideMark/>
          </w:tcPr>
          <w:p w14:paraId="252A41F2"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22</w:t>
            </w:r>
          </w:p>
        </w:tc>
        <w:tc>
          <w:tcPr>
            <w:tcW w:w="1632" w:type="dxa"/>
            <w:tcBorders>
              <w:top w:val="nil"/>
              <w:left w:val="nil"/>
              <w:bottom w:val="single" w:sz="4" w:space="0" w:color="auto"/>
              <w:right w:val="single" w:sz="8" w:space="0" w:color="auto"/>
            </w:tcBorders>
            <w:shd w:val="clear" w:color="auto" w:fill="B3E5A1" w:themeFill="accent6" w:themeFillTint="66"/>
            <w:vAlign w:val="center"/>
          </w:tcPr>
          <w:p w14:paraId="613097B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22</w:t>
            </w:r>
          </w:p>
        </w:tc>
      </w:tr>
      <w:tr w:rsidR="00850353" w:rsidRPr="00D42106" w14:paraId="5A60B28D" w14:textId="77777777" w:rsidTr="0038576D">
        <w:trPr>
          <w:trHeight w:val="484"/>
        </w:trPr>
        <w:tc>
          <w:tcPr>
            <w:tcW w:w="2600" w:type="dxa"/>
            <w:vMerge/>
            <w:tcBorders>
              <w:top w:val="single" w:sz="4" w:space="0" w:color="auto"/>
              <w:left w:val="single" w:sz="8" w:space="0" w:color="auto"/>
              <w:bottom w:val="single" w:sz="8" w:space="0" w:color="000000"/>
              <w:right w:val="single" w:sz="4" w:space="0" w:color="000000"/>
            </w:tcBorders>
            <w:vAlign w:val="center"/>
            <w:hideMark/>
          </w:tcPr>
          <w:p w14:paraId="24AF8EE1" w14:textId="77777777" w:rsidR="00D12E01" w:rsidRPr="00D42106" w:rsidRDefault="00D12E01">
            <w:pPr>
              <w:rPr>
                <w:rFonts w:ascii="Calibri" w:hAnsi="Calibri" w:cs="Calibri"/>
                <w:b/>
                <w:sz w:val="18"/>
                <w:szCs w:val="18"/>
                <w:lang w:eastAsia="sr-Latn-BA"/>
              </w:rPr>
            </w:pPr>
          </w:p>
        </w:tc>
        <w:tc>
          <w:tcPr>
            <w:tcW w:w="652" w:type="dxa"/>
            <w:tcBorders>
              <w:top w:val="nil"/>
              <w:left w:val="nil"/>
              <w:bottom w:val="single" w:sz="8" w:space="0" w:color="auto"/>
              <w:right w:val="single" w:sz="4" w:space="0" w:color="auto"/>
            </w:tcBorders>
            <w:vAlign w:val="center"/>
            <w:hideMark/>
          </w:tcPr>
          <w:p w14:paraId="7E0906E8"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 </w:t>
            </w:r>
          </w:p>
        </w:tc>
        <w:tc>
          <w:tcPr>
            <w:tcW w:w="3429" w:type="dxa"/>
            <w:tcBorders>
              <w:top w:val="nil"/>
              <w:left w:val="nil"/>
              <w:bottom w:val="single" w:sz="8" w:space="0" w:color="auto"/>
              <w:right w:val="single" w:sz="4" w:space="0" w:color="auto"/>
            </w:tcBorders>
            <w:vAlign w:val="center"/>
            <w:hideMark/>
          </w:tcPr>
          <w:p w14:paraId="3B5AE2D3"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of financial realization of annual implementation plans of local development strategies of partner local governments.</w:t>
            </w:r>
          </w:p>
        </w:tc>
        <w:tc>
          <w:tcPr>
            <w:tcW w:w="1499" w:type="dxa"/>
            <w:tcBorders>
              <w:top w:val="nil"/>
              <w:left w:val="nil"/>
              <w:bottom w:val="single" w:sz="8" w:space="0" w:color="auto"/>
              <w:right w:val="single" w:sz="4" w:space="0" w:color="auto"/>
            </w:tcBorders>
            <w:noWrap/>
            <w:vAlign w:val="center"/>
            <w:hideMark/>
          </w:tcPr>
          <w:p w14:paraId="28BC8BC0"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TBD</w:t>
            </w:r>
          </w:p>
        </w:tc>
        <w:tc>
          <w:tcPr>
            <w:tcW w:w="990" w:type="dxa"/>
            <w:tcBorders>
              <w:top w:val="nil"/>
              <w:left w:val="single" w:sz="8" w:space="0" w:color="auto"/>
              <w:bottom w:val="single" w:sz="8" w:space="0" w:color="auto"/>
              <w:right w:val="single" w:sz="8" w:space="0" w:color="auto"/>
            </w:tcBorders>
            <w:vAlign w:val="center"/>
          </w:tcPr>
          <w:p w14:paraId="644A0915"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25%</w:t>
            </w:r>
          </w:p>
        </w:tc>
        <w:tc>
          <w:tcPr>
            <w:tcW w:w="968" w:type="dxa"/>
            <w:tcBorders>
              <w:top w:val="nil"/>
              <w:left w:val="single" w:sz="8" w:space="0" w:color="auto"/>
              <w:bottom w:val="single" w:sz="8" w:space="0" w:color="auto"/>
              <w:right w:val="single" w:sz="4" w:space="0" w:color="auto"/>
            </w:tcBorders>
            <w:noWrap/>
            <w:vAlign w:val="center"/>
            <w:hideMark/>
          </w:tcPr>
          <w:p w14:paraId="074B5DA6" w14:textId="77777777" w:rsidR="00D12E01" w:rsidRPr="00D42106" w:rsidRDefault="00D12E01">
            <w:pPr>
              <w:jc w:val="center"/>
              <w:rPr>
                <w:rFonts w:ascii="Calibri" w:hAnsi="Calibri" w:cs="Calibri"/>
                <w:sz w:val="18"/>
                <w:szCs w:val="18"/>
                <w:lang w:eastAsia="sr-Latn-BA"/>
              </w:rPr>
            </w:pPr>
          </w:p>
        </w:tc>
        <w:tc>
          <w:tcPr>
            <w:tcW w:w="969" w:type="dxa"/>
            <w:tcBorders>
              <w:top w:val="nil"/>
              <w:left w:val="nil"/>
              <w:bottom w:val="single" w:sz="8" w:space="0" w:color="auto"/>
              <w:right w:val="single" w:sz="4" w:space="0" w:color="auto"/>
            </w:tcBorders>
            <w:noWrap/>
            <w:vAlign w:val="center"/>
            <w:hideMark/>
          </w:tcPr>
          <w:p w14:paraId="715455CF" w14:textId="77777777" w:rsidR="00D12E01" w:rsidRPr="00D42106" w:rsidRDefault="00D12E01">
            <w:pPr>
              <w:jc w:val="center"/>
              <w:rPr>
                <w:rFonts w:ascii="Calibri" w:hAnsi="Calibri" w:cs="Calibri"/>
                <w:sz w:val="18"/>
                <w:szCs w:val="18"/>
                <w:lang w:eastAsia="sr-Latn-BA"/>
              </w:rPr>
            </w:pPr>
          </w:p>
        </w:tc>
        <w:tc>
          <w:tcPr>
            <w:tcW w:w="969" w:type="dxa"/>
            <w:tcBorders>
              <w:top w:val="nil"/>
              <w:left w:val="nil"/>
              <w:bottom w:val="single" w:sz="8" w:space="0" w:color="auto"/>
              <w:right w:val="single" w:sz="4" w:space="0" w:color="auto"/>
            </w:tcBorders>
            <w:noWrap/>
            <w:vAlign w:val="center"/>
            <w:hideMark/>
          </w:tcPr>
          <w:p w14:paraId="4B6CE25B" w14:textId="77777777" w:rsidR="00D12E01" w:rsidRPr="00D42106" w:rsidRDefault="00D12E01">
            <w:pPr>
              <w:jc w:val="center"/>
              <w:rPr>
                <w:rFonts w:ascii="Calibri" w:hAnsi="Calibri" w:cs="Calibri"/>
                <w:sz w:val="18"/>
                <w:szCs w:val="18"/>
                <w:lang w:eastAsia="sr-Latn-BA"/>
              </w:rPr>
            </w:pPr>
          </w:p>
        </w:tc>
        <w:tc>
          <w:tcPr>
            <w:tcW w:w="969" w:type="dxa"/>
            <w:tcBorders>
              <w:top w:val="nil"/>
              <w:left w:val="nil"/>
              <w:bottom w:val="single" w:sz="8" w:space="0" w:color="auto"/>
              <w:right w:val="single" w:sz="8" w:space="0" w:color="auto"/>
            </w:tcBorders>
            <w:noWrap/>
            <w:vAlign w:val="center"/>
            <w:hideMark/>
          </w:tcPr>
          <w:p w14:paraId="2B34962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79%</w:t>
            </w:r>
          </w:p>
        </w:tc>
        <w:tc>
          <w:tcPr>
            <w:tcW w:w="1632" w:type="dxa"/>
            <w:tcBorders>
              <w:top w:val="nil"/>
              <w:left w:val="nil"/>
              <w:bottom w:val="single" w:sz="8" w:space="0" w:color="auto"/>
              <w:right w:val="single" w:sz="8" w:space="0" w:color="auto"/>
            </w:tcBorders>
            <w:shd w:val="clear" w:color="auto" w:fill="B3E5A1" w:themeFill="accent6" w:themeFillTint="66"/>
            <w:vAlign w:val="center"/>
          </w:tcPr>
          <w:p w14:paraId="1B71088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79%</w:t>
            </w:r>
          </w:p>
        </w:tc>
      </w:tr>
      <w:tr w:rsidR="00D12E01" w:rsidRPr="00D42106" w14:paraId="55C4C118" w14:textId="77777777" w:rsidTr="00A84808">
        <w:trPr>
          <w:trHeight w:val="289"/>
        </w:trPr>
        <w:tc>
          <w:tcPr>
            <w:tcW w:w="6681" w:type="dxa"/>
            <w:gridSpan w:val="3"/>
            <w:vMerge w:val="restart"/>
            <w:tcBorders>
              <w:top w:val="single" w:sz="8" w:space="0" w:color="auto"/>
              <w:left w:val="single" w:sz="8" w:space="0" w:color="auto"/>
              <w:bottom w:val="single" w:sz="4" w:space="0" w:color="000000"/>
              <w:right w:val="single" w:sz="4" w:space="0" w:color="000000"/>
            </w:tcBorders>
            <w:shd w:val="clear" w:color="auto" w:fill="C1E4F5" w:themeFill="accent1" w:themeFillTint="33"/>
            <w:vAlign w:val="center"/>
            <w:hideMark/>
          </w:tcPr>
          <w:p w14:paraId="4AAEBC10"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For outcome 3: Citizens, particularly the most vulnerable, benefit from improved water supply and wastewater management services, provided in a more efficient, accountable, and sustainable manner. </w:t>
            </w:r>
          </w:p>
        </w:tc>
        <w:tc>
          <w:tcPr>
            <w:tcW w:w="1499" w:type="dxa"/>
            <w:tcBorders>
              <w:top w:val="single" w:sz="8" w:space="0" w:color="auto"/>
              <w:left w:val="nil"/>
              <w:bottom w:val="single" w:sz="4" w:space="0" w:color="auto"/>
              <w:right w:val="single" w:sz="8" w:space="0" w:color="000000"/>
            </w:tcBorders>
            <w:shd w:val="clear" w:color="auto" w:fill="C1E4F5" w:themeFill="accent1" w:themeFillTint="33"/>
            <w:noWrap/>
            <w:vAlign w:val="bottom"/>
            <w:hideMark/>
          </w:tcPr>
          <w:p w14:paraId="2C71A0C8"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Baseline</w:t>
            </w:r>
          </w:p>
        </w:tc>
        <w:tc>
          <w:tcPr>
            <w:tcW w:w="990" w:type="dxa"/>
            <w:tcBorders>
              <w:top w:val="single" w:sz="8" w:space="0" w:color="auto"/>
              <w:left w:val="nil"/>
              <w:bottom w:val="single" w:sz="4" w:space="0" w:color="auto"/>
              <w:right w:val="nil"/>
            </w:tcBorders>
            <w:shd w:val="clear" w:color="auto" w:fill="C1E4F5" w:themeFill="accent1" w:themeFillTint="33"/>
            <w:vAlign w:val="center"/>
          </w:tcPr>
          <w:p w14:paraId="1E31F2DF" w14:textId="77777777" w:rsidR="00D12E01" w:rsidRPr="00D42106" w:rsidRDefault="00D12E01">
            <w:pPr>
              <w:jc w:val="center"/>
              <w:rPr>
                <w:rFonts w:ascii="Calibri" w:hAnsi="Calibri" w:cs="Calibri"/>
                <w:b/>
                <w:sz w:val="18"/>
                <w:szCs w:val="18"/>
                <w:lang w:eastAsia="sr-Latn-BA"/>
              </w:rPr>
            </w:pPr>
          </w:p>
        </w:tc>
        <w:tc>
          <w:tcPr>
            <w:tcW w:w="3875" w:type="dxa"/>
            <w:gridSpan w:val="4"/>
            <w:tcBorders>
              <w:top w:val="single" w:sz="8" w:space="0" w:color="auto"/>
              <w:left w:val="nil"/>
              <w:bottom w:val="single" w:sz="4" w:space="0" w:color="auto"/>
              <w:right w:val="single" w:sz="8" w:space="0" w:color="000000"/>
            </w:tcBorders>
            <w:shd w:val="clear" w:color="auto" w:fill="C1E4F5" w:themeFill="accent1" w:themeFillTint="33"/>
            <w:noWrap/>
            <w:vAlign w:val="center"/>
            <w:hideMark/>
          </w:tcPr>
          <w:p w14:paraId="7D3F2329"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Progress</w:t>
            </w:r>
          </w:p>
        </w:tc>
        <w:tc>
          <w:tcPr>
            <w:tcW w:w="1632" w:type="dxa"/>
            <w:tcBorders>
              <w:top w:val="single" w:sz="8" w:space="0" w:color="auto"/>
              <w:left w:val="nil"/>
              <w:bottom w:val="single" w:sz="4" w:space="0" w:color="auto"/>
              <w:right w:val="single" w:sz="8" w:space="0" w:color="000000"/>
            </w:tcBorders>
            <w:shd w:val="clear" w:color="auto" w:fill="C1E4F5" w:themeFill="accent1" w:themeFillTint="33"/>
            <w:vAlign w:val="center"/>
          </w:tcPr>
          <w:p w14:paraId="7A34C70A" w14:textId="77777777" w:rsidR="00D12E01" w:rsidRPr="00D42106" w:rsidRDefault="00D12E01">
            <w:pPr>
              <w:jc w:val="center"/>
              <w:rPr>
                <w:rFonts w:ascii="Calibri" w:hAnsi="Calibri" w:cs="Calibri"/>
                <w:b/>
                <w:sz w:val="18"/>
                <w:szCs w:val="18"/>
                <w:lang w:eastAsia="sr-Latn-BA"/>
              </w:rPr>
            </w:pPr>
          </w:p>
        </w:tc>
      </w:tr>
      <w:tr w:rsidR="00D12E01" w:rsidRPr="00D42106" w14:paraId="107BC212" w14:textId="77777777" w:rsidTr="00A84808">
        <w:trPr>
          <w:trHeight w:val="339"/>
        </w:trPr>
        <w:tc>
          <w:tcPr>
            <w:tcW w:w="6681" w:type="dxa"/>
            <w:gridSpan w:val="3"/>
            <w:vMerge/>
            <w:tcBorders>
              <w:top w:val="single" w:sz="8" w:space="0" w:color="auto"/>
              <w:left w:val="single" w:sz="8" w:space="0" w:color="auto"/>
              <w:bottom w:val="single" w:sz="4" w:space="0" w:color="000000"/>
              <w:right w:val="single" w:sz="4" w:space="0" w:color="000000"/>
            </w:tcBorders>
            <w:shd w:val="clear" w:color="auto" w:fill="C1E4F5" w:themeFill="accent1" w:themeFillTint="33"/>
            <w:vAlign w:val="center"/>
            <w:hideMark/>
          </w:tcPr>
          <w:p w14:paraId="7830964C" w14:textId="77777777" w:rsidR="00D12E01" w:rsidRPr="00D42106" w:rsidRDefault="00D12E01">
            <w:pPr>
              <w:rPr>
                <w:rFonts w:ascii="Calibri" w:hAnsi="Calibri" w:cs="Calibri"/>
                <w:b/>
                <w:sz w:val="18"/>
                <w:szCs w:val="18"/>
                <w:lang w:eastAsia="sr-Latn-BA"/>
              </w:rPr>
            </w:pPr>
          </w:p>
        </w:tc>
        <w:tc>
          <w:tcPr>
            <w:tcW w:w="1499" w:type="dxa"/>
            <w:tcBorders>
              <w:top w:val="nil"/>
              <w:left w:val="nil"/>
              <w:bottom w:val="single" w:sz="4" w:space="0" w:color="auto"/>
              <w:right w:val="single" w:sz="4" w:space="0" w:color="auto"/>
            </w:tcBorders>
            <w:shd w:val="clear" w:color="auto" w:fill="C1E4F5" w:themeFill="accent1" w:themeFillTint="33"/>
            <w:noWrap/>
            <w:vAlign w:val="bottom"/>
            <w:hideMark/>
          </w:tcPr>
          <w:p w14:paraId="7B02E6FA"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 xml:space="preserve">Value </w:t>
            </w:r>
          </w:p>
        </w:tc>
        <w:tc>
          <w:tcPr>
            <w:tcW w:w="990" w:type="dxa"/>
            <w:tcBorders>
              <w:top w:val="nil"/>
              <w:left w:val="single" w:sz="8" w:space="0" w:color="auto"/>
              <w:bottom w:val="single" w:sz="4" w:space="0" w:color="auto"/>
              <w:right w:val="single" w:sz="8" w:space="0" w:color="auto"/>
            </w:tcBorders>
            <w:shd w:val="clear" w:color="auto" w:fill="C1E4F5" w:themeFill="accent1" w:themeFillTint="33"/>
            <w:vAlign w:val="center"/>
          </w:tcPr>
          <w:p w14:paraId="39641150" w14:textId="77777777" w:rsidR="00D12E01" w:rsidRPr="00D42106" w:rsidRDefault="00D12E01">
            <w:pPr>
              <w:jc w:val="center"/>
              <w:rPr>
                <w:rFonts w:ascii="Calibri" w:hAnsi="Calibri" w:cs="Calibri"/>
                <w:b/>
                <w:sz w:val="18"/>
                <w:szCs w:val="18"/>
                <w:lang w:eastAsia="sr-Latn-BA"/>
              </w:rPr>
            </w:pPr>
          </w:p>
        </w:tc>
        <w:tc>
          <w:tcPr>
            <w:tcW w:w="968" w:type="dxa"/>
            <w:tcBorders>
              <w:top w:val="nil"/>
              <w:left w:val="single" w:sz="8" w:space="0" w:color="auto"/>
              <w:bottom w:val="single" w:sz="4" w:space="0" w:color="auto"/>
              <w:right w:val="single" w:sz="4" w:space="0" w:color="auto"/>
            </w:tcBorders>
            <w:shd w:val="clear" w:color="auto" w:fill="C1E4F5" w:themeFill="accent1" w:themeFillTint="33"/>
            <w:noWrap/>
            <w:vAlign w:val="center"/>
            <w:hideMark/>
          </w:tcPr>
          <w:p w14:paraId="4EF8F3B7"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Y1</w:t>
            </w:r>
          </w:p>
        </w:tc>
        <w:tc>
          <w:tcPr>
            <w:tcW w:w="969" w:type="dxa"/>
            <w:tcBorders>
              <w:top w:val="nil"/>
              <w:left w:val="nil"/>
              <w:bottom w:val="single" w:sz="4" w:space="0" w:color="auto"/>
              <w:right w:val="single" w:sz="4" w:space="0" w:color="auto"/>
            </w:tcBorders>
            <w:shd w:val="clear" w:color="auto" w:fill="C1E4F5" w:themeFill="accent1" w:themeFillTint="33"/>
            <w:noWrap/>
            <w:vAlign w:val="center"/>
            <w:hideMark/>
          </w:tcPr>
          <w:p w14:paraId="3FAAA286"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Y2</w:t>
            </w:r>
          </w:p>
        </w:tc>
        <w:tc>
          <w:tcPr>
            <w:tcW w:w="969" w:type="dxa"/>
            <w:tcBorders>
              <w:top w:val="nil"/>
              <w:left w:val="nil"/>
              <w:bottom w:val="single" w:sz="4" w:space="0" w:color="auto"/>
              <w:right w:val="single" w:sz="4" w:space="0" w:color="auto"/>
            </w:tcBorders>
            <w:shd w:val="clear" w:color="auto" w:fill="C1E4F5" w:themeFill="accent1" w:themeFillTint="33"/>
            <w:noWrap/>
            <w:vAlign w:val="center"/>
            <w:hideMark/>
          </w:tcPr>
          <w:p w14:paraId="1029CFDD"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Y3</w:t>
            </w:r>
          </w:p>
        </w:tc>
        <w:tc>
          <w:tcPr>
            <w:tcW w:w="969" w:type="dxa"/>
            <w:tcBorders>
              <w:top w:val="nil"/>
              <w:left w:val="nil"/>
              <w:bottom w:val="single" w:sz="4" w:space="0" w:color="auto"/>
              <w:right w:val="single" w:sz="8" w:space="0" w:color="auto"/>
            </w:tcBorders>
            <w:shd w:val="clear" w:color="auto" w:fill="C1E4F5" w:themeFill="accent1" w:themeFillTint="33"/>
            <w:noWrap/>
            <w:vAlign w:val="center"/>
            <w:hideMark/>
          </w:tcPr>
          <w:p w14:paraId="2F181B51"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Y4</w:t>
            </w:r>
          </w:p>
        </w:tc>
        <w:tc>
          <w:tcPr>
            <w:tcW w:w="1632" w:type="dxa"/>
            <w:tcBorders>
              <w:top w:val="nil"/>
              <w:left w:val="nil"/>
              <w:bottom w:val="single" w:sz="4" w:space="0" w:color="auto"/>
              <w:right w:val="single" w:sz="8" w:space="0" w:color="auto"/>
            </w:tcBorders>
            <w:shd w:val="clear" w:color="auto" w:fill="C1E4F5" w:themeFill="accent1" w:themeFillTint="33"/>
            <w:vAlign w:val="center"/>
          </w:tcPr>
          <w:p w14:paraId="4ADCB796" w14:textId="77777777" w:rsidR="00D12E01" w:rsidRPr="00D42106" w:rsidRDefault="00D12E01">
            <w:pPr>
              <w:jc w:val="center"/>
              <w:rPr>
                <w:rFonts w:ascii="Calibri" w:hAnsi="Calibri" w:cs="Calibri"/>
                <w:b/>
                <w:sz w:val="18"/>
                <w:szCs w:val="18"/>
                <w:lang w:eastAsia="sr-Latn-BA"/>
              </w:rPr>
            </w:pPr>
          </w:p>
        </w:tc>
      </w:tr>
      <w:tr w:rsidR="00850353" w:rsidRPr="00D42106" w14:paraId="26B6507B" w14:textId="77777777" w:rsidTr="0038576D">
        <w:trPr>
          <w:trHeight w:val="475"/>
        </w:trPr>
        <w:tc>
          <w:tcPr>
            <w:tcW w:w="2600" w:type="dxa"/>
            <w:vMerge w:val="restart"/>
            <w:tcBorders>
              <w:top w:val="single" w:sz="4" w:space="0" w:color="auto"/>
              <w:left w:val="single" w:sz="8" w:space="0" w:color="auto"/>
              <w:bottom w:val="single" w:sz="4" w:space="0" w:color="000000"/>
              <w:right w:val="single" w:sz="4" w:space="0" w:color="000000"/>
            </w:tcBorders>
            <w:vAlign w:val="center"/>
            <w:hideMark/>
          </w:tcPr>
          <w:p w14:paraId="76D0F870"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Output 3.1 Local government capacities and frameworks entailing sustainable partnerships with their water utilities enhanced to enable more effective, efficient and inclusive water supply and wastewater service delivery</w:t>
            </w:r>
          </w:p>
        </w:tc>
        <w:tc>
          <w:tcPr>
            <w:tcW w:w="652" w:type="dxa"/>
            <w:tcBorders>
              <w:top w:val="nil"/>
              <w:left w:val="nil"/>
              <w:bottom w:val="single" w:sz="4" w:space="0" w:color="auto"/>
              <w:right w:val="single" w:sz="4" w:space="0" w:color="auto"/>
            </w:tcBorders>
            <w:vAlign w:val="center"/>
            <w:hideMark/>
          </w:tcPr>
          <w:p w14:paraId="49D7E0F7"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2.1</w:t>
            </w:r>
          </w:p>
        </w:tc>
        <w:tc>
          <w:tcPr>
            <w:tcW w:w="3429" w:type="dxa"/>
            <w:tcBorders>
              <w:top w:val="nil"/>
              <w:left w:val="nil"/>
              <w:bottom w:val="single" w:sz="4" w:space="0" w:color="auto"/>
              <w:right w:val="single" w:sz="4" w:space="0" w:color="auto"/>
            </w:tcBorders>
            <w:vAlign w:val="center"/>
            <w:hideMark/>
          </w:tcPr>
          <w:p w14:paraId="79DE3C5E"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xml:space="preserve">% of partner local governments which successfully implement PSAs </w:t>
            </w:r>
          </w:p>
        </w:tc>
        <w:tc>
          <w:tcPr>
            <w:tcW w:w="1499" w:type="dxa"/>
            <w:tcBorders>
              <w:top w:val="nil"/>
              <w:left w:val="nil"/>
              <w:bottom w:val="single" w:sz="4" w:space="0" w:color="auto"/>
              <w:right w:val="single" w:sz="4" w:space="0" w:color="auto"/>
            </w:tcBorders>
            <w:noWrap/>
            <w:vAlign w:val="center"/>
            <w:hideMark/>
          </w:tcPr>
          <w:p w14:paraId="5DBEDDC7"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8</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7E4F1041"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75%</w:t>
            </w:r>
          </w:p>
        </w:tc>
        <w:tc>
          <w:tcPr>
            <w:tcW w:w="968" w:type="dxa"/>
            <w:tcBorders>
              <w:top w:val="nil"/>
              <w:left w:val="single" w:sz="8" w:space="0" w:color="auto"/>
              <w:bottom w:val="single" w:sz="4" w:space="0" w:color="auto"/>
              <w:right w:val="single" w:sz="4" w:space="0" w:color="auto"/>
            </w:tcBorders>
            <w:noWrap/>
            <w:vAlign w:val="center"/>
            <w:hideMark/>
          </w:tcPr>
          <w:p w14:paraId="3A2F7C35"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76%</w:t>
            </w:r>
          </w:p>
        </w:tc>
        <w:tc>
          <w:tcPr>
            <w:tcW w:w="969" w:type="dxa"/>
            <w:tcBorders>
              <w:top w:val="nil"/>
              <w:left w:val="nil"/>
              <w:bottom w:val="single" w:sz="4" w:space="0" w:color="auto"/>
              <w:right w:val="single" w:sz="4" w:space="0" w:color="auto"/>
            </w:tcBorders>
            <w:noWrap/>
            <w:vAlign w:val="center"/>
            <w:hideMark/>
          </w:tcPr>
          <w:p w14:paraId="4ABCDAFD"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69%</w:t>
            </w:r>
          </w:p>
        </w:tc>
        <w:tc>
          <w:tcPr>
            <w:tcW w:w="969" w:type="dxa"/>
            <w:tcBorders>
              <w:top w:val="nil"/>
              <w:left w:val="nil"/>
              <w:bottom w:val="single" w:sz="4" w:space="0" w:color="auto"/>
              <w:right w:val="single" w:sz="4" w:space="0" w:color="auto"/>
            </w:tcBorders>
            <w:noWrap/>
            <w:vAlign w:val="center"/>
          </w:tcPr>
          <w:p w14:paraId="4A29FEAA"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78%</w:t>
            </w:r>
          </w:p>
        </w:tc>
        <w:tc>
          <w:tcPr>
            <w:tcW w:w="969" w:type="dxa"/>
            <w:tcBorders>
              <w:top w:val="nil"/>
              <w:left w:val="nil"/>
              <w:bottom w:val="single" w:sz="4" w:space="0" w:color="auto"/>
              <w:right w:val="single" w:sz="8" w:space="0" w:color="auto"/>
            </w:tcBorders>
            <w:noWrap/>
            <w:vAlign w:val="center"/>
            <w:hideMark/>
          </w:tcPr>
          <w:p w14:paraId="481BA908" w14:textId="77777777" w:rsidR="00D12E01" w:rsidRPr="00557568" w:rsidRDefault="00D12E01">
            <w:pPr>
              <w:jc w:val="center"/>
              <w:rPr>
                <w:rFonts w:ascii="Calibri" w:hAnsi="Calibri" w:cs="Calibri"/>
                <w:sz w:val="18"/>
                <w:szCs w:val="18"/>
                <w:lang w:eastAsia="sr-Latn-BA"/>
              </w:rPr>
            </w:pPr>
            <w:r w:rsidRPr="00557568">
              <w:rPr>
                <w:rFonts w:ascii="Calibri" w:hAnsi="Calibri" w:cs="Calibri"/>
                <w:sz w:val="18"/>
                <w:szCs w:val="18"/>
                <w:lang w:eastAsia="sr-Latn-BA"/>
              </w:rPr>
              <w:t>96%</w:t>
            </w:r>
          </w:p>
        </w:tc>
        <w:tc>
          <w:tcPr>
            <w:tcW w:w="1632" w:type="dxa"/>
            <w:tcBorders>
              <w:top w:val="nil"/>
              <w:left w:val="nil"/>
              <w:bottom w:val="single" w:sz="4" w:space="0" w:color="auto"/>
              <w:right w:val="single" w:sz="8" w:space="0" w:color="auto"/>
            </w:tcBorders>
            <w:shd w:val="clear" w:color="auto" w:fill="B3E5A1" w:themeFill="accent6" w:themeFillTint="66"/>
            <w:vAlign w:val="center"/>
          </w:tcPr>
          <w:p w14:paraId="6830799C"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96%</w:t>
            </w:r>
          </w:p>
        </w:tc>
      </w:tr>
      <w:tr w:rsidR="00850353" w:rsidRPr="00D42106" w14:paraId="6A8FDF6D" w14:textId="77777777" w:rsidTr="0038576D">
        <w:trPr>
          <w:trHeight w:val="1129"/>
        </w:trPr>
        <w:tc>
          <w:tcPr>
            <w:tcW w:w="2600" w:type="dxa"/>
            <w:vMerge/>
            <w:tcBorders>
              <w:top w:val="single" w:sz="4" w:space="0" w:color="auto"/>
              <w:left w:val="single" w:sz="8" w:space="0" w:color="auto"/>
              <w:bottom w:val="single" w:sz="4" w:space="0" w:color="000000"/>
              <w:right w:val="single" w:sz="4" w:space="0" w:color="000000"/>
            </w:tcBorders>
            <w:vAlign w:val="center"/>
            <w:hideMark/>
          </w:tcPr>
          <w:p w14:paraId="3B3A4D5C" w14:textId="77777777" w:rsidR="00D12E01" w:rsidRPr="00D42106" w:rsidRDefault="00D12E01">
            <w:pPr>
              <w:rPr>
                <w:rFonts w:ascii="Calibri" w:hAnsi="Calibri" w:cs="Calibri"/>
                <w:b/>
                <w:sz w:val="18"/>
                <w:szCs w:val="18"/>
                <w:lang w:eastAsia="sr-Latn-BA"/>
              </w:rPr>
            </w:pPr>
          </w:p>
        </w:tc>
        <w:tc>
          <w:tcPr>
            <w:tcW w:w="652" w:type="dxa"/>
            <w:tcBorders>
              <w:top w:val="nil"/>
              <w:left w:val="nil"/>
              <w:bottom w:val="single" w:sz="4" w:space="0" w:color="auto"/>
              <w:right w:val="single" w:sz="4" w:space="0" w:color="auto"/>
            </w:tcBorders>
            <w:vAlign w:val="center"/>
            <w:hideMark/>
          </w:tcPr>
          <w:p w14:paraId="46B6919F"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2.2</w:t>
            </w:r>
          </w:p>
        </w:tc>
        <w:tc>
          <w:tcPr>
            <w:tcW w:w="3429" w:type="dxa"/>
            <w:tcBorders>
              <w:top w:val="nil"/>
              <w:left w:val="nil"/>
              <w:bottom w:val="single" w:sz="4" w:space="0" w:color="auto"/>
              <w:right w:val="single" w:sz="4" w:space="0" w:color="auto"/>
            </w:tcBorders>
            <w:vAlign w:val="center"/>
            <w:hideMark/>
          </w:tcPr>
          <w:p w14:paraId="64FD5A60"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of partner local governments which have in place water tariff setting procedure based on defined key principles (no. Of communal utilities / municipalities that have introduced cost effective tariff system)</w:t>
            </w:r>
          </w:p>
        </w:tc>
        <w:tc>
          <w:tcPr>
            <w:tcW w:w="1499" w:type="dxa"/>
            <w:tcBorders>
              <w:top w:val="nil"/>
              <w:left w:val="nil"/>
              <w:bottom w:val="single" w:sz="4" w:space="0" w:color="auto"/>
              <w:right w:val="single" w:sz="4" w:space="0" w:color="auto"/>
            </w:tcBorders>
            <w:noWrap/>
            <w:vAlign w:val="center"/>
            <w:hideMark/>
          </w:tcPr>
          <w:p w14:paraId="6680F801"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7CB7241D"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70% (18)</w:t>
            </w:r>
          </w:p>
        </w:tc>
        <w:tc>
          <w:tcPr>
            <w:tcW w:w="968" w:type="dxa"/>
            <w:tcBorders>
              <w:top w:val="nil"/>
              <w:left w:val="single" w:sz="8" w:space="0" w:color="auto"/>
              <w:bottom w:val="single" w:sz="4" w:space="0" w:color="auto"/>
              <w:right w:val="single" w:sz="4" w:space="0" w:color="auto"/>
            </w:tcBorders>
            <w:noWrap/>
            <w:vAlign w:val="center"/>
            <w:hideMark/>
          </w:tcPr>
          <w:p w14:paraId="18F16001"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45%</w:t>
            </w:r>
          </w:p>
        </w:tc>
        <w:tc>
          <w:tcPr>
            <w:tcW w:w="969" w:type="dxa"/>
            <w:tcBorders>
              <w:top w:val="nil"/>
              <w:left w:val="nil"/>
              <w:bottom w:val="single" w:sz="4" w:space="0" w:color="auto"/>
              <w:right w:val="single" w:sz="4" w:space="0" w:color="auto"/>
            </w:tcBorders>
            <w:noWrap/>
            <w:vAlign w:val="center"/>
            <w:hideMark/>
          </w:tcPr>
          <w:p w14:paraId="7EFCB664"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54%</w:t>
            </w:r>
          </w:p>
        </w:tc>
        <w:tc>
          <w:tcPr>
            <w:tcW w:w="969" w:type="dxa"/>
            <w:tcBorders>
              <w:top w:val="nil"/>
              <w:left w:val="nil"/>
              <w:bottom w:val="single" w:sz="4" w:space="0" w:color="auto"/>
              <w:right w:val="single" w:sz="4" w:space="0" w:color="auto"/>
            </w:tcBorders>
            <w:noWrap/>
            <w:vAlign w:val="center"/>
          </w:tcPr>
          <w:p w14:paraId="3FEE04BA"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67%</w:t>
            </w:r>
          </w:p>
        </w:tc>
        <w:tc>
          <w:tcPr>
            <w:tcW w:w="969" w:type="dxa"/>
            <w:tcBorders>
              <w:top w:val="nil"/>
              <w:left w:val="nil"/>
              <w:bottom w:val="single" w:sz="4" w:space="0" w:color="auto"/>
              <w:right w:val="single" w:sz="8" w:space="0" w:color="auto"/>
            </w:tcBorders>
            <w:noWrap/>
            <w:vAlign w:val="center"/>
            <w:hideMark/>
          </w:tcPr>
          <w:p w14:paraId="29382AB7" w14:textId="77777777" w:rsidR="00D12E01" w:rsidRPr="00557568" w:rsidRDefault="00D12E01">
            <w:pPr>
              <w:jc w:val="center"/>
              <w:rPr>
                <w:rFonts w:ascii="Calibri" w:hAnsi="Calibri" w:cs="Calibri"/>
                <w:sz w:val="18"/>
                <w:szCs w:val="18"/>
                <w:lang w:eastAsia="sr-Latn-BA"/>
              </w:rPr>
            </w:pPr>
            <w:r w:rsidRPr="00557568">
              <w:rPr>
                <w:rFonts w:ascii="Calibri" w:hAnsi="Calibri" w:cs="Calibri"/>
                <w:sz w:val="18"/>
                <w:szCs w:val="18"/>
                <w:lang w:eastAsia="sr-Latn-BA"/>
              </w:rPr>
              <w:t>65%</w:t>
            </w:r>
          </w:p>
        </w:tc>
        <w:tc>
          <w:tcPr>
            <w:tcW w:w="1632" w:type="dxa"/>
            <w:tcBorders>
              <w:top w:val="nil"/>
              <w:left w:val="nil"/>
              <w:bottom w:val="single" w:sz="4" w:space="0" w:color="auto"/>
              <w:right w:val="single" w:sz="8" w:space="0" w:color="auto"/>
            </w:tcBorders>
            <w:shd w:val="clear" w:color="auto" w:fill="B3E5A1" w:themeFill="accent6" w:themeFillTint="66"/>
            <w:vAlign w:val="center"/>
          </w:tcPr>
          <w:p w14:paraId="6ACB6B7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 xml:space="preserve">87% </w:t>
            </w:r>
          </w:p>
          <w:p w14:paraId="18E6D541"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(MEG2 LGs only)</w:t>
            </w:r>
          </w:p>
        </w:tc>
      </w:tr>
      <w:tr w:rsidR="00850353" w:rsidRPr="00D42106" w14:paraId="65C78026" w14:textId="77777777" w:rsidTr="0038576D">
        <w:trPr>
          <w:trHeight w:val="475"/>
        </w:trPr>
        <w:tc>
          <w:tcPr>
            <w:tcW w:w="2600" w:type="dxa"/>
            <w:vMerge w:val="restart"/>
            <w:tcBorders>
              <w:top w:val="single" w:sz="4" w:space="0" w:color="auto"/>
              <w:left w:val="single" w:sz="8" w:space="0" w:color="auto"/>
              <w:bottom w:val="single" w:sz="8" w:space="0" w:color="000000"/>
              <w:right w:val="single" w:sz="4" w:space="0" w:color="000000"/>
            </w:tcBorders>
            <w:vAlign w:val="center"/>
            <w:hideMark/>
          </w:tcPr>
          <w:p w14:paraId="2C7B3702" w14:textId="77777777" w:rsidR="00D12E01" w:rsidRPr="00D42106" w:rsidRDefault="00D12E01">
            <w:pPr>
              <w:jc w:val="center"/>
              <w:rPr>
                <w:rFonts w:ascii="Calibri" w:hAnsi="Calibri" w:cs="Calibri"/>
                <w:b/>
                <w:sz w:val="18"/>
                <w:szCs w:val="18"/>
                <w:lang w:eastAsia="sr-Latn-BA"/>
              </w:rPr>
            </w:pPr>
            <w:r w:rsidRPr="00D42106">
              <w:rPr>
                <w:rFonts w:ascii="Calibri" w:hAnsi="Calibri" w:cs="Calibri"/>
                <w:b/>
                <w:sz w:val="18"/>
                <w:szCs w:val="18"/>
                <w:lang w:eastAsia="sr-Latn-BA"/>
              </w:rPr>
              <w:t>Output 3.2 Financial and operational performance of water utilities improved</w:t>
            </w:r>
          </w:p>
        </w:tc>
        <w:tc>
          <w:tcPr>
            <w:tcW w:w="652" w:type="dxa"/>
            <w:tcBorders>
              <w:top w:val="nil"/>
              <w:left w:val="nil"/>
              <w:bottom w:val="single" w:sz="4" w:space="0" w:color="auto"/>
              <w:right w:val="single" w:sz="4" w:space="0" w:color="auto"/>
            </w:tcBorders>
            <w:vAlign w:val="center"/>
            <w:hideMark/>
          </w:tcPr>
          <w:p w14:paraId="0DFA1C79"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3.1</w:t>
            </w:r>
          </w:p>
        </w:tc>
        <w:tc>
          <w:tcPr>
            <w:tcW w:w="3429" w:type="dxa"/>
            <w:tcBorders>
              <w:top w:val="nil"/>
              <w:left w:val="nil"/>
              <w:bottom w:val="single" w:sz="4" w:space="0" w:color="auto"/>
              <w:right w:val="single" w:sz="4" w:space="0" w:color="auto"/>
            </w:tcBorders>
            <w:vAlign w:val="center"/>
            <w:hideMark/>
          </w:tcPr>
          <w:p w14:paraId="4F231224"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Average % of non-revenue water per partner local government water utility.</w:t>
            </w:r>
          </w:p>
        </w:tc>
        <w:tc>
          <w:tcPr>
            <w:tcW w:w="1499" w:type="dxa"/>
            <w:tcBorders>
              <w:top w:val="nil"/>
              <w:left w:val="nil"/>
              <w:bottom w:val="single" w:sz="4" w:space="0" w:color="auto"/>
              <w:right w:val="single" w:sz="4" w:space="0" w:color="auto"/>
            </w:tcBorders>
            <w:noWrap/>
            <w:vAlign w:val="center"/>
            <w:hideMark/>
          </w:tcPr>
          <w:p w14:paraId="0F7BD42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57,17%</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1C86DDA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12%</w:t>
            </w:r>
          </w:p>
        </w:tc>
        <w:tc>
          <w:tcPr>
            <w:tcW w:w="968" w:type="dxa"/>
            <w:tcBorders>
              <w:top w:val="nil"/>
              <w:left w:val="single" w:sz="8" w:space="0" w:color="auto"/>
              <w:bottom w:val="single" w:sz="4" w:space="0" w:color="auto"/>
              <w:right w:val="single" w:sz="4" w:space="0" w:color="auto"/>
            </w:tcBorders>
            <w:noWrap/>
            <w:vAlign w:val="center"/>
            <w:hideMark/>
          </w:tcPr>
          <w:p w14:paraId="7CF1D7FB"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45%</w:t>
            </w:r>
          </w:p>
        </w:tc>
        <w:tc>
          <w:tcPr>
            <w:tcW w:w="969" w:type="dxa"/>
            <w:tcBorders>
              <w:top w:val="nil"/>
              <w:left w:val="nil"/>
              <w:bottom w:val="single" w:sz="4" w:space="0" w:color="auto"/>
              <w:right w:val="single" w:sz="4" w:space="0" w:color="auto"/>
            </w:tcBorders>
            <w:noWrap/>
            <w:vAlign w:val="center"/>
            <w:hideMark/>
          </w:tcPr>
          <w:p w14:paraId="64F7BE9A"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58%</w:t>
            </w:r>
          </w:p>
        </w:tc>
        <w:tc>
          <w:tcPr>
            <w:tcW w:w="969" w:type="dxa"/>
            <w:tcBorders>
              <w:top w:val="nil"/>
              <w:left w:val="nil"/>
              <w:bottom w:val="single" w:sz="4" w:space="0" w:color="auto"/>
              <w:right w:val="single" w:sz="4" w:space="0" w:color="auto"/>
            </w:tcBorders>
            <w:noWrap/>
            <w:vAlign w:val="center"/>
          </w:tcPr>
          <w:p w14:paraId="0F5814E8"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60%</w:t>
            </w:r>
          </w:p>
        </w:tc>
        <w:tc>
          <w:tcPr>
            <w:tcW w:w="969" w:type="dxa"/>
            <w:tcBorders>
              <w:top w:val="nil"/>
              <w:left w:val="nil"/>
              <w:bottom w:val="single" w:sz="4" w:space="0" w:color="auto"/>
              <w:right w:val="single" w:sz="8" w:space="0" w:color="auto"/>
            </w:tcBorders>
            <w:noWrap/>
            <w:vAlign w:val="center"/>
            <w:hideMark/>
          </w:tcPr>
          <w:p w14:paraId="4126BE88" w14:textId="77777777" w:rsidR="00D12E01" w:rsidRPr="00557568" w:rsidRDefault="00D12E01">
            <w:pPr>
              <w:jc w:val="center"/>
              <w:rPr>
                <w:rFonts w:ascii="Calibri" w:hAnsi="Calibri" w:cs="Calibri"/>
                <w:sz w:val="18"/>
                <w:szCs w:val="18"/>
                <w:lang w:eastAsia="sr-Latn-BA"/>
              </w:rPr>
            </w:pPr>
            <w:r w:rsidRPr="00557568">
              <w:rPr>
                <w:rFonts w:ascii="Calibri" w:hAnsi="Calibri" w:cs="Calibri"/>
                <w:sz w:val="18"/>
                <w:szCs w:val="18"/>
                <w:lang w:eastAsia="sr-Latn-BA"/>
              </w:rPr>
              <w:t>60%</w:t>
            </w:r>
          </w:p>
        </w:tc>
        <w:tc>
          <w:tcPr>
            <w:tcW w:w="1632" w:type="dxa"/>
            <w:tcBorders>
              <w:top w:val="nil"/>
              <w:left w:val="nil"/>
              <w:bottom w:val="single" w:sz="4" w:space="0" w:color="auto"/>
              <w:right w:val="single" w:sz="8" w:space="0" w:color="auto"/>
            </w:tcBorders>
            <w:shd w:val="clear" w:color="auto" w:fill="FA807D"/>
            <w:vAlign w:val="center"/>
          </w:tcPr>
          <w:p w14:paraId="06682E5E"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60.3%</w:t>
            </w:r>
          </w:p>
        </w:tc>
      </w:tr>
      <w:tr w:rsidR="00D12E01" w:rsidRPr="00D42106" w14:paraId="622538F8" w14:textId="77777777" w:rsidTr="0038576D">
        <w:trPr>
          <w:trHeight w:val="484"/>
        </w:trPr>
        <w:tc>
          <w:tcPr>
            <w:tcW w:w="2600" w:type="dxa"/>
            <w:vMerge/>
            <w:tcBorders>
              <w:top w:val="single" w:sz="4" w:space="0" w:color="auto"/>
              <w:left w:val="single" w:sz="8" w:space="0" w:color="auto"/>
              <w:bottom w:val="single" w:sz="8" w:space="0" w:color="000000"/>
              <w:right w:val="single" w:sz="4" w:space="0" w:color="000000"/>
            </w:tcBorders>
            <w:vAlign w:val="center"/>
            <w:hideMark/>
          </w:tcPr>
          <w:p w14:paraId="318C0DE5" w14:textId="77777777" w:rsidR="00D12E01" w:rsidRPr="00D42106" w:rsidRDefault="00D12E01">
            <w:pPr>
              <w:rPr>
                <w:rFonts w:ascii="Calibri" w:hAnsi="Calibri" w:cs="Calibri"/>
                <w:b/>
                <w:sz w:val="18"/>
                <w:szCs w:val="18"/>
                <w:lang w:eastAsia="sr-Latn-BA"/>
              </w:rPr>
            </w:pPr>
          </w:p>
        </w:tc>
        <w:tc>
          <w:tcPr>
            <w:tcW w:w="652" w:type="dxa"/>
            <w:tcBorders>
              <w:top w:val="nil"/>
              <w:left w:val="nil"/>
              <w:bottom w:val="single" w:sz="4" w:space="0" w:color="auto"/>
              <w:right w:val="single" w:sz="4" w:space="0" w:color="auto"/>
            </w:tcBorders>
            <w:vAlign w:val="center"/>
            <w:hideMark/>
          </w:tcPr>
          <w:p w14:paraId="64FDC6BB"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3.3</w:t>
            </w:r>
          </w:p>
        </w:tc>
        <w:tc>
          <w:tcPr>
            <w:tcW w:w="3429" w:type="dxa"/>
            <w:tcBorders>
              <w:top w:val="nil"/>
              <w:left w:val="nil"/>
              <w:bottom w:val="single" w:sz="4" w:space="0" w:color="auto"/>
              <w:right w:val="single" w:sz="4" w:space="0" w:color="auto"/>
            </w:tcBorders>
            <w:vAlign w:val="center"/>
            <w:hideMark/>
          </w:tcPr>
          <w:p w14:paraId="76BDEB24"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Number of employees per thousand water supply connections.</w:t>
            </w:r>
          </w:p>
        </w:tc>
        <w:tc>
          <w:tcPr>
            <w:tcW w:w="1499" w:type="dxa"/>
            <w:tcBorders>
              <w:top w:val="nil"/>
              <w:left w:val="nil"/>
              <w:bottom w:val="single" w:sz="4" w:space="0" w:color="auto"/>
              <w:right w:val="single" w:sz="4" w:space="0" w:color="auto"/>
            </w:tcBorders>
            <w:noWrap/>
            <w:vAlign w:val="center"/>
            <w:hideMark/>
          </w:tcPr>
          <w:p w14:paraId="6EF2C3E7"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5,97</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72527079"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As defined by water tariff methodology</w:t>
            </w:r>
          </w:p>
        </w:tc>
        <w:tc>
          <w:tcPr>
            <w:tcW w:w="968" w:type="dxa"/>
            <w:tcBorders>
              <w:top w:val="nil"/>
              <w:left w:val="single" w:sz="8" w:space="0" w:color="auto"/>
              <w:bottom w:val="single" w:sz="4" w:space="0" w:color="auto"/>
              <w:right w:val="single" w:sz="4" w:space="0" w:color="auto"/>
            </w:tcBorders>
            <w:noWrap/>
            <w:vAlign w:val="center"/>
            <w:hideMark/>
          </w:tcPr>
          <w:p w14:paraId="5FB1C006"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5.97</w:t>
            </w:r>
          </w:p>
        </w:tc>
        <w:tc>
          <w:tcPr>
            <w:tcW w:w="969" w:type="dxa"/>
            <w:tcBorders>
              <w:top w:val="nil"/>
              <w:left w:val="nil"/>
              <w:bottom w:val="single" w:sz="4" w:space="0" w:color="auto"/>
              <w:right w:val="single" w:sz="4" w:space="0" w:color="auto"/>
            </w:tcBorders>
            <w:noWrap/>
            <w:vAlign w:val="center"/>
            <w:hideMark/>
          </w:tcPr>
          <w:p w14:paraId="41209FF0"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5.7</w:t>
            </w:r>
          </w:p>
        </w:tc>
        <w:tc>
          <w:tcPr>
            <w:tcW w:w="969" w:type="dxa"/>
            <w:tcBorders>
              <w:top w:val="nil"/>
              <w:left w:val="nil"/>
              <w:bottom w:val="single" w:sz="4" w:space="0" w:color="auto"/>
              <w:right w:val="single" w:sz="4" w:space="0" w:color="auto"/>
            </w:tcBorders>
            <w:noWrap/>
            <w:vAlign w:val="center"/>
          </w:tcPr>
          <w:p w14:paraId="1BA49A66"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5.4</w:t>
            </w:r>
          </w:p>
        </w:tc>
        <w:tc>
          <w:tcPr>
            <w:tcW w:w="969" w:type="dxa"/>
            <w:tcBorders>
              <w:top w:val="nil"/>
              <w:left w:val="nil"/>
              <w:bottom w:val="single" w:sz="4" w:space="0" w:color="auto"/>
              <w:right w:val="single" w:sz="8" w:space="0" w:color="auto"/>
            </w:tcBorders>
            <w:noWrap/>
            <w:vAlign w:val="center"/>
            <w:hideMark/>
          </w:tcPr>
          <w:p w14:paraId="14C3F73A" w14:textId="77777777" w:rsidR="00D12E01" w:rsidRPr="00557568" w:rsidRDefault="00D12E01">
            <w:pPr>
              <w:jc w:val="center"/>
              <w:rPr>
                <w:rFonts w:ascii="Calibri" w:hAnsi="Calibri" w:cs="Calibri"/>
                <w:sz w:val="18"/>
                <w:szCs w:val="18"/>
                <w:lang w:eastAsia="sr-Latn-BA"/>
              </w:rPr>
            </w:pPr>
            <w:r w:rsidRPr="00557568">
              <w:rPr>
                <w:rFonts w:ascii="Calibri" w:hAnsi="Calibri" w:cs="Calibri"/>
                <w:sz w:val="18"/>
                <w:szCs w:val="18"/>
                <w:lang w:eastAsia="sr-Latn-BA"/>
              </w:rPr>
              <w:t>5</w:t>
            </w:r>
          </w:p>
        </w:tc>
        <w:tc>
          <w:tcPr>
            <w:tcW w:w="1632" w:type="dxa"/>
            <w:tcBorders>
              <w:top w:val="nil"/>
              <w:left w:val="nil"/>
              <w:bottom w:val="single" w:sz="4" w:space="0" w:color="auto"/>
              <w:right w:val="single" w:sz="8" w:space="0" w:color="auto"/>
            </w:tcBorders>
            <w:vAlign w:val="center"/>
          </w:tcPr>
          <w:p w14:paraId="3CF01A1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5.098</w:t>
            </w:r>
          </w:p>
        </w:tc>
      </w:tr>
      <w:tr w:rsidR="00850353" w:rsidRPr="00D42106" w14:paraId="138DA39D" w14:textId="77777777" w:rsidTr="0038576D">
        <w:trPr>
          <w:trHeight w:val="289"/>
        </w:trPr>
        <w:tc>
          <w:tcPr>
            <w:tcW w:w="2600" w:type="dxa"/>
            <w:vMerge/>
            <w:tcBorders>
              <w:top w:val="single" w:sz="4" w:space="0" w:color="auto"/>
              <w:left w:val="single" w:sz="8" w:space="0" w:color="auto"/>
              <w:bottom w:val="single" w:sz="8" w:space="0" w:color="000000"/>
              <w:right w:val="single" w:sz="4" w:space="0" w:color="000000"/>
            </w:tcBorders>
            <w:vAlign w:val="center"/>
            <w:hideMark/>
          </w:tcPr>
          <w:p w14:paraId="49077BC7" w14:textId="77777777" w:rsidR="00D12E01" w:rsidRPr="00D42106" w:rsidRDefault="00D12E01">
            <w:pPr>
              <w:rPr>
                <w:rFonts w:ascii="Calibri" w:hAnsi="Calibri" w:cs="Calibri"/>
                <w:b/>
                <w:sz w:val="18"/>
                <w:szCs w:val="18"/>
                <w:lang w:eastAsia="sr-Latn-BA"/>
              </w:rPr>
            </w:pPr>
          </w:p>
        </w:tc>
        <w:tc>
          <w:tcPr>
            <w:tcW w:w="652" w:type="dxa"/>
            <w:tcBorders>
              <w:top w:val="nil"/>
              <w:left w:val="nil"/>
              <w:bottom w:val="single" w:sz="4" w:space="0" w:color="auto"/>
              <w:right w:val="single" w:sz="4" w:space="0" w:color="auto"/>
            </w:tcBorders>
            <w:vAlign w:val="center"/>
            <w:hideMark/>
          </w:tcPr>
          <w:p w14:paraId="3F245A88"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3.2</w:t>
            </w:r>
          </w:p>
        </w:tc>
        <w:tc>
          <w:tcPr>
            <w:tcW w:w="3429" w:type="dxa"/>
            <w:tcBorders>
              <w:top w:val="nil"/>
              <w:left w:val="nil"/>
              <w:bottom w:val="single" w:sz="4" w:space="0" w:color="auto"/>
              <w:right w:val="single" w:sz="4" w:space="0" w:color="auto"/>
            </w:tcBorders>
            <w:vAlign w:val="center"/>
            <w:hideMark/>
          </w:tcPr>
          <w:p w14:paraId="70B1FA0E"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Days sales outstanding (DSO)</w:t>
            </w:r>
          </w:p>
        </w:tc>
        <w:tc>
          <w:tcPr>
            <w:tcW w:w="1499" w:type="dxa"/>
            <w:tcBorders>
              <w:top w:val="nil"/>
              <w:left w:val="nil"/>
              <w:bottom w:val="single" w:sz="4" w:space="0" w:color="auto"/>
              <w:right w:val="single" w:sz="4" w:space="0" w:color="auto"/>
            </w:tcBorders>
            <w:noWrap/>
            <w:vAlign w:val="center"/>
            <w:hideMark/>
          </w:tcPr>
          <w:p w14:paraId="76D2E571"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185</w:t>
            </w:r>
          </w:p>
        </w:tc>
        <w:tc>
          <w:tcPr>
            <w:tcW w:w="990" w:type="dxa"/>
            <w:tcBorders>
              <w:top w:val="nil"/>
              <w:left w:val="single" w:sz="8" w:space="0" w:color="auto"/>
              <w:bottom w:val="single" w:sz="4" w:space="0" w:color="auto"/>
              <w:right w:val="single" w:sz="8" w:space="0" w:color="auto"/>
            </w:tcBorders>
            <w:shd w:val="clear" w:color="auto" w:fill="D9D9D9" w:themeFill="background1" w:themeFillShade="D9"/>
            <w:vAlign w:val="center"/>
          </w:tcPr>
          <w:p w14:paraId="13B911B8"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&lt;89</w:t>
            </w:r>
          </w:p>
        </w:tc>
        <w:tc>
          <w:tcPr>
            <w:tcW w:w="968" w:type="dxa"/>
            <w:tcBorders>
              <w:top w:val="nil"/>
              <w:left w:val="single" w:sz="8" w:space="0" w:color="auto"/>
              <w:bottom w:val="single" w:sz="4" w:space="0" w:color="auto"/>
              <w:right w:val="single" w:sz="4" w:space="0" w:color="auto"/>
            </w:tcBorders>
            <w:noWrap/>
            <w:vAlign w:val="center"/>
            <w:hideMark/>
          </w:tcPr>
          <w:p w14:paraId="3DE98873"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212</w:t>
            </w:r>
          </w:p>
        </w:tc>
        <w:tc>
          <w:tcPr>
            <w:tcW w:w="969" w:type="dxa"/>
            <w:tcBorders>
              <w:top w:val="nil"/>
              <w:left w:val="nil"/>
              <w:bottom w:val="single" w:sz="4" w:space="0" w:color="auto"/>
              <w:right w:val="single" w:sz="4" w:space="0" w:color="auto"/>
            </w:tcBorders>
            <w:noWrap/>
            <w:vAlign w:val="center"/>
            <w:hideMark/>
          </w:tcPr>
          <w:p w14:paraId="43247DFE"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196</w:t>
            </w:r>
          </w:p>
        </w:tc>
        <w:tc>
          <w:tcPr>
            <w:tcW w:w="969" w:type="dxa"/>
            <w:tcBorders>
              <w:top w:val="nil"/>
              <w:left w:val="nil"/>
              <w:bottom w:val="single" w:sz="4" w:space="0" w:color="auto"/>
              <w:right w:val="single" w:sz="4" w:space="0" w:color="auto"/>
            </w:tcBorders>
            <w:noWrap/>
            <w:vAlign w:val="center"/>
          </w:tcPr>
          <w:p w14:paraId="6A02476C"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232</w:t>
            </w:r>
          </w:p>
        </w:tc>
        <w:tc>
          <w:tcPr>
            <w:tcW w:w="969" w:type="dxa"/>
            <w:tcBorders>
              <w:top w:val="nil"/>
              <w:left w:val="nil"/>
              <w:bottom w:val="single" w:sz="4" w:space="0" w:color="auto"/>
              <w:right w:val="single" w:sz="8" w:space="0" w:color="auto"/>
            </w:tcBorders>
            <w:noWrap/>
            <w:vAlign w:val="center"/>
            <w:hideMark/>
          </w:tcPr>
          <w:p w14:paraId="747AE561" w14:textId="77777777" w:rsidR="00D12E01" w:rsidRPr="00557568" w:rsidRDefault="00D12E01">
            <w:pPr>
              <w:jc w:val="center"/>
              <w:rPr>
                <w:rFonts w:ascii="Calibri" w:hAnsi="Calibri" w:cs="Calibri"/>
                <w:sz w:val="18"/>
                <w:szCs w:val="18"/>
                <w:lang w:eastAsia="sr-Latn-BA"/>
              </w:rPr>
            </w:pPr>
            <w:r w:rsidRPr="00557568">
              <w:rPr>
                <w:rFonts w:ascii="Calibri" w:hAnsi="Calibri" w:cs="Calibri"/>
                <w:sz w:val="18"/>
                <w:szCs w:val="18"/>
                <w:lang w:eastAsia="sr-Latn-BA"/>
              </w:rPr>
              <w:t>108</w:t>
            </w:r>
          </w:p>
        </w:tc>
        <w:tc>
          <w:tcPr>
            <w:tcW w:w="1632" w:type="dxa"/>
            <w:tcBorders>
              <w:top w:val="nil"/>
              <w:left w:val="nil"/>
              <w:bottom w:val="single" w:sz="4" w:space="0" w:color="auto"/>
              <w:right w:val="single" w:sz="8" w:space="0" w:color="auto"/>
            </w:tcBorders>
            <w:shd w:val="clear" w:color="auto" w:fill="FA807D"/>
            <w:vAlign w:val="center"/>
          </w:tcPr>
          <w:p w14:paraId="29BEB0B4"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108</w:t>
            </w:r>
          </w:p>
        </w:tc>
      </w:tr>
      <w:tr w:rsidR="00850353" w:rsidRPr="00D42106" w14:paraId="280A2FFE" w14:textId="77777777" w:rsidTr="0038576D">
        <w:trPr>
          <w:trHeight w:val="484"/>
        </w:trPr>
        <w:tc>
          <w:tcPr>
            <w:tcW w:w="2600" w:type="dxa"/>
            <w:vMerge/>
            <w:tcBorders>
              <w:top w:val="single" w:sz="4" w:space="0" w:color="auto"/>
              <w:left w:val="single" w:sz="8" w:space="0" w:color="auto"/>
              <w:bottom w:val="single" w:sz="8" w:space="0" w:color="000000"/>
              <w:right w:val="single" w:sz="4" w:space="0" w:color="000000"/>
            </w:tcBorders>
            <w:vAlign w:val="center"/>
            <w:hideMark/>
          </w:tcPr>
          <w:p w14:paraId="3BCA76AE" w14:textId="77777777" w:rsidR="00D12E01" w:rsidRPr="00D42106" w:rsidRDefault="00D12E01">
            <w:pPr>
              <w:rPr>
                <w:rFonts w:ascii="Calibri" w:hAnsi="Calibri" w:cs="Calibri"/>
                <w:b/>
                <w:sz w:val="18"/>
                <w:szCs w:val="18"/>
                <w:lang w:eastAsia="sr-Latn-BA"/>
              </w:rPr>
            </w:pPr>
          </w:p>
        </w:tc>
        <w:tc>
          <w:tcPr>
            <w:tcW w:w="652" w:type="dxa"/>
            <w:tcBorders>
              <w:top w:val="nil"/>
              <w:left w:val="nil"/>
              <w:bottom w:val="single" w:sz="8" w:space="0" w:color="auto"/>
              <w:right w:val="single" w:sz="4" w:space="0" w:color="auto"/>
            </w:tcBorders>
            <w:vAlign w:val="center"/>
            <w:hideMark/>
          </w:tcPr>
          <w:p w14:paraId="6137D756" w14:textId="77777777" w:rsidR="00D12E01" w:rsidRPr="00D42106" w:rsidRDefault="00D12E01">
            <w:pPr>
              <w:rPr>
                <w:rFonts w:ascii="Calibri" w:hAnsi="Calibri" w:cs="Calibri"/>
                <w:b/>
                <w:sz w:val="18"/>
                <w:szCs w:val="18"/>
                <w:lang w:eastAsia="sr-Latn-BA"/>
              </w:rPr>
            </w:pPr>
            <w:r w:rsidRPr="00D42106">
              <w:rPr>
                <w:rFonts w:ascii="Calibri" w:hAnsi="Calibri" w:cs="Calibri"/>
                <w:b/>
                <w:sz w:val="18"/>
                <w:szCs w:val="18"/>
                <w:lang w:eastAsia="sr-Latn-BA"/>
              </w:rPr>
              <w:t>3.4</w:t>
            </w:r>
          </w:p>
        </w:tc>
        <w:tc>
          <w:tcPr>
            <w:tcW w:w="3429" w:type="dxa"/>
            <w:tcBorders>
              <w:top w:val="nil"/>
              <w:left w:val="nil"/>
              <w:bottom w:val="single" w:sz="8" w:space="0" w:color="auto"/>
              <w:right w:val="single" w:sz="4" w:space="0" w:color="auto"/>
            </w:tcBorders>
            <w:vAlign w:val="center"/>
            <w:hideMark/>
          </w:tcPr>
          <w:p w14:paraId="364CEE30" w14:textId="77777777" w:rsidR="00D12E01" w:rsidRPr="00D42106" w:rsidRDefault="00D12E01">
            <w:pPr>
              <w:jc w:val="both"/>
              <w:rPr>
                <w:rFonts w:ascii="Calibri" w:hAnsi="Calibri" w:cs="Calibri"/>
                <w:i/>
                <w:sz w:val="18"/>
                <w:szCs w:val="18"/>
                <w:lang w:eastAsia="sr-Latn-BA"/>
              </w:rPr>
            </w:pPr>
            <w:r w:rsidRPr="00D42106">
              <w:rPr>
                <w:rFonts w:ascii="Calibri" w:hAnsi="Calibri" w:cs="Calibri"/>
                <w:i/>
                <w:sz w:val="18"/>
                <w:szCs w:val="18"/>
                <w:lang w:eastAsia="sr-Latn-BA"/>
              </w:rPr>
              <w:t># of priority river sections cleaned from plastic and other waste</w:t>
            </w:r>
          </w:p>
        </w:tc>
        <w:tc>
          <w:tcPr>
            <w:tcW w:w="1499" w:type="dxa"/>
            <w:tcBorders>
              <w:top w:val="nil"/>
              <w:left w:val="nil"/>
              <w:bottom w:val="single" w:sz="8" w:space="0" w:color="auto"/>
              <w:right w:val="single" w:sz="4" w:space="0" w:color="auto"/>
            </w:tcBorders>
            <w:noWrap/>
            <w:vAlign w:val="center"/>
            <w:hideMark/>
          </w:tcPr>
          <w:p w14:paraId="405A6926"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c>
          <w:tcPr>
            <w:tcW w:w="990" w:type="dxa"/>
            <w:tcBorders>
              <w:top w:val="nil"/>
              <w:left w:val="single" w:sz="8" w:space="0" w:color="auto"/>
              <w:bottom w:val="single" w:sz="8" w:space="0" w:color="auto"/>
              <w:right w:val="single" w:sz="8" w:space="0" w:color="auto"/>
            </w:tcBorders>
            <w:shd w:val="clear" w:color="auto" w:fill="D9D9D9" w:themeFill="background1" w:themeFillShade="D9"/>
            <w:vAlign w:val="center"/>
          </w:tcPr>
          <w:p w14:paraId="6780BC1B"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&lt;90</w:t>
            </w:r>
          </w:p>
        </w:tc>
        <w:tc>
          <w:tcPr>
            <w:tcW w:w="968" w:type="dxa"/>
            <w:tcBorders>
              <w:top w:val="nil"/>
              <w:left w:val="single" w:sz="8" w:space="0" w:color="auto"/>
              <w:bottom w:val="single" w:sz="8" w:space="0" w:color="auto"/>
              <w:right w:val="single" w:sz="4" w:space="0" w:color="auto"/>
            </w:tcBorders>
            <w:noWrap/>
            <w:vAlign w:val="center"/>
            <w:hideMark/>
          </w:tcPr>
          <w:p w14:paraId="50BD47D3"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0</w:t>
            </w:r>
          </w:p>
        </w:tc>
        <w:tc>
          <w:tcPr>
            <w:tcW w:w="969" w:type="dxa"/>
            <w:tcBorders>
              <w:top w:val="nil"/>
              <w:left w:val="nil"/>
              <w:bottom w:val="single" w:sz="8" w:space="0" w:color="auto"/>
              <w:right w:val="single" w:sz="4" w:space="0" w:color="auto"/>
            </w:tcBorders>
            <w:noWrap/>
            <w:vAlign w:val="center"/>
            <w:hideMark/>
          </w:tcPr>
          <w:p w14:paraId="087958B3"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0</w:t>
            </w:r>
          </w:p>
        </w:tc>
        <w:tc>
          <w:tcPr>
            <w:tcW w:w="969" w:type="dxa"/>
            <w:tcBorders>
              <w:top w:val="nil"/>
              <w:left w:val="nil"/>
              <w:bottom w:val="single" w:sz="8" w:space="0" w:color="auto"/>
              <w:right w:val="single" w:sz="4" w:space="0" w:color="auto"/>
            </w:tcBorders>
            <w:noWrap/>
            <w:vAlign w:val="center"/>
          </w:tcPr>
          <w:p w14:paraId="324C85D9" w14:textId="77777777" w:rsidR="00D12E01" w:rsidRPr="00D42106" w:rsidRDefault="00D12E01">
            <w:pPr>
              <w:jc w:val="center"/>
              <w:rPr>
                <w:rFonts w:ascii="Calibri" w:hAnsi="Calibri" w:cs="Calibri"/>
                <w:sz w:val="18"/>
                <w:szCs w:val="18"/>
                <w:lang w:eastAsia="sr-Latn-BA"/>
              </w:rPr>
            </w:pPr>
            <w:r>
              <w:rPr>
                <w:rFonts w:ascii="Calibri" w:hAnsi="Calibri" w:cs="Calibri"/>
                <w:sz w:val="18"/>
                <w:szCs w:val="18"/>
                <w:lang w:eastAsia="sr-Latn-BA"/>
              </w:rPr>
              <w:t>0</w:t>
            </w:r>
          </w:p>
        </w:tc>
        <w:tc>
          <w:tcPr>
            <w:tcW w:w="969" w:type="dxa"/>
            <w:tcBorders>
              <w:top w:val="nil"/>
              <w:left w:val="nil"/>
              <w:bottom w:val="single" w:sz="8" w:space="0" w:color="auto"/>
              <w:right w:val="single" w:sz="8" w:space="0" w:color="auto"/>
            </w:tcBorders>
            <w:noWrap/>
            <w:vAlign w:val="center"/>
            <w:hideMark/>
          </w:tcPr>
          <w:p w14:paraId="3CB79FDD" w14:textId="77777777" w:rsidR="00D12E01" w:rsidRPr="00557568" w:rsidRDefault="00D12E01">
            <w:pPr>
              <w:jc w:val="center"/>
              <w:rPr>
                <w:rFonts w:ascii="Calibri" w:hAnsi="Calibri" w:cs="Calibri"/>
                <w:sz w:val="18"/>
                <w:szCs w:val="18"/>
                <w:lang w:eastAsia="sr-Latn-BA"/>
              </w:rPr>
            </w:pPr>
            <w:r w:rsidRPr="00557568">
              <w:rPr>
                <w:rFonts w:ascii="Calibri" w:hAnsi="Calibri" w:cs="Calibri"/>
                <w:sz w:val="18"/>
                <w:szCs w:val="18"/>
                <w:lang w:eastAsia="sr-Latn-BA"/>
              </w:rPr>
              <w:t>0</w:t>
            </w:r>
          </w:p>
        </w:tc>
        <w:tc>
          <w:tcPr>
            <w:tcW w:w="1632" w:type="dxa"/>
            <w:tcBorders>
              <w:top w:val="nil"/>
              <w:left w:val="nil"/>
              <w:bottom w:val="single" w:sz="8" w:space="0" w:color="auto"/>
              <w:right w:val="single" w:sz="8" w:space="0" w:color="auto"/>
            </w:tcBorders>
            <w:shd w:val="clear" w:color="auto" w:fill="FA807D"/>
            <w:vAlign w:val="center"/>
          </w:tcPr>
          <w:p w14:paraId="6B7CA671" w14:textId="77777777" w:rsidR="00D12E01" w:rsidRPr="00D42106" w:rsidRDefault="00D12E01">
            <w:pPr>
              <w:jc w:val="center"/>
              <w:rPr>
                <w:rFonts w:ascii="Calibri" w:hAnsi="Calibri" w:cs="Calibri"/>
                <w:sz w:val="18"/>
                <w:szCs w:val="18"/>
                <w:lang w:eastAsia="sr-Latn-BA"/>
              </w:rPr>
            </w:pPr>
            <w:r w:rsidRPr="00D42106">
              <w:rPr>
                <w:rFonts w:ascii="Calibri" w:hAnsi="Calibri" w:cs="Calibri"/>
                <w:sz w:val="18"/>
                <w:szCs w:val="18"/>
                <w:lang w:eastAsia="sr-Latn-BA"/>
              </w:rPr>
              <w:t>0</w:t>
            </w:r>
          </w:p>
        </w:tc>
      </w:tr>
    </w:tbl>
    <w:p w14:paraId="6BD0B296" w14:textId="77777777" w:rsidR="00312C7B" w:rsidRPr="00F569AE" w:rsidRDefault="00312C7B" w:rsidP="00312C7B">
      <w:pPr>
        <w:rPr>
          <w:b/>
          <w:sz w:val="32"/>
          <w:szCs w:val="32"/>
          <w:lang w:val="en-US"/>
        </w:rPr>
      </w:pPr>
    </w:p>
    <w:p w14:paraId="3D521690" w14:textId="77777777" w:rsidR="004A2470" w:rsidRPr="00F569AE" w:rsidRDefault="004A2470" w:rsidP="00312C7B">
      <w:pPr>
        <w:rPr>
          <w:lang w:val="en-US"/>
        </w:rPr>
      </w:pPr>
    </w:p>
    <w:p w14:paraId="77FB2F08" w14:textId="77777777" w:rsidR="00E544A2" w:rsidRPr="00F569AE" w:rsidRDefault="00E544A2" w:rsidP="00312C7B">
      <w:pPr>
        <w:rPr>
          <w:lang w:val="en-US"/>
        </w:rPr>
      </w:pPr>
    </w:p>
    <w:p w14:paraId="417734C4" w14:textId="77777777" w:rsidR="00E544A2" w:rsidRPr="00F569AE" w:rsidRDefault="00E544A2" w:rsidP="00312C7B">
      <w:pPr>
        <w:rPr>
          <w:lang w:val="en-US"/>
        </w:rPr>
      </w:pPr>
    </w:p>
    <w:p w14:paraId="03D928DC" w14:textId="77777777" w:rsidR="00E544A2" w:rsidRPr="00F569AE" w:rsidRDefault="00E544A2" w:rsidP="00312C7B">
      <w:pPr>
        <w:rPr>
          <w:lang w:val="en-US"/>
        </w:rPr>
      </w:pPr>
    </w:p>
    <w:p w14:paraId="39B16756" w14:textId="77777777" w:rsidR="002A7FBF" w:rsidRPr="00F569AE" w:rsidRDefault="002A7FBF" w:rsidP="00312C7B">
      <w:pPr>
        <w:rPr>
          <w:lang w:val="en-US"/>
        </w:rPr>
      </w:pPr>
    </w:p>
    <w:p w14:paraId="62B5ABD8" w14:textId="77777777" w:rsidR="002A7FBF" w:rsidRPr="00F569AE" w:rsidRDefault="002A7FBF" w:rsidP="00312C7B">
      <w:pPr>
        <w:rPr>
          <w:lang w:val="en-US"/>
        </w:rPr>
      </w:pPr>
    </w:p>
    <w:p w14:paraId="412DAC47" w14:textId="77777777" w:rsidR="00312C7B" w:rsidRDefault="00312C7B" w:rsidP="00312C7B">
      <w:pPr>
        <w:jc w:val="center"/>
        <w:rPr>
          <w:b/>
          <w:sz w:val="32"/>
          <w:szCs w:val="32"/>
          <w:lang w:val="en-US"/>
        </w:rPr>
      </w:pPr>
      <w:r w:rsidRPr="00F569AE">
        <w:rPr>
          <w:b/>
          <w:sz w:val="32"/>
          <w:szCs w:val="32"/>
          <w:lang w:val="en-US"/>
        </w:rPr>
        <w:lastRenderedPageBreak/>
        <w:t xml:space="preserve">Result Framework – EU4MEG </w:t>
      </w:r>
    </w:p>
    <w:p w14:paraId="4514A42C" w14:textId="77777777" w:rsidR="00D12E01" w:rsidRDefault="00D12E01" w:rsidP="00312C7B">
      <w:pPr>
        <w:jc w:val="center"/>
        <w:rPr>
          <w:b/>
          <w:sz w:val="32"/>
          <w:szCs w:val="3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978"/>
        <w:gridCol w:w="3588"/>
        <w:gridCol w:w="1842"/>
        <w:gridCol w:w="1844"/>
        <w:gridCol w:w="1621"/>
        <w:gridCol w:w="1139"/>
        <w:gridCol w:w="1393"/>
      </w:tblGrid>
      <w:tr w:rsidR="00D12E01" w:rsidRPr="00D42106" w14:paraId="07EC974D" w14:textId="77777777" w:rsidTr="003E7ED5">
        <w:tc>
          <w:tcPr>
            <w:tcW w:w="188" w:type="pct"/>
            <w:vMerge w:val="restart"/>
            <w:shd w:val="clear" w:color="auto" w:fill="D9D9D9" w:themeFill="background1" w:themeFillShade="D9"/>
            <w:textDirection w:val="btLr"/>
            <w:vAlign w:val="center"/>
          </w:tcPr>
          <w:p w14:paraId="14385106" w14:textId="77777777" w:rsidR="00D12E01" w:rsidRPr="00D42106" w:rsidRDefault="00D12E01">
            <w:pPr>
              <w:tabs>
                <w:tab w:val="left" w:pos="0"/>
                <w:tab w:val="left" w:pos="132"/>
              </w:tabs>
              <w:ind w:left="115" w:right="115"/>
              <w:jc w:val="center"/>
              <w:rPr>
                <w:sz w:val="20"/>
                <w:szCs w:val="20"/>
                <w:lang w:val="en-GB"/>
              </w:rPr>
            </w:pPr>
            <w:r w:rsidRPr="00D42106">
              <w:rPr>
                <w:b/>
                <w:sz w:val="20"/>
                <w:szCs w:val="20"/>
                <w:lang w:val="en-GB"/>
              </w:rPr>
              <w:t>Overall objective / Impact</w:t>
            </w:r>
          </w:p>
        </w:tc>
        <w:tc>
          <w:tcPr>
            <w:tcW w:w="710" w:type="pct"/>
            <w:vMerge w:val="restart"/>
            <w:shd w:val="clear" w:color="auto" w:fill="D9D9D9" w:themeFill="background1" w:themeFillShade="D9"/>
            <w:vAlign w:val="center"/>
          </w:tcPr>
          <w:p w14:paraId="4F892227" w14:textId="77777777" w:rsidR="00D12E01" w:rsidRPr="00D42106" w:rsidRDefault="00D12E01">
            <w:pPr>
              <w:jc w:val="center"/>
              <w:rPr>
                <w:b/>
                <w:sz w:val="20"/>
                <w:szCs w:val="20"/>
                <w:lang w:val="en-GB"/>
              </w:rPr>
            </w:pPr>
            <w:r w:rsidRPr="00D42106">
              <w:rPr>
                <w:b/>
                <w:sz w:val="20"/>
                <w:szCs w:val="20"/>
                <w:lang w:val="en-GB"/>
              </w:rPr>
              <w:t>Intervention logic</w:t>
            </w:r>
          </w:p>
        </w:tc>
        <w:tc>
          <w:tcPr>
            <w:tcW w:w="3602" w:type="pct"/>
            <w:gridSpan w:val="5"/>
            <w:shd w:val="clear" w:color="auto" w:fill="D9D9D9" w:themeFill="background1" w:themeFillShade="D9"/>
          </w:tcPr>
          <w:p w14:paraId="5AF01D3D" w14:textId="77777777" w:rsidR="00D12E01" w:rsidRPr="00D42106" w:rsidRDefault="00D12E01">
            <w:pPr>
              <w:jc w:val="center"/>
              <w:rPr>
                <w:b/>
                <w:sz w:val="20"/>
                <w:szCs w:val="20"/>
                <w:lang w:val="en-GB"/>
              </w:rPr>
            </w:pPr>
            <w:r w:rsidRPr="00D42106">
              <w:rPr>
                <w:b/>
                <w:sz w:val="20"/>
                <w:szCs w:val="20"/>
                <w:lang w:val="en-GB"/>
              </w:rPr>
              <w:t>Objectively verifiable indicators</w:t>
            </w:r>
          </w:p>
        </w:tc>
        <w:tc>
          <w:tcPr>
            <w:tcW w:w="500" w:type="pct"/>
            <w:vMerge w:val="restart"/>
            <w:shd w:val="clear" w:color="auto" w:fill="D9D9D9" w:themeFill="background1" w:themeFillShade="D9"/>
            <w:vAlign w:val="center"/>
          </w:tcPr>
          <w:p w14:paraId="489E9CA7" w14:textId="77777777" w:rsidR="00D12E01" w:rsidRPr="00D42106" w:rsidRDefault="00D12E01">
            <w:pPr>
              <w:jc w:val="center"/>
              <w:rPr>
                <w:b/>
                <w:sz w:val="20"/>
                <w:szCs w:val="20"/>
                <w:lang w:val="en-GB"/>
              </w:rPr>
            </w:pPr>
            <w:r w:rsidRPr="00D42106">
              <w:rPr>
                <w:b/>
                <w:sz w:val="20"/>
                <w:szCs w:val="20"/>
                <w:lang w:val="en-GB"/>
              </w:rPr>
              <w:t>Assumptions</w:t>
            </w:r>
          </w:p>
        </w:tc>
      </w:tr>
      <w:tr w:rsidR="003E7ED5" w:rsidRPr="00D42106" w14:paraId="6B2EC898" w14:textId="77777777" w:rsidTr="003E7ED5">
        <w:tc>
          <w:tcPr>
            <w:tcW w:w="188" w:type="pct"/>
            <w:vMerge/>
            <w:shd w:val="clear" w:color="auto" w:fill="D9D9D9" w:themeFill="background1" w:themeFillShade="D9"/>
          </w:tcPr>
          <w:p w14:paraId="1A751647" w14:textId="77777777" w:rsidR="00D12E01" w:rsidRPr="00D42106" w:rsidRDefault="00D12E01">
            <w:pPr>
              <w:tabs>
                <w:tab w:val="left" w:pos="0"/>
                <w:tab w:val="left" w:pos="132"/>
              </w:tabs>
              <w:ind w:left="115" w:right="115"/>
              <w:jc w:val="center"/>
              <w:rPr>
                <w:sz w:val="20"/>
                <w:szCs w:val="20"/>
                <w:lang w:val="en-GB"/>
              </w:rPr>
            </w:pPr>
          </w:p>
        </w:tc>
        <w:tc>
          <w:tcPr>
            <w:tcW w:w="710" w:type="pct"/>
            <w:vMerge/>
            <w:tcBorders>
              <w:bottom w:val="single" w:sz="4" w:space="0" w:color="auto"/>
            </w:tcBorders>
            <w:shd w:val="clear" w:color="auto" w:fill="D9D9D9" w:themeFill="background1" w:themeFillShade="D9"/>
          </w:tcPr>
          <w:p w14:paraId="18E46934" w14:textId="77777777" w:rsidR="00D12E01" w:rsidRPr="00D42106" w:rsidRDefault="00D12E01">
            <w:pPr>
              <w:jc w:val="center"/>
              <w:rPr>
                <w:b/>
                <w:sz w:val="20"/>
                <w:szCs w:val="20"/>
                <w:lang w:val="en-GB"/>
              </w:rPr>
            </w:pPr>
          </w:p>
        </w:tc>
        <w:tc>
          <w:tcPr>
            <w:tcW w:w="1288" w:type="pct"/>
            <w:tcBorders>
              <w:bottom w:val="single" w:sz="4" w:space="0" w:color="auto"/>
            </w:tcBorders>
            <w:shd w:val="clear" w:color="auto" w:fill="D9D9D9" w:themeFill="background1" w:themeFillShade="D9"/>
            <w:vAlign w:val="center"/>
          </w:tcPr>
          <w:p w14:paraId="0DA4A757" w14:textId="77777777" w:rsidR="00D12E01" w:rsidRPr="00D42106" w:rsidRDefault="00D12E01">
            <w:pPr>
              <w:jc w:val="center"/>
              <w:rPr>
                <w:b/>
                <w:sz w:val="20"/>
                <w:szCs w:val="20"/>
                <w:lang w:val="en-GB"/>
              </w:rPr>
            </w:pPr>
            <w:r w:rsidRPr="00D42106">
              <w:rPr>
                <w:b/>
                <w:sz w:val="20"/>
                <w:szCs w:val="20"/>
                <w:lang w:val="en-GB"/>
              </w:rPr>
              <w:t>Indicators</w:t>
            </w:r>
          </w:p>
        </w:tc>
        <w:tc>
          <w:tcPr>
            <w:tcW w:w="661" w:type="pct"/>
            <w:tcBorders>
              <w:bottom w:val="single" w:sz="4" w:space="0" w:color="auto"/>
            </w:tcBorders>
            <w:shd w:val="clear" w:color="auto" w:fill="D9D9D9" w:themeFill="background1" w:themeFillShade="D9"/>
            <w:vAlign w:val="center"/>
          </w:tcPr>
          <w:p w14:paraId="00B477F8" w14:textId="77777777" w:rsidR="00D12E01" w:rsidRPr="00D42106" w:rsidRDefault="00D12E01">
            <w:pPr>
              <w:jc w:val="center"/>
              <w:rPr>
                <w:b/>
                <w:sz w:val="20"/>
                <w:szCs w:val="20"/>
                <w:lang w:val="en-GB"/>
              </w:rPr>
            </w:pPr>
            <w:r w:rsidRPr="00D42106">
              <w:rPr>
                <w:b/>
                <w:sz w:val="20"/>
                <w:szCs w:val="20"/>
                <w:lang w:val="en-GB"/>
              </w:rPr>
              <w:t>Baseline</w:t>
            </w:r>
          </w:p>
          <w:p w14:paraId="266B23E3" w14:textId="77777777" w:rsidR="00D12E01" w:rsidRPr="00D42106" w:rsidRDefault="00D12E01">
            <w:pPr>
              <w:jc w:val="center"/>
              <w:rPr>
                <w:b/>
                <w:sz w:val="20"/>
                <w:szCs w:val="20"/>
                <w:lang w:val="en-GB"/>
              </w:rPr>
            </w:pPr>
            <w:r w:rsidRPr="00D42106">
              <w:rPr>
                <w:b/>
                <w:sz w:val="20"/>
                <w:szCs w:val="20"/>
                <w:lang w:val="en-GB"/>
              </w:rPr>
              <w:t>(ref. year)</w:t>
            </w:r>
          </w:p>
        </w:tc>
        <w:tc>
          <w:tcPr>
            <w:tcW w:w="662" w:type="pct"/>
            <w:tcBorders>
              <w:bottom w:val="single" w:sz="4" w:space="0" w:color="auto"/>
            </w:tcBorders>
            <w:shd w:val="clear" w:color="auto" w:fill="D9D9D9" w:themeFill="background1" w:themeFillShade="D9"/>
            <w:vAlign w:val="center"/>
          </w:tcPr>
          <w:p w14:paraId="774C772E" w14:textId="77777777" w:rsidR="00D12E01" w:rsidRPr="00D42106" w:rsidRDefault="00D12E01">
            <w:pPr>
              <w:jc w:val="center"/>
              <w:rPr>
                <w:b/>
                <w:sz w:val="20"/>
                <w:szCs w:val="20"/>
                <w:lang w:val="en-GB"/>
              </w:rPr>
            </w:pPr>
            <w:r w:rsidRPr="00D42106">
              <w:rPr>
                <w:b/>
                <w:sz w:val="20"/>
                <w:szCs w:val="20"/>
                <w:lang w:val="en-GB"/>
              </w:rPr>
              <w:t>Targets</w:t>
            </w:r>
          </w:p>
          <w:p w14:paraId="4B85227F" w14:textId="77777777" w:rsidR="00D12E01" w:rsidRPr="00D42106" w:rsidRDefault="00D12E01">
            <w:pPr>
              <w:jc w:val="center"/>
              <w:rPr>
                <w:b/>
                <w:sz w:val="20"/>
                <w:szCs w:val="20"/>
                <w:lang w:val="en-GB"/>
              </w:rPr>
            </w:pPr>
            <w:r w:rsidRPr="00D42106">
              <w:rPr>
                <w:b/>
                <w:sz w:val="20"/>
                <w:szCs w:val="20"/>
                <w:lang w:val="en-GB"/>
              </w:rPr>
              <w:t>(ref. year)</w:t>
            </w:r>
          </w:p>
        </w:tc>
        <w:tc>
          <w:tcPr>
            <w:tcW w:w="582" w:type="pct"/>
            <w:tcBorders>
              <w:bottom w:val="single" w:sz="4" w:space="0" w:color="auto"/>
            </w:tcBorders>
            <w:shd w:val="clear" w:color="auto" w:fill="D9D9D9" w:themeFill="background1" w:themeFillShade="D9"/>
          </w:tcPr>
          <w:p w14:paraId="4D895141" w14:textId="77777777" w:rsidR="00D12E01" w:rsidRPr="00D42106" w:rsidRDefault="00D12E01">
            <w:pPr>
              <w:jc w:val="center"/>
              <w:rPr>
                <w:b/>
                <w:sz w:val="20"/>
                <w:szCs w:val="20"/>
                <w:lang w:val="en-GB"/>
              </w:rPr>
            </w:pPr>
            <w:r w:rsidRPr="00D42106">
              <w:rPr>
                <w:b/>
                <w:sz w:val="20"/>
                <w:szCs w:val="20"/>
                <w:lang w:val="en-GB"/>
              </w:rPr>
              <w:t>Current value</w:t>
            </w:r>
          </w:p>
          <w:p w14:paraId="27FF12C4" w14:textId="77777777" w:rsidR="00D12E01" w:rsidRPr="00D42106" w:rsidRDefault="00D12E01">
            <w:pPr>
              <w:jc w:val="center"/>
              <w:rPr>
                <w:b/>
                <w:sz w:val="20"/>
                <w:szCs w:val="20"/>
                <w:lang w:val="en-GB"/>
              </w:rPr>
            </w:pPr>
            <w:r w:rsidRPr="00D42106">
              <w:rPr>
                <w:b/>
                <w:sz w:val="20"/>
                <w:szCs w:val="20"/>
                <w:lang w:val="en-GB"/>
              </w:rPr>
              <w:t>(04 May 2025)</w:t>
            </w:r>
          </w:p>
        </w:tc>
        <w:tc>
          <w:tcPr>
            <w:tcW w:w="409" w:type="pct"/>
            <w:tcBorders>
              <w:bottom w:val="single" w:sz="4" w:space="0" w:color="auto"/>
            </w:tcBorders>
            <w:shd w:val="clear" w:color="auto" w:fill="D9D9D9" w:themeFill="background1" w:themeFillShade="D9"/>
            <w:vAlign w:val="center"/>
          </w:tcPr>
          <w:p w14:paraId="7F7FAF1C" w14:textId="77777777" w:rsidR="00D12E01" w:rsidRPr="00D42106" w:rsidRDefault="00D12E01">
            <w:pPr>
              <w:jc w:val="center"/>
              <w:rPr>
                <w:b/>
                <w:sz w:val="20"/>
                <w:szCs w:val="20"/>
                <w:lang w:val="en-GB"/>
              </w:rPr>
            </w:pPr>
            <w:r w:rsidRPr="00D42106">
              <w:rPr>
                <w:b/>
                <w:sz w:val="20"/>
                <w:szCs w:val="20"/>
                <w:lang w:val="en-GB"/>
              </w:rPr>
              <w:t>Sources of verification</w:t>
            </w:r>
          </w:p>
        </w:tc>
        <w:tc>
          <w:tcPr>
            <w:tcW w:w="500" w:type="pct"/>
            <w:vMerge/>
            <w:shd w:val="clear" w:color="auto" w:fill="D9D9D9" w:themeFill="background1" w:themeFillShade="D9"/>
          </w:tcPr>
          <w:p w14:paraId="606DB111" w14:textId="77777777" w:rsidR="00D12E01" w:rsidRPr="00D42106" w:rsidRDefault="00D12E01">
            <w:pPr>
              <w:jc w:val="center"/>
              <w:rPr>
                <w:b/>
                <w:sz w:val="20"/>
                <w:szCs w:val="20"/>
                <w:lang w:val="en-GB"/>
              </w:rPr>
            </w:pPr>
          </w:p>
        </w:tc>
      </w:tr>
      <w:tr w:rsidR="00D12E01" w:rsidRPr="00D42106" w14:paraId="287EA44E" w14:textId="77777777" w:rsidTr="003E7ED5">
        <w:trPr>
          <w:trHeight w:val="2089"/>
        </w:trPr>
        <w:tc>
          <w:tcPr>
            <w:tcW w:w="188" w:type="pct"/>
            <w:vMerge/>
            <w:shd w:val="clear" w:color="auto" w:fill="D9D9D9"/>
            <w:textDirection w:val="btLr"/>
            <w:vAlign w:val="center"/>
          </w:tcPr>
          <w:p w14:paraId="7CD24CE0" w14:textId="77777777" w:rsidR="00D12E01" w:rsidRPr="00D42106" w:rsidRDefault="00D12E01">
            <w:pPr>
              <w:tabs>
                <w:tab w:val="left" w:pos="0"/>
                <w:tab w:val="left" w:pos="132"/>
              </w:tabs>
              <w:ind w:left="115" w:right="115"/>
              <w:jc w:val="center"/>
              <w:rPr>
                <w:b/>
                <w:sz w:val="20"/>
                <w:szCs w:val="20"/>
                <w:lang w:val="en-GB"/>
              </w:rPr>
            </w:pPr>
          </w:p>
        </w:tc>
        <w:tc>
          <w:tcPr>
            <w:tcW w:w="710" w:type="pct"/>
            <w:vMerge w:val="restart"/>
            <w:vAlign w:val="center"/>
          </w:tcPr>
          <w:p w14:paraId="2ADC2F87" w14:textId="77777777" w:rsidR="00D12E01" w:rsidRPr="00D42106" w:rsidRDefault="00D12E01">
            <w:pPr>
              <w:pStyle w:val="Default"/>
              <w:rPr>
                <w:color w:val="auto"/>
                <w:sz w:val="20"/>
                <w:szCs w:val="20"/>
                <w:lang w:val="en-GB"/>
              </w:rPr>
            </w:pPr>
            <w:r w:rsidRPr="00D42106">
              <w:rPr>
                <w:color w:val="auto"/>
                <w:sz w:val="20"/>
                <w:szCs w:val="20"/>
                <w:lang w:val="en-GB"/>
              </w:rPr>
              <w:t xml:space="preserve">To enhance administrative capacities in the field of water management in line with the environmental </w:t>
            </w:r>
            <w:r w:rsidRPr="00D42106">
              <w:rPr>
                <w:i/>
                <w:color w:val="auto"/>
                <w:sz w:val="20"/>
                <w:szCs w:val="20"/>
                <w:lang w:val="en-GB"/>
              </w:rPr>
              <w:t>acquis</w:t>
            </w:r>
            <w:r w:rsidRPr="00D42106">
              <w:rPr>
                <w:color w:val="auto"/>
                <w:sz w:val="20"/>
                <w:szCs w:val="20"/>
                <w:lang w:val="en-GB"/>
              </w:rPr>
              <w:t xml:space="preserve"> and </w:t>
            </w:r>
            <w:r w:rsidRPr="00042F3A">
              <w:rPr>
                <w:color w:val="auto"/>
                <w:sz w:val="20"/>
                <w:szCs w:val="20"/>
                <w:highlight w:val="yellow"/>
                <w:lang w:val="en-GB"/>
              </w:rPr>
              <w:t>improve environmental infrastructure.</w:t>
            </w:r>
          </w:p>
          <w:p w14:paraId="5C181526" w14:textId="77777777" w:rsidR="00D12E01" w:rsidRPr="00D42106" w:rsidRDefault="00D12E01">
            <w:pPr>
              <w:pStyle w:val="Default"/>
              <w:rPr>
                <w:bCs/>
                <w:i/>
                <w:iCs/>
                <w:color w:val="auto"/>
                <w:sz w:val="20"/>
                <w:szCs w:val="20"/>
                <w:lang w:val="en-GB"/>
              </w:rPr>
            </w:pPr>
          </w:p>
        </w:tc>
        <w:tc>
          <w:tcPr>
            <w:tcW w:w="1288" w:type="pct"/>
            <w:vAlign w:val="center"/>
          </w:tcPr>
          <w:p w14:paraId="22F03B1B" w14:textId="77777777" w:rsidR="00D12E01" w:rsidRPr="00D42106" w:rsidRDefault="00D12E01">
            <w:pPr>
              <w:pStyle w:val="Default"/>
              <w:rPr>
                <w:color w:val="auto"/>
                <w:sz w:val="20"/>
                <w:szCs w:val="20"/>
                <w:lang w:val="en-GB"/>
              </w:rPr>
            </w:pPr>
            <w:r w:rsidRPr="00D42106">
              <w:rPr>
                <w:color w:val="auto"/>
                <w:sz w:val="20"/>
                <w:szCs w:val="20"/>
                <w:lang w:val="en-GB"/>
              </w:rPr>
              <w:t>Progress achieved in aligning policies and regulations with the acquis, according to an inclusive and evidence-based approach.</w:t>
            </w:r>
          </w:p>
        </w:tc>
        <w:tc>
          <w:tcPr>
            <w:tcW w:w="661" w:type="pct"/>
            <w:vAlign w:val="center"/>
          </w:tcPr>
          <w:p w14:paraId="75184EA7" w14:textId="77777777" w:rsidR="00D12E01" w:rsidRPr="00D42106" w:rsidRDefault="00D12E01">
            <w:pPr>
              <w:jc w:val="center"/>
              <w:rPr>
                <w:sz w:val="20"/>
                <w:szCs w:val="20"/>
                <w:lang w:val="en-GB"/>
              </w:rPr>
            </w:pPr>
            <w:r w:rsidRPr="00D42106">
              <w:rPr>
                <w:rFonts w:eastAsia="Helvetica"/>
                <w:spacing w:val="-4"/>
                <w:sz w:val="20"/>
                <w:szCs w:val="20"/>
                <w:lang w:val="en-GB"/>
              </w:rPr>
              <w:t>Limited progress</w:t>
            </w:r>
          </w:p>
        </w:tc>
        <w:tc>
          <w:tcPr>
            <w:tcW w:w="662" w:type="pct"/>
            <w:vAlign w:val="center"/>
          </w:tcPr>
          <w:p w14:paraId="408E4053" w14:textId="77777777" w:rsidR="00D12E01" w:rsidRPr="00D42106" w:rsidRDefault="00D12E01">
            <w:pPr>
              <w:jc w:val="center"/>
              <w:rPr>
                <w:rFonts w:eastAsia="Helvetica"/>
                <w:sz w:val="20"/>
                <w:szCs w:val="20"/>
                <w:lang w:val="en-GB"/>
              </w:rPr>
            </w:pPr>
            <w:r w:rsidRPr="00D42106">
              <w:rPr>
                <w:rFonts w:eastAsia="Helvetica"/>
                <w:spacing w:val="-6"/>
                <w:sz w:val="20"/>
                <w:szCs w:val="20"/>
                <w:lang w:val="en-GB"/>
              </w:rPr>
              <w:t>Limited progress -</w:t>
            </w:r>
            <w:r w:rsidRPr="00D42106">
              <w:rPr>
                <w:rFonts w:eastAsia="Helvetica"/>
                <w:sz w:val="20"/>
                <w:szCs w:val="20"/>
                <w:lang w:val="en-GB"/>
              </w:rPr>
              <w:t xml:space="preserve"> Implementation of envisaged activities is on-going and BIH has some level of preparation in this area. (2024)</w:t>
            </w:r>
          </w:p>
        </w:tc>
        <w:tc>
          <w:tcPr>
            <w:tcW w:w="582" w:type="pct"/>
            <w:shd w:val="clear" w:color="auto" w:fill="D9F2D0" w:themeFill="accent6" w:themeFillTint="33"/>
          </w:tcPr>
          <w:p w14:paraId="2C4679F5" w14:textId="77777777" w:rsidR="00D12E01" w:rsidRPr="00D42106" w:rsidRDefault="00D12E01">
            <w:pPr>
              <w:numPr>
                <w:ilvl w:val="12"/>
                <w:numId w:val="0"/>
              </w:numPr>
              <w:jc w:val="center"/>
              <w:rPr>
                <w:b/>
                <w:bCs/>
                <w:spacing w:val="-2"/>
                <w:sz w:val="20"/>
                <w:szCs w:val="20"/>
                <w:lang w:val="en-GB"/>
              </w:rPr>
            </w:pPr>
            <w:r w:rsidRPr="00D42106">
              <w:rPr>
                <w:b/>
                <w:bCs/>
                <w:spacing w:val="-2"/>
                <w:sz w:val="20"/>
                <w:szCs w:val="20"/>
                <w:lang w:val="en-GB"/>
              </w:rPr>
              <w:t>Increased progress – newly developed Laws on water services and benchmarking system are aligned to relevant EU acquis.</w:t>
            </w:r>
          </w:p>
        </w:tc>
        <w:tc>
          <w:tcPr>
            <w:tcW w:w="409" w:type="pct"/>
            <w:vMerge w:val="restart"/>
            <w:vAlign w:val="center"/>
          </w:tcPr>
          <w:p w14:paraId="26C1829F" w14:textId="77777777" w:rsidR="00D12E01" w:rsidRPr="00D42106" w:rsidRDefault="00D12E01">
            <w:pPr>
              <w:numPr>
                <w:ilvl w:val="12"/>
                <w:numId w:val="0"/>
              </w:numPr>
              <w:rPr>
                <w:spacing w:val="-2"/>
                <w:sz w:val="20"/>
                <w:szCs w:val="20"/>
                <w:lang w:val="en-GB"/>
              </w:rPr>
            </w:pPr>
            <w:r w:rsidRPr="00D42106">
              <w:rPr>
                <w:spacing w:val="-2"/>
                <w:sz w:val="20"/>
                <w:szCs w:val="20"/>
                <w:lang w:val="en-GB"/>
              </w:rPr>
              <w:t>EC BIH Country Reports</w:t>
            </w:r>
          </w:p>
          <w:p w14:paraId="68BCE6B3" w14:textId="77777777" w:rsidR="00D12E01" w:rsidRPr="00D42106" w:rsidRDefault="00D12E01">
            <w:pPr>
              <w:autoSpaceDE w:val="0"/>
              <w:autoSpaceDN w:val="0"/>
              <w:adjustRightInd w:val="0"/>
              <w:rPr>
                <w:sz w:val="20"/>
                <w:szCs w:val="20"/>
                <w:lang w:val="en-GB"/>
              </w:rPr>
            </w:pPr>
            <w:r w:rsidRPr="00D42106">
              <w:rPr>
                <w:spacing w:val="-2"/>
                <w:sz w:val="20"/>
                <w:szCs w:val="20"/>
                <w:lang w:val="en-GB"/>
              </w:rPr>
              <w:t>Opinion of the administrative bodies on level of legal harmonization</w:t>
            </w:r>
            <w:r w:rsidRPr="00D42106">
              <w:rPr>
                <w:sz w:val="20"/>
                <w:szCs w:val="20"/>
                <w:lang w:val="en-GB"/>
              </w:rPr>
              <w:t xml:space="preserve"> (2020)</w:t>
            </w:r>
          </w:p>
          <w:p w14:paraId="31EB522C" w14:textId="77777777" w:rsidR="00D12E01" w:rsidRPr="00D42106" w:rsidRDefault="00D12E01">
            <w:pPr>
              <w:autoSpaceDE w:val="0"/>
              <w:autoSpaceDN w:val="0"/>
              <w:adjustRightInd w:val="0"/>
              <w:rPr>
                <w:rFonts w:eastAsia="Helvetica"/>
                <w:sz w:val="20"/>
                <w:szCs w:val="20"/>
                <w:lang w:val="en-GB"/>
              </w:rPr>
            </w:pPr>
          </w:p>
          <w:p w14:paraId="2BBC201A" w14:textId="77777777" w:rsidR="00D12E01" w:rsidRPr="00D42106" w:rsidRDefault="00D12E01">
            <w:pPr>
              <w:autoSpaceDE w:val="0"/>
              <w:autoSpaceDN w:val="0"/>
              <w:adjustRightInd w:val="0"/>
              <w:rPr>
                <w:rFonts w:eastAsia="Helvetica"/>
                <w:sz w:val="20"/>
                <w:szCs w:val="20"/>
                <w:lang w:val="en-GB"/>
              </w:rPr>
            </w:pPr>
            <w:r w:rsidRPr="00D42106">
              <w:rPr>
                <w:rFonts w:eastAsia="Helvetica"/>
                <w:sz w:val="20"/>
                <w:szCs w:val="20"/>
                <w:lang w:val="en-GB"/>
              </w:rPr>
              <w:t xml:space="preserve">Official </w:t>
            </w:r>
            <w:r w:rsidRPr="00D42106">
              <w:rPr>
                <w:rFonts w:eastAsia="Helvetica"/>
                <w:spacing w:val="-6"/>
                <w:sz w:val="20"/>
                <w:szCs w:val="20"/>
                <w:lang w:val="en-GB"/>
              </w:rPr>
              <w:t xml:space="preserve">Government </w:t>
            </w:r>
            <w:r w:rsidRPr="00D42106">
              <w:rPr>
                <w:rFonts w:eastAsia="Helvetica"/>
                <w:sz w:val="20"/>
                <w:szCs w:val="20"/>
                <w:lang w:val="en-GB"/>
              </w:rPr>
              <w:t>documents</w:t>
            </w:r>
          </w:p>
        </w:tc>
        <w:tc>
          <w:tcPr>
            <w:tcW w:w="500" w:type="pct"/>
            <w:vMerge w:val="restart"/>
            <w:vAlign w:val="center"/>
          </w:tcPr>
          <w:p w14:paraId="6B284F2C" w14:textId="77777777" w:rsidR="00D12E01" w:rsidRPr="00D42106" w:rsidRDefault="00D12E01">
            <w:pPr>
              <w:numPr>
                <w:ilvl w:val="12"/>
                <w:numId w:val="0"/>
              </w:numPr>
              <w:rPr>
                <w:sz w:val="20"/>
                <w:szCs w:val="20"/>
                <w:lang w:val="en-GB"/>
              </w:rPr>
            </w:pPr>
            <w:r w:rsidRPr="00D42106">
              <w:rPr>
                <w:sz w:val="20"/>
                <w:szCs w:val="20"/>
                <w:lang w:val="en-GB"/>
              </w:rPr>
              <w:t>BIH remains committed to progress in fulfilling SAA requirements.</w:t>
            </w:r>
          </w:p>
          <w:p w14:paraId="04724100" w14:textId="77777777" w:rsidR="00D12E01" w:rsidRPr="00D42106" w:rsidRDefault="00D12E01">
            <w:pPr>
              <w:numPr>
                <w:ilvl w:val="12"/>
                <w:numId w:val="0"/>
              </w:numPr>
              <w:spacing w:before="60"/>
              <w:rPr>
                <w:sz w:val="20"/>
                <w:szCs w:val="20"/>
                <w:lang w:val="en-GB"/>
              </w:rPr>
            </w:pPr>
            <w:r w:rsidRPr="00D42106">
              <w:rPr>
                <w:sz w:val="20"/>
                <w:szCs w:val="20"/>
                <w:lang w:val="en-GB"/>
              </w:rPr>
              <w:t>Momentum for reform in the sector is maintained.</w:t>
            </w:r>
          </w:p>
          <w:p w14:paraId="2E3453C6" w14:textId="77777777" w:rsidR="00D12E01" w:rsidRPr="00D42106" w:rsidRDefault="00D12E01">
            <w:pPr>
              <w:rPr>
                <w:sz w:val="20"/>
                <w:szCs w:val="20"/>
                <w:lang w:val="en-GB"/>
              </w:rPr>
            </w:pPr>
            <w:r w:rsidRPr="00D42106">
              <w:rPr>
                <w:sz w:val="20"/>
                <w:szCs w:val="20"/>
                <w:lang w:val="en-GB"/>
              </w:rPr>
              <w:t>Increased budget allocation for the sector reforms</w:t>
            </w:r>
          </w:p>
        </w:tc>
      </w:tr>
      <w:tr w:rsidR="003E7ED5" w:rsidRPr="00D42106" w14:paraId="33C24704" w14:textId="77777777" w:rsidTr="003E7ED5">
        <w:trPr>
          <w:trHeight w:val="1981"/>
        </w:trPr>
        <w:tc>
          <w:tcPr>
            <w:tcW w:w="188" w:type="pct"/>
            <w:vMerge/>
            <w:shd w:val="clear" w:color="auto" w:fill="D9D9D9"/>
            <w:textDirection w:val="btLr"/>
            <w:vAlign w:val="center"/>
          </w:tcPr>
          <w:p w14:paraId="1D7201DB" w14:textId="77777777" w:rsidR="00D12E01" w:rsidRPr="00D42106" w:rsidRDefault="00D12E01">
            <w:pPr>
              <w:tabs>
                <w:tab w:val="left" w:pos="0"/>
                <w:tab w:val="left" w:pos="132"/>
              </w:tabs>
              <w:ind w:left="115" w:right="115"/>
              <w:jc w:val="center"/>
              <w:rPr>
                <w:b/>
                <w:sz w:val="20"/>
                <w:szCs w:val="20"/>
                <w:lang w:val="en-GB"/>
              </w:rPr>
            </w:pPr>
          </w:p>
        </w:tc>
        <w:tc>
          <w:tcPr>
            <w:tcW w:w="710" w:type="pct"/>
            <w:vMerge/>
            <w:vAlign w:val="center"/>
          </w:tcPr>
          <w:p w14:paraId="39BDE6E8" w14:textId="77777777" w:rsidR="00D12E01" w:rsidRPr="00D42106" w:rsidRDefault="00D12E01">
            <w:pPr>
              <w:pStyle w:val="Default"/>
              <w:rPr>
                <w:color w:val="auto"/>
                <w:sz w:val="20"/>
                <w:szCs w:val="20"/>
                <w:lang w:val="en-GB"/>
              </w:rPr>
            </w:pPr>
          </w:p>
        </w:tc>
        <w:tc>
          <w:tcPr>
            <w:tcW w:w="1288" w:type="pct"/>
            <w:vAlign w:val="center"/>
          </w:tcPr>
          <w:p w14:paraId="45501C89" w14:textId="77777777" w:rsidR="00D12E01" w:rsidRPr="00D42106" w:rsidRDefault="00D12E01">
            <w:pPr>
              <w:pStyle w:val="Default"/>
              <w:rPr>
                <w:color w:val="auto"/>
                <w:spacing w:val="-6"/>
                <w:sz w:val="20"/>
                <w:szCs w:val="20"/>
                <w:lang w:val="en-GB"/>
              </w:rPr>
            </w:pPr>
            <w:r w:rsidRPr="00D42106">
              <w:rPr>
                <w:color w:val="auto"/>
                <w:spacing w:val="-6"/>
                <w:sz w:val="20"/>
                <w:szCs w:val="20"/>
                <w:lang w:val="en-GB"/>
              </w:rPr>
              <w:t>Existence of country-wide harmonized regulatory framework fully aligned with the EU Water Acquis and functional institutional setup at competent government levels, which enable sustainable and quality water supply and wastewater management services.</w:t>
            </w:r>
          </w:p>
        </w:tc>
        <w:tc>
          <w:tcPr>
            <w:tcW w:w="661" w:type="pct"/>
            <w:vAlign w:val="center"/>
          </w:tcPr>
          <w:p w14:paraId="2D638DD6" w14:textId="77777777" w:rsidR="00D12E01" w:rsidRPr="00D42106" w:rsidRDefault="00D12E01">
            <w:pPr>
              <w:jc w:val="center"/>
              <w:rPr>
                <w:rFonts w:eastAsia="Helvetica"/>
                <w:sz w:val="20"/>
                <w:szCs w:val="20"/>
                <w:lang w:val="en-GB"/>
              </w:rPr>
            </w:pPr>
            <w:r w:rsidRPr="00D42106">
              <w:rPr>
                <w:sz w:val="20"/>
                <w:szCs w:val="20"/>
                <w:lang w:val="en-GB"/>
              </w:rPr>
              <w:t>No (2021)</w:t>
            </w:r>
          </w:p>
        </w:tc>
        <w:tc>
          <w:tcPr>
            <w:tcW w:w="662" w:type="pct"/>
            <w:vAlign w:val="center"/>
          </w:tcPr>
          <w:p w14:paraId="5F450AF4" w14:textId="77777777" w:rsidR="00D12E01" w:rsidRPr="00D42106" w:rsidRDefault="00D12E01">
            <w:pPr>
              <w:jc w:val="center"/>
              <w:rPr>
                <w:rFonts w:eastAsia="Helvetica"/>
                <w:sz w:val="20"/>
                <w:szCs w:val="20"/>
                <w:lang w:val="en-GB"/>
              </w:rPr>
            </w:pPr>
            <w:r w:rsidRPr="00D42106">
              <w:rPr>
                <w:sz w:val="20"/>
                <w:szCs w:val="20"/>
                <w:lang w:val="en-GB"/>
              </w:rPr>
              <w:t>Yes</w:t>
            </w:r>
            <w:r w:rsidRPr="00D42106">
              <w:rPr>
                <w:sz w:val="20"/>
                <w:szCs w:val="20"/>
                <w:vertAlign w:val="superscript"/>
                <w:lang w:val="en-GB"/>
              </w:rPr>
              <w:footnoteReference w:id="49"/>
            </w:r>
            <w:r w:rsidRPr="00D42106">
              <w:rPr>
                <w:sz w:val="20"/>
                <w:szCs w:val="20"/>
                <w:lang w:val="en-GB"/>
              </w:rPr>
              <w:t xml:space="preserve"> (2024)</w:t>
            </w:r>
          </w:p>
        </w:tc>
        <w:tc>
          <w:tcPr>
            <w:tcW w:w="582" w:type="pct"/>
            <w:shd w:val="clear" w:color="auto" w:fill="FA807D"/>
            <w:vAlign w:val="center"/>
          </w:tcPr>
          <w:p w14:paraId="76C22607" w14:textId="77777777" w:rsidR="00D12E01" w:rsidRPr="00D42106" w:rsidRDefault="00D12E01">
            <w:pPr>
              <w:numPr>
                <w:ilvl w:val="12"/>
                <w:numId w:val="0"/>
              </w:numPr>
              <w:jc w:val="center"/>
              <w:rPr>
                <w:b/>
                <w:bCs/>
                <w:sz w:val="20"/>
                <w:szCs w:val="20"/>
                <w:lang w:val="en-GB"/>
              </w:rPr>
            </w:pPr>
            <w:r w:rsidRPr="00D42106">
              <w:rPr>
                <w:b/>
                <w:bCs/>
                <w:sz w:val="20"/>
                <w:szCs w:val="20"/>
                <w:lang w:val="en-GB"/>
              </w:rPr>
              <w:t>No</w:t>
            </w:r>
          </w:p>
        </w:tc>
        <w:tc>
          <w:tcPr>
            <w:tcW w:w="409" w:type="pct"/>
            <w:vMerge/>
            <w:vAlign w:val="center"/>
          </w:tcPr>
          <w:p w14:paraId="1139D042" w14:textId="77777777" w:rsidR="00D12E01" w:rsidRPr="00D42106" w:rsidRDefault="00D12E01">
            <w:pPr>
              <w:numPr>
                <w:ilvl w:val="12"/>
                <w:numId w:val="0"/>
              </w:numPr>
              <w:rPr>
                <w:sz w:val="20"/>
                <w:szCs w:val="20"/>
                <w:lang w:val="en-GB"/>
              </w:rPr>
            </w:pPr>
          </w:p>
        </w:tc>
        <w:tc>
          <w:tcPr>
            <w:tcW w:w="500" w:type="pct"/>
            <w:vMerge/>
            <w:vAlign w:val="center"/>
          </w:tcPr>
          <w:p w14:paraId="71F7353D" w14:textId="77777777" w:rsidR="00D12E01" w:rsidRPr="00D42106" w:rsidRDefault="00D12E01">
            <w:pPr>
              <w:numPr>
                <w:ilvl w:val="12"/>
                <w:numId w:val="0"/>
              </w:numPr>
              <w:rPr>
                <w:sz w:val="20"/>
                <w:szCs w:val="20"/>
                <w:lang w:val="en-GB"/>
              </w:rPr>
            </w:pPr>
          </w:p>
        </w:tc>
      </w:tr>
      <w:tr w:rsidR="003E7ED5" w:rsidRPr="00D42106" w14:paraId="355BD8AB" w14:textId="77777777" w:rsidTr="003E7ED5">
        <w:trPr>
          <w:trHeight w:val="520"/>
        </w:trPr>
        <w:tc>
          <w:tcPr>
            <w:tcW w:w="188" w:type="pct"/>
            <w:vMerge w:val="restart"/>
            <w:shd w:val="clear" w:color="auto" w:fill="D9D9D9"/>
            <w:textDirection w:val="btLr"/>
            <w:vAlign w:val="center"/>
          </w:tcPr>
          <w:p w14:paraId="3F2B46D6" w14:textId="77777777" w:rsidR="00D12E01" w:rsidRPr="00D42106" w:rsidRDefault="00D12E01">
            <w:pPr>
              <w:tabs>
                <w:tab w:val="left" w:pos="0"/>
                <w:tab w:val="left" w:pos="132"/>
              </w:tabs>
              <w:ind w:left="115" w:right="115" w:hanging="101"/>
              <w:jc w:val="center"/>
              <w:rPr>
                <w:b/>
                <w:sz w:val="20"/>
                <w:szCs w:val="20"/>
                <w:lang w:val="en-GB"/>
              </w:rPr>
            </w:pPr>
            <w:r w:rsidRPr="00D42106">
              <w:rPr>
                <w:b/>
                <w:sz w:val="20"/>
                <w:szCs w:val="20"/>
                <w:lang w:val="en-GB"/>
              </w:rPr>
              <w:t>Specific objective / Outcome</w:t>
            </w:r>
          </w:p>
        </w:tc>
        <w:tc>
          <w:tcPr>
            <w:tcW w:w="710" w:type="pct"/>
            <w:vMerge w:val="restart"/>
            <w:vAlign w:val="center"/>
          </w:tcPr>
          <w:p w14:paraId="7A49462C" w14:textId="77777777" w:rsidR="00D12E01" w:rsidRPr="00D42106" w:rsidRDefault="00D12E01">
            <w:pPr>
              <w:pStyle w:val="Default"/>
              <w:rPr>
                <w:color w:val="auto"/>
                <w:sz w:val="20"/>
                <w:szCs w:val="20"/>
                <w:lang w:val="en-GB"/>
              </w:rPr>
            </w:pPr>
            <w:r w:rsidRPr="00D42106">
              <w:rPr>
                <w:color w:val="auto"/>
                <w:sz w:val="20"/>
                <w:szCs w:val="20"/>
                <w:lang w:val="en-GB"/>
              </w:rPr>
              <w:t xml:space="preserve">Support country-wide harmonised reform, </w:t>
            </w:r>
            <w:r w:rsidRPr="00D42106">
              <w:rPr>
                <w:color w:val="auto"/>
                <w:sz w:val="20"/>
                <w:szCs w:val="20"/>
                <w:lang w:val="en-GB"/>
              </w:rPr>
              <w:lastRenderedPageBreak/>
              <w:t>implementation of cost-reflective tariff systems, sustainability of investments and improved provision of water and wastewater services in targeted municipalities</w:t>
            </w:r>
          </w:p>
        </w:tc>
        <w:tc>
          <w:tcPr>
            <w:tcW w:w="1288" w:type="pct"/>
            <w:vAlign w:val="center"/>
          </w:tcPr>
          <w:p w14:paraId="6815FC4B" w14:textId="77777777" w:rsidR="00D12E01" w:rsidRPr="00D42106" w:rsidRDefault="00D12E01">
            <w:pPr>
              <w:pStyle w:val="Default"/>
              <w:rPr>
                <w:rFonts w:eastAsia="Helvetica"/>
                <w:color w:val="auto"/>
                <w:sz w:val="20"/>
                <w:szCs w:val="20"/>
                <w:lang w:val="en-GB"/>
              </w:rPr>
            </w:pPr>
            <w:r w:rsidRPr="00D42106">
              <w:rPr>
                <w:rFonts w:eastAsia="Helvetica"/>
                <w:color w:val="auto"/>
                <w:sz w:val="20"/>
                <w:szCs w:val="20"/>
                <w:lang w:val="en-GB"/>
              </w:rPr>
              <w:lastRenderedPageBreak/>
              <w:t>No. of communal utilities/ municipalities that have introduced cost reflective tariff system</w:t>
            </w:r>
          </w:p>
        </w:tc>
        <w:tc>
          <w:tcPr>
            <w:tcW w:w="661" w:type="pct"/>
            <w:vAlign w:val="center"/>
          </w:tcPr>
          <w:p w14:paraId="2E7CC242" w14:textId="77777777" w:rsidR="00D12E01" w:rsidRPr="00D42106" w:rsidRDefault="00D12E01">
            <w:pPr>
              <w:spacing w:before="60" w:after="60"/>
              <w:jc w:val="center"/>
              <w:rPr>
                <w:rFonts w:eastAsia="Helvetica"/>
                <w:sz w:val="20"/>
                <w:szCs w:val="20"/>
                <w:lang w:val="en-GB"/>
              </w:rPr>
            </w:pPr>
            <w:r w:rsidRPr="00D42106">
              <w:rPr>
                <w:rFonts w:eastAsia="Helvetica"/>
                <w:sz w:val="20"/>
                <w:szCs w:val="20"/>
                <w:lang w:val="en-GB"/>
              </w:rPr>
              <w:t>20 (2021)</w:t>
            </w:r>
          </w:p>
        </w:tc>
        <w:tc>
          <w:tcPr>
            <w:tcW w:w="662" w:type="pct"/>
            <w:vAlign w:val="center"/>
          </w:tcPr>
          <w:p w14:paraId="03351EDE" w14:textId="77777777" w:rsidR="00D12E01" w:rsidRPr="00D42106" w:rsidRDefault="00D12E01">
            <w:pPr>
              <w:spacing w:before="60" w:after="60"/>
              <w:jc w:val="center"/>
              <w:rPr>
                <w:rFonts w:eastAsia="Helvetica"/>
                <w:sz w:val="20"/>
                <w:szCs w:val="20"/>
                <w:lang w:val="en-GB"/>
              </w:rPr>
            </w:pPr>
            <w:r w:rsidRPr="00D42106">
              <w:rPr>
                <w:rFonts w:eastAsia="Helvetica"/>
                <w:sz w:val="20"/>
                <w:szCs w:val="20"/>
                <w:lang w:val="en-GB"/>
              </w:rPr>
              <w:t>45 (2024)</w:t>
            </w:r>
          </w:p>
        </w:tc>
        <w:tc>
          <w:tcPr>
            <w:tcW w:w="582" w:type="pct"/>
            <w:shd w:val="clear" w:color="auto" w:fill="FA807D"/>
            <w:vAlign w:val="center"/>
          </w:tcPr>
          <w:p w14:paraId="27EDE9AA" w14:textId="77777777" w:rsidR="00D12E01" w:rsidRPr="00D42106" w:rsidRDefault="00D12E01">
            <w:pPr>
              <w:spacing w:before="60" w:after="60"/>
              <w:jc w:val="center"/>
              <w:rPr>
                <w:rFonts w:eastAsia="Helvetica"/>
                <w:b/>
                <w:sz w:val="20"/>
                <w:szCs w:val="20"/>
                <w:lang w:val="en-GB"/>
              </w:rPr>
            </w:pPr>
            <w:r w:rsidRPr="00D42106">
              <w:rPr>
                <w:rFonts w:eastAsia="Helvetica"/>
                <w:b/>
                <w:sz w:val="20"/>
                <w:szCs w:val="20"/>
                <w:lang w:val="en-GB"/>
              </w:rPr>
              <w:t>44</w:t>
            </w:r>
          </w:p>
        </w:tc>
        <w:tc>
          <w:tcPr>
            <w:tcW w:w="409" w:type="pct"/>
            <w:vMerge w:val="restart"/>
            <w:vAlign w:val="center"/>
          </w:tcPr>
          <w:p w14:paraId="6D29EF61" w14:textId="77777777" w:rsidR="00D12E01" w:rsidRPr="00D42106" w:rsidRDefault="00D12E01">
            <w:pPr>
              <w:spacing w:before="60" w:after="60"/>
              <w:rPr>
                <w:rFonts w:eastAsia="Helvetica"/>
                <w:sz w:val="20"/>
                <w:szCs w:val="20"/>
                <w:lang w:val="en-GB"/>
              </w:rPr>
            </w:pPr>
            <w:r w:rsidRPr="00D42106">
              <w:rPr>
                <w:rFonts w:eastAsia="Helvetica"/>
                <w:sz w:val="20"/>
                <w:szCs w:val="20"/>
                <w:lang w:val="en-GB"/>
              </w:rPr>
              <w:t>Action reports</w:t>
            </w:r>
          </w:p>
          <w:p w14:paraId="7CD15E29" w14:textId="77777777" w:rsidR="00D12E01" w:rsidRPr="00D42106" w:rsidRDefault="00D12E01">
            <w:pPr>
              <w:spacing w:before="60" w:after="60"/>
              <w:rPr>
                <w:rFonts w:eastAsia="Helvetica"/>
                <w:sz w:val="20"/>
                <w:szCs w:val="20"/>
                <w:lang w:val="en-GB"/>
              </w:rPr>
            </w:pPr>
            <w:r w:rsidRPr="00D42106">
              <w:rPr>
                <w:rFonts w:eastAsia="Helvetica"/>
                <w:sz w:val="20"/>
                <w:szCs w:val="20"/>
                <w:lang w:val="en-GB"/>
              </w:rPr>
              <w:lastRenderedPageBreak/>
              <w:t>Decisions made by local authorities</w:t>
            </w:r>
          </w:p>
          <w:p w14:paraId="071649C0" w14:textId="77777777" w:rsidR="00D12E01" w:rsidRPr="00D42106" w:rsidRDefault="00D12E01">
            <w:pPr>
              <w:rPr>
                <w:sz w:val="20"/>
                <w:szCs w:val="20"/>
                <w:lang w:val="en-GB"/>
              </w:rPr>
            </w:pPr>
            <w:r w:rsidRPr="00D42106">
              <w:rPr>
                <w:sz w:val="20"/>
                <w:szCs w:val="20"/>
                <w:lang w:val="en-GB"/>
              </w:rPr>
              <w:t>Media coverage</w:t>
            </w:r>
          </w:p>
        </w:tc>
        <w:tc>
          <w:tcPr>
            <w:tcW w:w="500" w:type="pct"/>
            <w:vMerge w:val="restart"/>
            <w:vAlign w:val="center"/>
          </w:tcPr>
          <w:p w14:paraId="7D181227" w14:textId="77777777" w:rsidR="00D12E01" w:rsidRPr="00D42106" w:rsidRDefault="00D12E01">
            <w:pPr>
              <w:autoSpaceDE w:val="0"/>
              <w:autoSpaceDN w:val="0"/>
              <w:adjustRightInd w:val="0"/>
              <w:rPr>
                <w:spacing w:val="-3"/>
                <w:sz w:val="20"/>
                <w:szCs w:val="20"/>
                <w:lang w:val="en-GB"/>
              </w:rPr>
            </w:pPr>
            <w:r w:rsidRPr="00D42106">
              <w:rPr>
                <w:spacing w:val="-3"/>
                <w:sz w:val="20"/>
                <w:szCs w:val="20"/>
                <w:lang w:val="en-GB"/>
              </w:rPr>
              <w:lastRenderedPageBreak/>
              <w:t xml:space="preserve">Commitment of local government </w:t>
            </w:r>
            <w:r w:rsidRPr="00D42106">
              <w:rPr>
                <w:spacing w:val="-3"/>
                <w:sz w:val="20"/>
                <w:szCs w:val="20"/>
                <w:lang w:val="en-GB"/>
              </w:rPr>
              <w:lastRenderedPageBreak/>
              <w:t>leadership and staff to embrace new work approaches and processes.</w:t>
            </w:r>
          </w:p>
          <w:p w14:paraId="1F7D6658" w14:textId="77777777" w:rsidR="00D12E01" w:rsidRPr="00D42106" w:rsidRDefault="00D12E01">
            <w:pPr>
              <w:autoSpaceDE w:val="0"/>
              <w:autoSpaceDN w:val="0"/>
              <w:adjustRightInd w:val="0"/>
              <w:rPr>
                <w:sz w:val="8"/>
                <w:szCs w:val="8"/>
                <w:lang w:val="en-GB"/>
              </w:rPr>
            </w:pPr>
          </w:p>
          <w:p w14:paraId="28CC0155" w14:textId="77777777" w:rsidR="00D12E01" w:rsidRPr="00D42106" w:rsidRDefault="00D12E01">
            <w:pPr>
              <w:autoSpaceDE w:val="0"/>
              <w:autoSpaceDN w:val="0"/>
              <w:adjustRightInd w:val="0"/>
              <w:rPr>
                <w:sz w:val="20"/>
                <w:szCs w:val="20"/>
                <w:lang w:val="en-GB"/>
              </w:rPr>
            </w:pPr>
            <w:r w:rsidRPr="00D42106">
              <w:rPr>
                <w:sz w:val="20"/>
                <w:szCs w:val="20"/>
                <w:lang w:val="en-GB"/>
              </w:rPr>
              <w:t>Commitment by water utilities management to improve effectiveness and efficiency.</w:t>
            </w:r>
          </w:p>
        </w:tc>
      </w:tr>
      <w:tr w:rsidR="00D12E01" w:rsidRPr="00D42106" w14:paraId="7EAE3DE5" w14:textId="77777777" w:rsidTr="003E7ED5">
        <w:trPr>
          <w:trHeight w:val="3241"/>
        </w:trPr>
        <w:tc>
          <w:tcPr>
            <w:tcW w:w="188" w:type="pct"/>
            <w:vMerge/>
            <w:shd w:val="clear" w:color="auto" w:fill="D9D9D9"/>
            <w:textDirection w:val="btLr"/>
            <w:vAlign w:val="center"/>
          </w:tcPr>
          <w:p w14:paraId="1F93FA34" w14:textId="77777777" w:rsidR="00D12E01" w:rsidRPr="00D42106" w:rsidRDefault="00D12E01">
            <w:pPr>
              <w:tabs>
                <w:tab w:val="left" w:pos="0"/>
                <w:tab w:val="left" w:pos="132"/>
              </w:tabs>
              <w:ind w:left="115" w:right="115" w:hanging="101"/>
              <w:jc w:val="center"/>
              <w:rPr>
                <w:b/>
                <w:sz w:val="20"/>
                <w:szCs w:val="20"/>
                <w:lang w:val="en-GB"/>
              </w:rPr>
            </w:pPr>
          </w:p>
        </w:tc>
        <w:tc>
          <w:tcPr>
            <w:tcW w:w="710" w:type="pct"/>
            <w:vMerge/>
            <w:vAlign w:val="center"/>
          </w:tcPr>
          <w:p w14:paraId="0AF26DD1" w14:textId="77777777" w:rsidR="00D12E01" w:rsidRPr="00D42106" w:rsidRDefault="00D12E01">
            <w:pPr>
              <w:pStyle w:val="Default"/>
              <w:rPr>
                <w:color w:val="auto"/>
                <w:sz w:val="20"/>
                <w:szCs w:val="20"/>
                <w:lang w:val="en-GB"/>
              </w:rPr>
            </w:pPr>
          </w:p>
        </w:tc>
        <w:tc>
          <w:tcPr>
            <w:tcW w:w="1288" w:type="pct"/>
            <w:vAlign w:val="center"/>
          </w:tcPr>
          <w:p w14:paraId="116BA500" w14:textId="77777777" w:rsidR="00D12E01" w:rsidRPr="00D42106" w:rsidRDefault="00D12E01">
            <w:pPr>
              <w:pStyle w:val="Default"/>
              <w:rPr>
                <w:color w:val="auto"/>
                <w:sz w:val="20"/>
                <w:szCs w:val="20"/>
                <w:lang w:val="en-GB"/>
              </w:rPr>
            </w:pPr>
            <w:r w:rsidRPr="00D42106">
              <w:rPr>
                <w:color w:val="auto"/>
                <w:sz w:val="20"/>
                <w:szCs w:val="20"/>
                <w:lang w:val="en-GB"/>
              </w:rPr>
              <w:t>% of local governments with adequate governance arrangements and frameworks to enable effective and sustainable water services</w:t>
            </w:r>
            <w:r w:rsidRPr="00D42106">
              <w:rPr>
                <w:color w:val="auto"/>
                <w:sz w:val="20"/>
                <w:szCs w:val="20"/>
                <w:vertAlign w:val="superscript"/>
                <w:lang w:val="en-GB"/>
              </w:rPr>
              <w:footnoteReference w:id="50"/>
            </w:r>
            <w:r w:rsidRPr="00D42106">
              <w:rPr>
                <w:color w:val="auto"/>
                <w:sz w:val="20"/>
                <w:szCs w:val="20"/>
                <w:lang w:val="en-GB"/>
              </w:rPr>
              <w:t>.</w:t>
            </w:r>
          </w:p>
        </w:tc>
        <w:tc>
          <w:tcPr>
            <w:tcW w:w="661" w:type="pct"/>
            <w:vAlign w:val="center"/>
          </w:tcPr>
          <w:p w14:paraId="69A59BB5" w14:textId="77777777" w:rsidR="00D12E01" w:rsidRPr="00D42106" w:rsidRDefault="00D12E01">
            <w:pPr>
              <w:spacing w:before="60" w:after="60"/>
              <w:jc w:val="center"/>
              <w:rPr>
                <w:rFonts w:eastAsia="Helvetica"/>
                <w:sz w:val="20"/>
                <w:szCs w:val="20"/>
                <w:lang w:val="en-GB"/>
              </w:rPr>
            </w:pPr>
            <w:r w:rsidRPr="00D42106">
              <w:rPr>
                <w:sz w:val="20"/>
                <w:szCs w:val="20"/>
                <w:lang w:val="en-GB"/>
              </w:rPr>
              <w:t>5-10% (2021)</w:t>
            </w:r>
          </w:p>
        </w:tc>
        <w:tc>
          <w:tcPr>
            <w:tcW w:w="662" w:type="pct"/>
            <w:vAlign w:val="center"/>
          </w:tcPr>
          <w:p w14:paraId="11535D20" w14:textId="77777777" w:rsidR="00D12E01" w:rsidRPr="00D42106" w:rsidRDefault="00D12E01">
            <w:pPr>
              <w:spacing w:before="60" w:after="60"/>
              <w:jc w:val="center"/>
              <w:rPr>
                <w:rFonts w:eastAsia="Helvetica"/>
                <w:sz w:val="20"/>
                <w:szCs w:val="20"/>
                <w:lang w:val="en-GB"/>
              </w:rPr>
            </w:pPr>
            <w:r w:rsidRPr="00D42106">
              <w:rPr>
                <w:rFonts w:eastAsia="Helvetica"/>
                <w:sz w:val="20"/>
                <w:szCs w:val="20"/>
                <w:lang w:val="en-GB"/>
              </w:rPr>
              <w:t>25% (2024)</w:t>
            </w:r>
          </w:p>
        </w:tc>
        <w:tc>
          <w:tcPr>
            <w:tcW w:w="582" w:type="pct"/>
            <w:shd w:val="clear" w:color="auto" w:fill="FA807D"/>
            <w:vAlign w:val="center"/>
          </w:tcPr>
          <w:p w14:paraId="46285D75" w14:textId="77777777" w:rsidR="00D12E01" w:rsidRPr="00D42106" w:rsidRDefault="00D12E01">
            <w:pPr>
              <w:spacing w:before="60" w:after="60"/>
              <w:jc w:val="center"/>
              <w:rPr>
                <w:rFonts w:eastAsia="Helvetica"/>
                <w:b/>
                <w:sz w:val="20"/>
                <w:szCs w:val="20"/>
                <w:lang w:val="en-GB"/>
              </w:rPr>
            </w:pPr>
            <w:r w:rsidRPr="00D42106">
              <w:rPr>
                <w:rFonts w:eastAsia="Helvetica"/>
                <w:b/>
                <w:sz w:val="20"/>
                <w:szCs w:val="20"/>
                <w:lang w:val="en-GB"/>
              </w:rPr>
              <w:t>20%</w:t>
            </w:r>
          </w:p>
        </w:tc>
        <w:tc>
          <w:tcPr>
            <w:tcW w:w="409" w:type="pct"/>
            <w:vMerge/>
            <w:vAlign w:val="center"/>
          </w:tcPr>
          <w:p w14:paraId="15961A43" w14:textId="77777777" w:rsidR="00D12E01" w:rsidRPr="00D42106" w:rsidRDefault="00D12E01">
            <w:pPr>
              <w:spacing w:before="60" w:after="60"/>
              <w:rPr>
                <w:rFonts w:eastAsia="Helvetica"/>
                <w:sz w:val="20"/>
                <w:szCs w:val="20"/>
                <w:lang w:val="en-GB"/>
              </w:rPr>
            </w:pPr>
          </w:p>
        </w:tc>
        <w:tc>
          <w:tcPr>
            <w:tcW w:w="500" w:type="pct"/>
            <w:vMerge/>
            <w:vAlign w:val="center"/>
          </w:tcPr>
          <w:p w14:paraId="3A7A3E21" w14:textId="77777777" w:rsidR="00D12E01" w:rsidRPr="00D42106" w:rsidRDefault="00D12E01">
            <w:pPr>
              <w:autoSpaceDE w:val="0"/>
              <w:autoSpaceDN w:val="0"/>
              <w:adjustRightInd w:val="0"/>
              <w:rPr>
                <w:sz w:val="20"/>
                <w:szCs w:val="20"/>
                <w:lang w:val="en-GB"/>
              </w:rPr>
            </w:pPr>
          </w:p>
        </w:tc>
      </w:tr>
      <w:tr w:rsidR="003E7ED5" w:rsidRPr="00D42106" w14:paraId="5B69B4B3" w14:textId="77777777" w:rsidTr="003E7ED5">
        <w:trPr>
          <w:trHeight w:val="1547"/>
        </w:trPr>
        <w:tc>
          <w:tcPr>
            <w:tcW w:w="188" w:type="pct"/>
            <w:vMerge w:val="restart"/>
            <w:shd w:val="clear" w:color="auto" w:fill="D9D9D9"/>
            <w:textDirection w:val="btLr"/>
            <w:vAlign w:val="center"/>
          </w:tcPr>
          <w:p w14:paraId="7D896616" w14:textId="77777777" w:rsidR="00D12E01" w:rsidRPr="00D42106" w:rsidRDefault="00D12E01">
            <w:pPr>
              <w:tabs>
                <w:tab w:val="left" w:pos="0"/>
                <w:tab w:val="left" w:pos="132"/>
              </w:tabs>
              <w:ind w:left="115" w:right="115" w:hanging="101"/>
              <w:jc w:val="center"/>
              <w:rPr>
                <w:b/>
                <w:sz w:val="20"/>
                <w:szCs w:val="20"/>
                <w:lang w:val="en-GB"/>
              </w:rPr>
            </w:pPr>
            <w:r w:rsidRPr="00D42106">
              <w:rPr>
                <w:b/>
                <w:sz w:val="20"/>
                <w:szCs w:val="20"/>
                <w:lang w:val="en-GB"/>
              </w:rPr>
              <w:t>Results / Outputs</w:t>
            </w:r>
          </w:p>
        </w:tc>
        <w:tc>
          <w:tcPr>
            <w:tcW w:w="710" w:type="pct"/>
            <w:vMerge w:val="restart"/>
            <w:shd w:val="clear" w:color="auto" w:fill="FFFFFF"/>
            <w:vAlign w:val="center"/>
          </w:tcPr>
          <w:p w14:paraId="1B1E496A" w14:textId="77777777" w:rsidR="00D12E01" w:rsidRPr="00D42106" w:rsidRDefault="00D12E01">
            <w:pPr>
              <w:pStyle w:val="Default"/>
              <w:rPr>
                <w:color w:val="auto"/>
                <w:sz w:val="20"/>
                <w:szCs w:val="20"/>
                <w:lang w:val="en-GB"/>
              </w:rPr>
            </w:pPr>
            <w:r w:rsidRPr="00D42106">
              <w:rPr>
                <w:color w:val="auto"/>
                <w:sz w:val="20"/>
                <w:szCs w:val="20"/>
                <w:lang w:val="en-GB"/>
              </w:rPr>
              <w:t>1. Relevant BIH authorities’ capacities strengthened to design policy and regulatory frameworks that advance water supply and wastewater management services.</w:t>
            </w:r>
          </w:p>
        </w:tc>
        <w:tc>
          <w:tcPr>
            <w:tcW w:w="1288" w:type="pct"/>
            <w:shd w:val="clear" w:color="auto" w:fill="FFFFFF"/>
            <w:vAlign w:val="center"/>
          </w:tcPr>
          <w:p w14:paraId="73F31EE1" w14:textId="77777777" w:rsidR="00D12E01" w:rsidRPr="00D42106" w:rsidRDefault="00D12E01">
            <w:pPr>
              <w:pStyle w:val="Default"/>
              <w:rPr>
                <w:color w:val="auto"/>
                <w:sz w:val="20"/>
                <w:szCs w:val="20"/>
                <w:lang w:val="en-GB"/>
              </w:rPr>
            </w:pPr>
            <w:r w:rsidRPr="00D42106">
              <w:rPr>
                <w:color w:val="auto"/>
                <w:sz w:val="20"/>
                <w:szCs w:val="20"/>
                <w:lang w:val="en-GB"/>
              </w:rPr>
              <w:t xml:space="preserve">Existence of concept for country-wide harmonised reform of legal and institutional framework in water services sector. </w:t>
            </w:r>
          </w:p>
        </w:tc>
        <w:tc>
          <w:tcPr>
            <w:tcW w:w="661" w:type="pct"/>
            <w:shd w:val="clear" w:color="auto" w:fill="FFFFFF"/>
            <w:vAlign w:val="center"/>
          </w:tcPr>
          <w:p w14:paraId="50F4807E" w14:textId="77777777" w:rsidR="00D12E01" w:rsidRPr="00D42106" w:rsidRDefault="00D12E01">
            <w:pPr>
              <w:jc w:val="center"/>
              <w:rPr>
                <w:sz w:val="20"/>
                <w:szCs w:val="20"/>
                <w:lang w:val="en-GB"/>
              </w:rPr>
            </w:pPr>
            <w:r w:rsidRPr="00D42106">
              <w:rPr>
                <w:sz w:val="20"/>
                <w:szCs w:val="20"/>
                <w:lang w:val="en-GB"/>
              </w:rPr>
              <w:t>No (2020)</w:t>
            </w:r>
          </w:p>
        </w:tc>
        <w:tc>
          <w:tcPr>
            <w:tcW w:w="662" w:type="pct"/>
            <w:shd w:val="clear" w:color="auto" w:fill="FFFFFF"/>
            <w:vAlign w:val="center"/>
          </w:tcPr>
          <w:p w14:paraId="4EF24B0C" w14:textId="77777777" w:rsidR="00D12E01" w:rsidRPr="00D42106" w:rsidRDefault="00D12E01">
            <w:pPr>
              <w:jc w:val="center"/>
              <w:rPr>
                <w:sz w:val="20"/>
                <w:szCs w:val="20"/>
                <w:lang w:val="en-GB"/>
              </w:rPr>
            </w:pPr>
            <w:r w:rsidRPr="00D42106">
              <w:rPr>
                <w:sz w:val="20"/>
                <w:szCs w:val="20"/>
                <w:lang w:val="en-GB"/>
              </w:rPr>
              <w:t>Yes (2022)</w:t>
            </w:r>
          </w:p>
        </w:tc>
        <w:tc>
          <w:tcPr>
            <w:tcW w:w="582" w:type="pct"/>
            <w:shd w:val="clear" w:color="auto" w:fill="D9F2D0" w:themeFill="accent6" w:themeFillTint="33"/>
            <w:vAlign w:val="center"/>
          </w:tcPr>
          <w:p w14:paraId="4035ED11" w14:textId="77777777" w:rsidR="00D12E01" w:rsidRPr="00D42106" w:rsidRDefault="00D12E01">
            <w:pPr>
              <w:jc w:val="center"/>
              <w:rPr>
                <w:b/>
                <w:bCs/>
                <w:sz w:val="20"/>
                <w:szCs w:val="20"/>
                <w:lang w:val="en-GB"/>
              </w:rPr>
            </w:pPr>
            <w:r w:rsidRPr="00D42106">
              <w:rPr>
                <w:b/>
                <w:bCs/>
                <w:sz w:val="20"/>
                <w:szCs w:val="20"/>
                <w:lang w:val="en-GB"/>
              </w:rPr>
              <w:t>Yes</w:t>
            </w:r>
          </w:p>
        </w:tc>
        <w:tc>
          <w:tcPr>
            <w:tcW w:w="409" w:type="pct"/>
            <w:vMerge w:val="restart"/>
            <w:shd w:val="clear" w:color="auto" w:fill="FFFFFF"/>
            <w:vAlign w:val="center"/>
          </w:tcPr>
          <w:p w14:paraId="6FD4799E" w14:textId="77777777" w:rsidR="00D12E01" w:rsidRPr="00D42106" w:rsidRDefault="00D12E01">
            <w:pPr>
              <w:rPr>
                <w:sz w:val="20"/>
                <w:szCs w:val="20"/>
                <w:lang w:val="en-GB"/>
              </w:rPr>
            </w:pPr>
            <w:r w:rsidRPr="00D42106">
              <w:rPr>
                <w:sz w:val="20"/>
                <w:szCs w:val="20"/>
                <w:lang w:val="en-GB"/>
              </w:rPr>
              <w:t>Media coverage</w:t>
            </w:r>
          </w:p>
          <w:p w14:paraId="454A9770" w14:textId="77777777" w:rsidR="00D12E01" w:rsidRPr="00D42106" w:rsidRDefault="00D12E01">
            <w:pPr>
              <w:rPr>
                <w:sz w:val="20"/>
                <w:szCs w:val="20"/>
                <w:lang w:val="en-GB"/>
              </w:rPr>
            </w:pPr>
            <w:r w:rsidRPr="00D42106">
              <w:rPr>
                <w:sz w:val="20"/>
                <w:szCs w:val="20"/>
                <w:lang w:val="en-GB"/>
              </w:rPr>
              <w:t>Action reports</w:t>
            </w:r>
          </w:p>
          <w:p w14:paraId="59A072E3" w14:textId="77777777" w:rsidR="00D12E01" w:rsidRPr="00D42106" w:rsidRDefault="00D12E01">
            <w:pPr>
              <w:rPr>
                <w:sz w:val="20"/>
                <w:szCs w:val="20"/>
                <w:lang w:val="en-GB"/>
              </w:rPr>
            </w:pPr>
            <w:r w:rsidRPr="00D42106">
              <w:rPr>
                <w:sz w:val="20"/>
                <w:szCs w:val="20"/>
                <w:lang w:val="en-GB"/>
              </w:rPr>
              <w:t>Records from training/ coaching</w:t>
            </w:r>
          </w:p>
        </w:tc>
        <w:tc>
          <w:tcPr>
            <w:tcW w:w="500" w:type="pct"/>
            <w:vMerge w:val="restart"/>
            <w:vAlign w:val="center"/>
          </w:tcPr>
          <w:p w14:paraId="7B644813" w14:textId="77777777" w:rsidR="00D12E01" w:rsidRPr="00D42106" w:rsidRDefault="00D12E01">
            <w:pPr>
              <w:autoSpaceDE w:val="0"/>
              <w:autoSpaceDN w:val="0"/>
              <w:adjustRightInd w:val="0"/>
              <w:rPr>
                <w:spacing w:val="-6"/>
                <w:sz w:val="20"/>
                <w:szCs w:val="20"/>
                <w:lang w:val="en-GB"/>
              </w:rPr>
            </w:pPr>
            <w:r w:rsidRPr="00D42106">
              <w:rPr>
                <w:spacing w:val="-6"/>
                <w:sz w:val="20"/>
                <w:szCs w:val="20"/>
                <w:lang w:val="en-GB"/>
              </w:rPr>
              <w:t>EU agenda is a strong push-factor for the sector reforms.</w:t>
            </w:r>
          </w:p>
          <w:p w14:paraId="512E0A65" w14:textId="77777777" w:rsidR="00D12E01" w:rsidRPr="00D42106" w:rsidRDefault="00D12E01">
            <w:pPr>
              <w:autoSpaceDE w:val="0"/>
              <w:autoSpaceDN w:val="0"/>
              <w:adjustRightInd w:val="0"/>
              <w:rPr>
                <w:spacing w:val="-6"/>
                <w:sz w:val="8"/>
                <w:szCs w:val="8"/>
                <w:lang w:val="en-GB"/>
              </w:rPr>
            </w:pPr>
          </w:p>
          <w:p w14:paraId="6E51AA84" w14:textId="77777777" w:rsidR="00D12E01" w:rsidRPr="00D42106" w:rsidRDefault="00D12E01">
            <w:pPr>
              <w:autoSpaceDE w:val="0"/>
              <w:autoSpaceDN w:val="0"/>
              <w:adjustRightInd w:val="0"/>
              <w:rPr>
                <w:spacing w:val="-6"/>
                <w:sz w:val="20"/>
                <w:szCs w:val="20"/>
                <w:lang w:val="en-GB"/>
              </w:rPr>
            </w:pPr>
            <w:r w:rsidRPr="00D42106">
              <w:rPr>
                <w:spacing w:val="-6"/>
                <w:sz w:val="20"/>
                <w:szCs w:val="20"/>
                <w:lang w:val="en-GB"/>
              </w:rPr>
              <w:t>Policy roadmaps agreed by higher government level institutions.</w:t>
            </w:r>
          </w:p>
          <w:p w14:paraId="4E078463" w14:textId="77777777" w:rsidR="00D12E01" w:rsidRPr="00D42106" w:rsidRDefault="00D12E01">
            <w:pPr>
              <w:autoSpaceDE w:val="0"/>
              <w:autoSpaceDN w:val="0"/>
              <w:adjustRightInd w:val="0"/>
              <w:rPr>
                <w:spacing w:val="-3"/>
                <w:sz w:val="10"/>
                <w:szCs w:val="10"/>
                <w:lang w:val="en-GB"/>
              </w:rPr>
            </w:pPr>
          </w:p>
          <w:p w14:paraId="116E9C2A" w14:textId="77777777" w:rsidR="00D12E01" w:rsidRPr="00D42106" w:rsidRDefault="00D12E01">
            <w:pPr>
              <w:autoSpaceDE w:val="0"/>
              <w:autoSpaceDN w:val="0"/>
              <w:adjustRightInd w:val="0"/>
              <w:rPr>
                <w:spacing w:val="-3"/>
                <w:sz w:val="20"/>
                <w:szCs w:val="20"/>
                <w:lang w:val="en-GB"/>
              </w:rPr>
            </w:pPr>
            <w:r w:rsidRPr="00D42106">
              <w:rPr>
                <w:spacing w:val="-3"/>
                <w:sz w:val="20"/>
                <w:szCs w:val="20"/>
                <w:lang w:val="en-GB"/>
              </w:rPr>
              <w:t>IFIs and other international stakeholders remain committed to the Joint Vision/ reforms.</w:t>
            </w:r>
          </w:p>
        </w:tc>
      </w:tr>
      <w:tr w:rsidR="003E7ED5" w:rsidRPr="00D42106" w14:paraId="3A1A61C2" w14:textId="77777777" w:rsidTr="003E7ED5">
        <w:trPr>
          <w:trHeight w:val="975"/>
        </w:trPr>
        <w:tc>
          <w:tcPr>
            <w:tcW w:w="188" w:type="pct"/>
            <w:vMerge/>
            <w:shd w:val="clear" w:color="auto" w:fill="D9D9D9"/>
            <w:textDirection w:val="btLr"/>
            <w:vAlign w:val="center"/>
          </w:tcPr>
          <w:p w14:paraId="01460EC6" w14:textId="77777777" w:rsidR="00D12E01" w:rsidRPr="00D42106" w:rsidRDefault="00D12E01">
            <w:pPr>
              <w:tabs>
                <w:tab w:val="left" w:pos="0"/>
                <w:tab w:val="left" w:pos="132"/>
              </w:tabs>
              <w:ind w:left="115" w:right="115" w:hanging="101"/>
              <w:jc w:val="center"/>
              <w:rPr>
                <w:b/>
                <w:sz w:val="20"/>
                <w:szCs w:val="20"/>
                <w:lang w:val="en-GB"/>
              </w:rPr>
            </w:pPr>
          </w:p>
        </w:tc>
        <w:tc>
          <w:tcPr>
            <w:tcW w:w="710" w:type="pct"/>
            <w:vMerge/>
            <w:shd w:val="clear" w:color="auto" w:fill="FFFFFF"/>
            <w:vAlign w:val="center"/>
          </w:tcPr>
          <w:p w14:paraId="77B169F0" w14:textId="77777777" w:rsidR="00D12E01" w:rsidRPr="00D42106" w:rsidRDefault="00D12E01">
            <w:pPr>
              <w:pStyle w:val="Default"/>
              <w:rPr>
                <w:b/>
                <w:color w:val="auto"/>
                <w:sz w:val="20"/>
                <w:szCs w:val="20"/>
                <w:lang w:val="en-GB"/>
              </w:rPr>
            </w:pPr>
          </w:p>
        </w:tc>
        <w:tc>
          <w:tcPr>
            <w:tcW w:w="1288" w:type="pct"/>
            <w:shd w:val="clear" w:color="auto" w:fill="FFFFFF"/>
            <w:vAlign w:val="center"/>
          </w:tcPr>
          <w:p w14:paraId="6C3A1C3D" w14:textId="77777777" w:rsidR="00D12E01" w:rsidRPr="00D42106" w:rsidRDefault="00D12E01">
            <w:pPr>
              <w:pStyle w:val="Default"/>
              <w:rPr>
                <w:color w:val="auto"/>
                <w:sz w:val="20"/>
                <w:szCs w:val="20"/>
                <w:lang w:val="en-GB"/>
              </w:rPr>
            </w:pPr>
            <w:r w:rsidRPr="00D42106">
              <w:rPr>
                <w:color w:val="auto"/>
                <w:sz w:val="20"/>
                <w:szCs w:val="20"/>
                <w:lang w:val="en-GB"/>
              </w:rPr>
              <w:t>Number of public servants within higher government level institutions who strengthen their capacity in the area of water supply and wastewater management services as a result of the Action support.</w:t>
            </w:r>
          </w:p>
        </w:tc>
        <w:tc>
          <w:tcPr>
            <w:tcW w:w="661" w:type="pct"/>
            <w:shd w:val="clear" w:color="auto" w:fill="FFFFFF"/>
            <w:vAlign w:val="center"/>
          </w:tcPr>
          <w:p w14:paraId="0C5A45BA" w14:textId="77777777" w:rsidR="00D12E01" w:rsidRPr="00D42106" w:rsidRDefault="00D12E01">
            <w:pPr>
              <w:jc w:val="center"/>
              <w:rPr>
                <w:sz w:val="20"/>
                <w:szCs w:val="20"/>
                <w:lang w:val="en-GB"/>
              </w:rPr>
            </w:pPr>
            <w:r w:rsidRPr="00D42106">
              <w:rPr>
                <w:sz w:val="20"/>
                <w:szCs w:val="20"/>
                <w:lang w:val="en-GB"/>
              </w:rPr>
              <w:t>N/A (2020)</w:t>
            </w:r>
          </w:p>
        </w:tc>
        <w:tc>
          <w:tcPr>
            <w:tcW w:w="662" w:type="pct"/>
            <w:shd w:val="clear" w:color="auto" w:fill="FFFFFF"/>
            <w:vAlign w:val="center"/>
          </w:tcPr>
          <w:p w14:paraId="7E31A3E5" w14:textId="77777777" w:rsidR="00D12E01" w:rsidRPr="00D42106" w:rsidRDefault="00D12E01">
            <w:pPr>
              <w:jc w:val="center"/>
              <w:rPr>
                <w:sz w:val="20"/>
                <w:szCs w:val="20"/>
                <w:lang w:val="en-GB"/>
              </w:rPr>
            </w:pPr>
            <w:r w:rsidRPr="00D42106">
              <w:rPr>
                <w:sz w:val="20"/>
                <w:szCs w:val="20"/>
                <w:lang w:val="en-GB"/>
              </w:rPr>
              <w:t>30 (2024)</w:t>
            </w:r>
          </w:p>
        </w:tc>
        <w:tc>
          <w:tcPr>
            <w:tcW w:w="582" w:type="pct"/>
            <w:shd w:val="clear" w:color="auto" w:fill="D9F2D0" w:themeFill="accent6" w:themeFillTint="33"/>
            <w:vAlign w:val="center"/>
          </w:tcPr>
          <w:p w14:paraId="5169724A" w14:textId="77777777" w:rsidR="00D12E01" w:rsidRPr="00D42106" w:rsidRDefault="00D12E01">
            <w:pPr>
              <w:pStyle w:val="Default"/>
              <w:jc w:val="center"/>
              <w:rPr>
                <w:b/>
                <w:bCs/>
                <w:color w:val="auto"/>
                <w:sz w:val="20"/>
                <w:szCs w:val="20"/>
                <w:lang w:val="en-GB"/>
              </w:rPr>
            </w:pPr>
            <w:r w:rsidRPr="00D42106">
              <w:rPr>
                <w:b/>
                <w:bCs/>
                <w:color w:val="auto"/>
                <w:sz w:val="20"/>
                <w:szCs w:val="20"/>
                <w:lang w:val="en-GB"/>
              </w:rPr>
              <w:t>70</w:t>
            </w:r>
          </w:p>
        </w:tc>
        <w:tc>
          <w:tcPr>
            <w:tcW w:w="409" w:type="pct"/>
            <w:vMerge/>
            <w:shd w:val="clear" w:color="auto" w:fill="FFFFFF"/>
            <w:vAlign w:val="center"/>
          </w:tcPr>
          <w:p w14:paraId="55526283" w14:textId="77777777" w:rsidR="00D12E01" w:rsidRPr="00D42106" w:rsidRDefault="00D12E01">
            <w:pPr>
              <w:pStyle w:val="Default"/>
              <w:rPr>
                <w:color w:val="auto"/>
                <w:sz w:val="20"/>
                <w:szCs w:val="20"/>
                <w:lang w:val="en-GB"/>
              </w:rPr>
            </w:pPr>
          </w:p>
        </w:tc>
        <w:tc>
          <w:tcPr>
            <w:tcW w:w="500" w:type="pct"/>
            <w:vMerge/>
            <w:vAlign w:val="center"/>
          </w:tcPr>
          <w:p w14:paraId="549A2F6E" w14:textId="77777777" w:rsidR="00D12E01" w:rsidRPr="00D42106" w:rsidRDefault="00D12E01">
            <w:pPr>
              <w:autoSpaceDE w:val="0"/>
              <w:autoSpaceDN w:val="0"/>
              <w:adjustRightInd w:val="0"/>
              <w:rPr>
                <w:sz w:val="20"/>
                <w:szCs w:val="20"/>
                <w:lang w:val="en-GB"/>
              </w:rPr>
            </w:pPr>
          </w:p>
        </w:tc>
      </w:tr>
      <w:tr w:rsidR="003E7ED5" w:rsidRPr="00D42106" w14:paraId="10E0BFBF" w14:textId="77777777" w:rsidTr="003E7ED5">
        <w:trPr>
          <w:trHeight w:val="60"/>
        </w:trPr>
        <w:tc>
          <w:tcPr>
            <w:tcW w:w="188" w:type="pct"/>
            <w:vMerge/>
            <w:shd w:val="clear" w:color="auto" w:fill="D9D9D9"/>
            <w:textDirection w:val="btLr"/>
            <w:vAlign w:val="center"/>
          </w:tcPr>
          <w:p w14:paraId="21251E4E" w14:textId="77777777" w:rsidR="00D12E01" w:rsidRPr="00D42106" w:rsidRDefault="00D12E01">
            <w:pPr>
              <w:tabs>
                <w:tab w:val="left" w:pos="0"/>
                <w:tab w:val="left" w:pos="132"/>
              </w:tabs>
              <w:ind w:left="115" w:right="115" w:hanging="101"/>
              <w:jc w:val="center"/>
              <w:rPr>
                <w:b/>
                <w:sz w:val="20"/>
                <w:szCs w:val="20"/>
                <w:lang w:val="en-GB"/>
              </w:rPr>
            </w:pPr>
          </w:p>
        </w:tc>
        <w:tc>
          <w:tcPr>
            <w:tcW w:w="710" w:type="pct"/>
            <w:shd w:val="clear" w:color="auto" w:fill="FFFFFF"/>
            <w:vAlign w:val="center"/>
          </w:tcPr>
          <w:p w14:paraId="28084D1C" w14:textId="77777777" w:rsidR="00D12E01" w:rsidRPr="00D42106" w:rsidRDefault="00D12E01">
            <w:pPr>
              <w:pStyle w:val="Default"/>
              <w:rPr>
                <w:rFonts w:eastAsia="Arial"/>
                <w:color w:val="auto"/>
                <w:sz w:val="20"/>
                <w:szCs w:val="20"/>
                <w:lang w:val="en-GB"/>
              </w:rPr>
            </w:pPr>
            <w:r w:rsidRPr="00D42106">
              <w:rPr>
                <w:rFonts w:eastAsia="Arial"/>
                <w:color w:val="auto"/>
                <w:sz w:val="20"/>
                <w:szCs w:val="20"/>
                <w:lang w:val="en-GB"/>
              </w:rPr>
              <w:t>2. Local government capacities and frameworks entailing sustainable partnerships with their water utilities enhanced to enable more effective, efficient and inclusive water supply and wastewater service delivery.</w:t>
            </w:r>
          </w:p>
          <w:p w14:paraId="6182FC8B" w14:textId="77777777" w:rsidR="00D12E01" w:rsidRPr="00D42106" w:rsidRDefault="00D12E01">
            <w:pPr>
              <w:pStyle w:val="Default"/>
              <w:rPr>
                <w:rFonts w:eastAsia="Arial"/>
                <w:color w:val="auto"/>
                <w:sz w:val="20"/>
                <w:szCs w:val="20"/>
                <w:lang w:val="en-GB"/>
              </w:rPr>
            </w:pPr>
          </w:p>
        </w:tc>
        <w:tc>
          <w:tcPr>
            <w:tcW w:w="1288" w:type="pct"/>
            <w:shd w:val="clear" w:color="auto" w:fill="FFFFFF"/>
            <w:vAlign w:val="center"/>
          </w:tcPr>
          <w:p w14:paraId="791F445F" w14:textId="77777777" w:rsidR="00D12E01" w:rsidRPr="00D42106" w:rsidRDefault="00D12E01">
            <w:pPr>
              <w:pStyle w:val="Default"/>
              <w:rPr>
                <w:color w:val="auto"/>
                <w:sz w:val="20"/>
                <w:szCs w:val="20"/>
                <w:lang w:val="en-GB"/>
              </w:rPr>
            </w:pPr>
            <w:r w:rsidRPr="00D42106">
              <w:rPr>
                <w:color w:val="auto"/>
                <w:sz w:val="20"/>
                <w:szCs w:val="20"/>
                <w:lang w:val="en-GB"/>
              </w:rPr>
              <w:t>% of partner local governments which successfully implement PSAs</w:t>
            </w:r>
          </w:p>
        </w:tc>
        <w:tc>
          <w:tcPr>
            <w:tcW w:w="661" w:type="pct"/>
            <w:shd w:val="clear" w:color="auto" w:fill="FFFFFF"/>
            <w:vAlign w:val="center"/>
          </w:tcPr>
          <w:p w14:paraId="3F8EF596" w14:textId="77777777" w:rsidR="00D12E01" w:rsidRPr="00D42106" w:rsidRDefault="00D12E01">
            <w:pPr>
              <w:jc w:val="center"/>
              <w:rPr>
                <w:sz w:val="20"/>
                <w:szCs w:val="20"/>
                <w:lang w:val="en-GB"/>
              </w:rPr>
            </w:pPr>
            <w:r w:rsidRPr="00D42106">
              <w:rPr>
                <w:sz w:val="20"/>
                <w:szCs w:val="20"/>
                <w:lang w:val="en-GB"/>
              </w:rPr>
              <w:t>0 (2020)</w:t>
            </w:r>
          </w:p>
        </w:tc>
        <w:tc>
          <w:tcPr>
            <w:tcW w:w="662" w:type="pct"/>
            <w:shd w:val="clear" w:color="auto" w:fill="FFFFFF"/>
            <w:vAlign w:val="center"/>
          </w:tcPr>
          <w:p w14:paraId="6A7045BE" w14:textId="77777777" w:rsidR="00D12E01" w:rsidRPr="00D42106" w:rsidRDefault="00D12E01">
            <w:pPr>
              <w:jc w:val="center"/>
              <w:rPr>
                <w:sz w:val="20"/>
                <w:szCs w:val="20"/>
                <w:lang w:val="en-GB"/>
              </w:rPr>
            </w:pPr>
            <w:r w:rsidRPr="00D42106">
              <w:rPr>
                <w:rFonts w:eastAsia="Helvetica"/>
                <w:sz w:val="20"/>
                <w:szCs w:val="20"/>
                <w:lang w:val="en-GB"/>
              </w:rPr>
              <w:t>75% (2024)</w:t>
            </w:r>
          </w:p>
        </w:tc>
        <w:tc>
          <w:tcPr>
            <w:tcW w:w="582" w:type="pct"/>
            <w:shd w:val="clear" w:color="auto" w:fill="D9F2D0" w:themeFill="accent6" w:themeFillTint="33"/>
            <w:vAlign w:val="center"/>
          </w:tcPr>
          <w:p w14:paraId="70308A73" w14:textId="77777777" w:rsidR="00D12E01" w:rsidRPr="00D42106" w:rsidRDefault="00D12E01">
            <w:pPr>
              <w:jc w:val="center"/>
              <w:rPr>
                <w:b/>
                <w:bCs/>
                <w:sz w:val="20"/>
                <w:szCs w:val="20"/>
                <w:lang w:val="en-GB"/>
              </w:rPr>
            </w:pPr>
            <w:r w:rsidRPr="00D42106">
              <w:rPr>
                <w:b/>
                <w:bCs/>
                <w:sz w:val="20"/>
                <w:szCs w:val="20"/>
                <w:lang w:val="en-GB"/>
              </w:rPr>
              <w:t>1</w:t>
            </w:r>
            <w:r w:rsidRPr="00933891">
              <w:rPr>
                <w:b/>
                <w:bCs/>
                <w:sz w:val="20"/>
                <w:szCs w:val="20"/>
                <w:shd w:val="clear" w:color="auto" w:fill="D9F2D0" w:themeFill="accent6" w:themeFillTint="33"/>
                <w:lang w:val="en-GB"/>
              </w:rPr>
              <w:t>0</w:t>
            </w:r>
            <w:r w:rsidRPr="00D42106">
              <w:rPr>
                <w:b/>
                <w:bCs/>
                <w:sz w:val="20"/>
                <w:szCs w:val="20"/>
                <w:lang w:val="en-GB"/>
              </w:rPr>
              <w:t>0%</w:t>
            </w:r>
          </w:p>
        </w:tc>
        <w:tc>
          <w:tcPr>
            <w:tcW w:w="409" w:type="pct"/>
            <w:shd w:val="clear" w:color="auto" w:fill="FFFFFF"/>
            <w:vAlign w:val="center"/>
          </w:tcPr>
          <w:p w14:paraId="113C445B" w14:textId="77777777" w:rsidR="00D12E01" w:rsidRPr="00D42106" w:rsidRDefault="00D12E01">
            <w:pPr>
              <w:rPr>
                <w:sz w:val="20"/>
                <w:szCs w:val="20"/>
                <w:lang w:val="en-GB"/>
              </w:rPr>
            </w:pPr>
            <w:r w:rsidRPr="00D42106">
              <w:rPr>
                <w:sz w:val="20"/>
                <w:szCs w:val="20"/>
                <w:lang w:val="en-GB"/>
              </w:rPr>
              <w:t xml:space="preserve">Action reports </w:t>
            </w:r>
          </w:p>
          <w:p w14:paraId="50172429" w14:textId="77777777" w:rsidR="00D12E01" w:rsidRPr="00D42106" w:rsidRDefault="00D12E01">
            <w:pPr>
              <w:pStyle w:val="Default"/>
              <w:rPr>
                <w:color w:val="auto"/>
                <w:sz w:val="20"/>
                <w:szCs w:val="20"/>
                <w:lang w:val="en-GB"/>
              </w:rPr>
            </w:pPr>
            <w:r w:rsidRPr="00D42106">
              <w:rPr>
                <w:color w:val="auto"/>
                <w:sz w:val="20"/>
                <w:szCs w:val="20"/>
                <w:lang w:val="en-GB"/>
              </w:rPr>
              <w:t xml:space="preserve">Official documents </w:t>
            </w:r>
            <w:r w:rsidRPr="00D42106">
              <w:rPr>
                <w:color w:val="auto"/>
                <w:spacing w:val="-4"/>
                <w:sz w:val="20"/>
                <w:szCs w:val="20"/>
                <w:lang w:val="en-GB"/>
              </w:rPr>
              <w:t>of partner local governments</w:t>
            </w:r>
            <w:r w:rsidRPr="00D42106">
              <w:rPr>
                <w:color w:val="auto"/>
                <w:sz w:val="20"/>
                <w:szCs w:val="20"/>
                <w:lang w:val="en-GB"/>
              </w:rPr>
              <w:t xml:space="preserve"> (PSA)</w:t>
            </w:r>
          </w:p>
        </w:tc>
        <w:tc>
          <w:tcPr>
            <w:tcW w:w="500" w:type="pct"/>
            <w:vAlign w:val="center"/>
          </w:tcPr>
          <w:p w14:paraId="22D30F37" w14:textId="77777777" w:rsidR="00D12E01" w:rsidRPr="00D42106" w:rsidRDefault="00D12E01">
            <w:pPr>
              <w:autoSpaceDE w:val="0"/>
              <w:autoSpaceDN w:val="0"/>
              <w:adjustRightInd w:val="0"/>
              <w:rPr>
                <w:spacing w:val="-6"/>
                <w:sz w:val="20"/>
                <w:szCs w:val="20"/>
                <w:lang w:val="en-GB"/>
              </w:rPr>
            </w:pPr>
            <w:r w:rsidRPr="00D42106">
              <w:rPr>
                <w:spacing w:val="-6"/>
                <w:sz w:val="20"/>
                <w:szCs w:val="20"/>
                <w:lang w:val="en-GB"/>
              </w:rPr>
              <w:t>Local governments maintain at least the current level of human and financial resources and hence the basic capacities to improve public services.</w:t>
            </w:r>
          </w:p>
          <w:p w14:paraId="15FB6E0D" w14:textId="77777777" w:rsidR="00D12E01" w:rsidRPr="00D42106" w:rsidRDefault="00D12E01">
            <w:pPr>
              <w:autoSpaceDE w:val="0"/>
              <w:autoSpaceDN w:val="0"/>
              <w:adjustRightInd w:val="0"/>
              <w:rPr>
                <w:sz w:val="10"/>
                <w:szCs w:val="10"/>
                <w:lang w:val="en-GB"/>
              </w:rPr>
            </w:pPr>
          </w:p>
          <w:p w14:paraId="69B99D9F" w14:textId="77777777" w:rsidR="00D12E01" w:rsidRPr="00D42106" w:rsidRDefault="00D12E01">
            <w:pPr>
              <w:autoSpaceDE w:val="0"/>
              <w:autoSpaceDN w:val="0"/>
              <w:adjustRightInd w:val="0"/>
              <w:rPr>
                <w:sz w:val="20"/>
                <w:szCs w:val="20"/>
                <w:lang w:val="en-GB"/>
              </w:rPr>
            </w:pPr>
            <w:r w:rsidRPr="00D42106">
              <w:rPr>
                <w:sz w:val="20"/>
                <w:szCs w:val="20"/>
                <w:lang w:val="en-GB"/>
              </w:rPr>
              <w:t>Political will to support professionalisation and optimisation of water utilities’ organisational structure in partner local governments.</w:t>
            </w:r>
          </w:p>
        </w:tc>
      </w:tr>
      <w:tr w:rsidR="003E7ED5" w:rsidRPr="00D42106" w14:paraId="26C44651" w14:textId="77777777" w:rsidTr="003E7ED5">
        <w:trPr>
          <w:trHeight w:val="1145"/>
        </w:trPr>
        <w:tc>
          <w:tcPr>
            <w:tcW w:w="188" w:type="pct"/>
            <w:vMerge/>
            <w:shd w:val="clear" w:color="auto" w:fill="D9D9D9"/>
            <w:textDirection w:val="btLr"/>
          </w:tcPr>
          <w:p w14:paraId="1928B3D8" w14:textId="77777777" w:rsidR="00D12E01" w:rsidRPr="00D42106" w:rsidRDefault="00D12E01">
            <w:pPr>
              <w:tabs>
                <w:tab w:val="left" w:pos="0"/>
                <w:tab w:val="left" w:pos="132"/>
              </w:tabs>
              <w:ind w:left="113" w:right="113" w:hanging="101"/>
              <w:rPr>
                <w:b/>
                <w:sz w:val="20"/>
                <w:szCs w:val="20"/>
                <w:lang w:val="en-GB"/>
              </w:rPr>
            </w:pPr>
          </w:p>
        </w:tc>
        <w:tc>
          <w:tcPr>
            <w:tcW w:w="710" w:type="pct"/>
            <w:vMerge w:val="restart"/>
            <w:shd w:val="clear" w:color="auto" w:fill="FFFFFF"/>
            <w:vAlign w:val="center"/>
          </w:tcPr>
          <w:p w14:paraId="49881473" w14:textId="77777777" w:rsidR="00D12E01" w:rsidRPr="00D42106" w:rsidRDefault="00D12E01">
            <w:pPr>
              <w:autoSpaceDE w:val="0"/>
              <w:autoSpaceDN w:val="0"/>
              <w:adjustRightInd w:val="0"/>
              <w:rPr>
                <w:sz w:val="20"/>
                <w:szCs w:val="20"/>
                <w:lang w:val="en-GB"/>
              </w:rPr>
            </w:pPr>
          </w:p>
          <w:p w14:paraId="04855559" w14:textId="77777777" w:rsidR="00D12E01" w:rsidRPr="00D42106" w:rsidRDefault="00D12E01">
            <w:pPr>
              <w:autoSpaceDE w:val="0"/>
              <w:autoSpaceDN w:val="0"/>
              <w:adjustRightInd w:val="0"/>
              <w:rPr>
                <w:sz w:val="20"/>
                <w:szCs w:val="20"/>
                <w:lang w:val="en-GB"/>
              </w:rPr>
            </w:pPr>
            <w:r w:rsidRPr="00D42106">
              <w:rPr>
                <w:sz w:val="20"/>
                <w:szCs w:val="20"/>
                <w:lang w:val="en-GB"/>
              </w:rPr>
              <w:t>3. Financial and operational performance of water utilities improved</w:t>
            </w:r>
          </w:p>
        </w:tc>
        <w:tc>
          <w:tcPr>
            <w:tcW w:w="1288" w:type="pct"/>
            <w:tcBorders>
              <w:bottom w:val="single" w:sz="4" w:space="0" w:color="auto"/>
            </w:tcBorders>
            <w:shd w:val="clear" w:color="auto" w:fill="FFFFFF"/>
            <w:vAlign w:val="center"/>
          </w:tcPr>
          <w:p w14:paraId="0A27FB72" w14:textId="77777777" w:rsidR="00D12E01" w:rsidRPr="00D42106" w:rsidRDefault="00D12E01">
            <w:pPr>
              <w:rPr>
                <w:sz w:val="20"/>
                <w:szCs w:val="20"/>
                <w:lang w:val="en-GB"/>
              </w:rPr>
            </w:pPr>
            <w:r w:rsidRPr="00D42106">
              <w:rPr>
                <w:sz w:val="20"/>
                <w:szCs w:val="20"/>
                <w:lang w:val="en-GB"/>
              </w:rPr>
              <w:t>Average % of non-revenue water per partner local government water utility.</w:t>
            </w:r>
          </w:p>
        </w:tc>
        <w:tc>
          <w:tcPr>
            <w:tcW w:w="661" w:type="pct"/>
            <w:tcBorders>
              <w:bottom w:val="single" w:sz="4" w:space="0" w:color="auto"/>
            </w:tcBorders>
            <w:shd w:val="clear" w:color="auto" w:fill="FFFFFF"/>
            <w:vAlign w:val="center"/>
          </w:tcPr>
          <w:p w14:paraId="3AE5FC29" w14:textId="77777777" w:rsidR="00D12E01" w:rsidRPr="00D42106" w:rsidRDefault="00D12E01">
            <w:pPr>
              <w:jc w:val="center"/>
              <w:rPr>
                <w:sz w:val="20"/>
                <w:szCs w:val="20"/>
                <w:lang w:val="en-GB"/>
              </w:rPr>
            </w:pPr>
            <w:r w:rsidRPr="00D42106">
              <w:rPr>
                <w:sz w:val="20"/>
                <w:szCs w:val="20"/>
                <w:lang w:val="en-GB"/>
              </w:rPr>
              <w:t>To be established upon the Action start (early 2022)</w:t>
            </w:r>
          </w:p>
        </w:tc>
        <w:tc>
          <w:tcPr>
            <w:tcW w:w="662" w:type="pct"/>
            <w:tcBorders>
              <w:bottom w:val="single" w:sz="4" w:space="0" w:color="auto"/>
            </w:tcBorders>
            <w:shd w:val="clear" w:color="auto" w:fill="FFFFFF"/>
            <w:vAlign w:val="center"/>
          </w:tcPr>
          <w:p w14:paraId="24079021" w14:textId="77777777" w:rsidR="00D12E01" w:rsidRPr="00D42106" w:rsidRDefault="00D12E01">
            <w:pPr>
              <w:jc w:val="center"/>
              <w:rPr>
                <w:spacing w:val="-4"/>
                <w:sz w:val="20"/>
                <w:szCs w:val="20"/>
                <w:lang w:val="en-GB"/>
              </w:rPr>
            </w:pPr>
            <w:r w:rsidRPr="00D42106">
              <w:rPr>
                <w:spacing w:val="-4"/>
                <w:sz w:val="20"/>
                <w:szCs w:val="20"/>
                <w:lang w:val="en-GB"/>
              </w:rPr>
              <w:t>Decrease of 12% compared to the baseline (2024)</w:t>
            </w:r>
          </w:p>
        </w:tc>
        <w:tc>
          <w:tcPr>
            <w:tcW w:w="582" w:type="pct"/>
            <w:shd w:val="clear" w:color="auto" w:fill="FA807D"/>
            <w:vAlign w:val="center"/>
          </w:tcPr>
          <w:p w14:paraId="513116A8" w14:textId="77777777" w:rsidR="00D12E01" w:rsidRPr="00D42106" w:rsidRDefault="00D12E01">
            <w:pPr>
              <w:spacing w:before="60"/>
              <w:jc w:val="center"/>
              <w:rPr>
                <w:b/>
                <w:bCs/>
                <w:sz w:val="20"/>
                <w:szCs w:val="20"/>
                <w:lang w:val="en-GB"/>
              </w:rPr>
            </w:pPr>
            <w:r w:rsidRPr="00D42106">
              <w:rPr>
                <w:b/>
                <w:bCs/>
                <w:sz w:val="20"/>
                <w:szCs w:val="20"/>
                <w:lang w:val="en-GB"/>
              </w:rPr>
              <w:t>5%</w:t>
            </w:r>
          </w:p>
        </w:tc>
        <w:tc>
          <w:tcPr>
            <w:tcW w:w="409" w:type="pct"/>
            <w:vMerge w:val="restart"/>
            <w:shd w:val="clear" w:color="auto" w:fill="FFFFFF"/>
            <w:vAlign w:val="center"/>
          </w:tcPr>
          <w:p w14:paraId="633F0E9C" w14:textId="77777777" w:rsidR="00D12E01" w:rsidRPr="00D42106" w:rsidRDefault="00D12E01">
            <w:pPr>
              <w:spacing w:before="60"/>
              <w:rPr>
                <w:sz w:val="20"/>
                <w:szCs w:val="20"/>
                <w:lang w:val="en-GB"/>
              </w:rPr>
            </w:pPr>
            <w:r w:rsidRPr="00D42106">
              <w:rPr>
                <w:sz w:val="20"/>
                <w:szCs w:val="20"/>
                <w:lang w:val="en-GB"/>
              </w:rPr>
              <w:t>Annual reports from water utility companies in partner localities</w:t>
            </w:r>
          </w:p>
          <w:p w14:paraId="05205FE0" w14:textId="77777777" w:rsidR="00D12E01" w:rsidRPr="00D42106" w:rsidRDefault="00D12E01">
            <w:pPr>
              <w:spacing w:before="60"/>
              <w:rPr>
                <w:sz w:val="20"/>
                <w:szCs w:val="20"/>
                <w:lang w:val="en-GB"/>
              </w:rPr>
            </w:pPr>
            <w:r w:rsidRPr="00D42106">
              <w:rPr>
                <w:sz w:val="20"/>
                <w:szCs w:val="20"/>
                <w:lang w:val="en-GB"/>
              </w:rPr>
              <w:t xml:space="preserve">Official documents from LGs and water utility companies </w:t>
            </w:r>
          </w:p>
        </w:tc>
        <w:tc>
          <w:tcPr>
            <w:tcW w:w="500" w:type="pct"/>
            <w:vMerge w:val="restart"/>
            <w:vAlign w:val="center"/>
          </w:tcPr>
          <w:p w14:paraId="460AC8C0" w14:textId="77777777" w:rsidR="00D12E01" w:rsidRPr="00D42106" w:rsidRDefault="00D12E01">
            <w:pPr>
              <w:autoSpaceDE w:val="0"/>
              <w:autoSpaceDN w:val="0"/>
              <w:adjustRightInd w:val="0"/>
              <w:rPr>
                <w:sz w:val="20"/>
                <w:szCs w:val="20"/>
                <w:lang w:val="en-GB"/>
              </w:rPr>
            </w:pPr>
            <w:r w:rsidRPr="00D42106">
              <w:rPr>
                <w:sz w:val="20"/>
                <w:szCs w:val="20"/>
                <w:lang w:val="en-GB"/>
              </w:rPr>
              <w:t>Motivated management and staff in water utilities.</w:t>
            </w:r>
          </w:p>
        </w:tc>
      </w:tr>
      <w:tr w:rsidR="003E7ED5" w:rsidRPr="00D42106" w14:paraId="289B5D53" w14:textId="77777777" w:rsidTr="003E7ED5">
        <w:trPr>
          <w:trHeight w:val="360"/>
        </w:trPr>
        <w:tc>
          <w:tcPr>
            <w:tcW w:w="188" w:type="pct"/>
            <w:vMerge/>
            <w:shd w:val="clear" w:color="auto" w:fill="D9D9D9"/>
            <w:textDirection w:val="btLr"/>
          </w:tcPr>
          <w:p w14:paraId="52CA5FBA" w14:textId="77777777" w:rsidR="00D12E01" w:rsidRPr="00D42106" w:rsidRDefault="00D12E01">
            <w:pPr>
              <w:tabs>
                <w:tab w:val="left" w:pos="0"/>
                <w:tab w:val="left" w:pos="132"/>
              </w:tabs>
              <w:ind w:left="113" w:right="113" w:hanging="101"/>
              <w:rPr>
                <w:b/>
                <w:sz w:val="20"/>
                <w:szCs w:val="20"/>
                <w:lang w:val="en-GB"/>
              </w:rPr>
            </w:pPr>
          </w:p>
        </w:tc>
        <w:tc>
          <w:tcPr>
            <w:tcW w:w="710" w:type="pct"/>
            <w:vMerge/>
            <w:shd w:val="clear" w:color="auto" w:fill="FFFFFF"/>
          </w:tcPr>
          <w:p w14:paraId="38C7354B" w14:textId="77777777" w:rsidR="00D12E01" w:rsidRPr="00D42106" w:rsidRDefault="00D12E01">
            <w:pPr>
              <w:autoSpaceDE w:val="0"/>
              <w:autoSpaceDN w:val="0"/>
              <w:adjustRightInd w:val="0"/>
              <w:rPr>
                <w:sz w:val="20"/>
                <w:szCs w:val="20"/>
                <w:lang w:val="en-GB"/>
              </w:rPr>
            </w:pPr>
          </w:p>
        </w:tc>
        <w:tc>
          <w:tcPr>
            <w:tcW w:w="1288" w:type="pct"/>
            <w:tcBorders>
              <w:bottom w:val="single" w:sz="4" w:space="0" w:color="auto"/>
            </w:tcBorders>
            <w:shd w:val="clear" w:color="auto" w:fill="FFFFFF"/>
            <w:vAlign w:val="center"/>
          </w:tcPr>
          <w:p w14:paraId="4D54461A" w14:textId="77777777" w:rsidR="00D12E01" w:rsidRPr="00D42106" w:rsidRDefault="00D12E01">
            <w:pPr>
              <w:rPr>
                <w:sz w:val="20"/>
                <w:szCs w:val="20"/>
                <w:lang w:val="en-GB"/>
              </w:rPr>
            </w:pPr>
            <w:r w:rsidRPr="00D42106">
              <w:rPr>
                <w:sz w:val="20"/>
                <w:szCs w:val="20"/>
                <w:lang w:val="en-GB"/>
              </w:rPr>
              <w:t>Days sales outstanding (DSO)</w:t>
            </w:r>
          </w:p>
        </w:tc>
        <w:tc>
          <w:tcPr>
            <w:tcW w:w="661" w:type="pct"/>
            <w:tcBorders>
              <w:bottom w:val="single" w:sz="4" w:space="0" w:color="auto"/>
            </w:tcBorders>
            <w:shd w:val="clear" w:color="auto" w:fill="FFFFFF"/>
            <w:vAlign w:val="center"/>
          </w:tcPr>
          <w:p w14:paraId="351234B4" w14:textId="77777777" w:rsidR="00D12E01" w:rsidRPr="00D42106" w:rsidRDefault="00D12E01">
            <w:pPr>
              <w:jc w:val="center"/>
              <w:rPr>
                <w:sz w:val="20"/>
                <w:szCs w:val="20"/>
                <w:lang w:val="en-GB"/>
              </w:rPr>
            </w:pPr>
            <w:r w:rsidRPr="00D42106">
              <w:rPr>
                <w:sz w:val="20"/>
                <w:szCs w:val="20"/>
                <w:lang w:val="en-GB"/>
              </w:rPr>
              <w:t>To be established upon the Action start (early 2022)</w:t>
            </w:r>
          </w:p>
        </w:tc>
        <w:tc>
          <w:tcPr>
            <w:tcW w:w="662" w:type="pct"/>
            <w:tcBorders>
              <w:bottom w:val="single" w:sz="4" w:space="0" w:color="auto"/>
            </w:tcBorders>
            <w:shd w:val="clear" w:color="auto" w:fill="FFFFFF"/>
            <w:vAlign w:val="center"/>
          </w:tcPr>
          <w:p w14:paraId="167CAE64" w14:textId="77777777" w:rsidR="00D12E01" w:rsidRPr="00D42106" w:rsidRDefault="00D12E01">
            <w:pPr>
              <w:jc w:val="center"/>
              <w:rPr>
                <w:sz w:val="20"/>
                <w:szCs w:val="20"/>
                <w:lang w:val="en-GB"/>
              </w:rPr>
            </w:pPr>
            <w:r w:rsidRPr="00D42106">
              <w:rPr>
                <w:sz w:val="20"/>
                <w:szCs w:val="20"/>
                <w:lang w:val="en-GB"/>
              </w:rPr>
              <w:t>Less than 90 (2024)</w:t>
            </w:r>
          </w:p>
        </w:tc>
        <w:tc>
          <w:tcPr>
            <w:tcW w:w="582" w:type="pct"/>
            <w:shd w:val="clear" w:color="auto" w:fill="FA807D"/>
            <w:vAlign w:val="center"/>
          </w:tcPr>
          <w:p w14:paraId="483AF35E" w14:textId="77777777" w:rsidR="00D12E01" w:rsidRPr="00D42106" w:rsidRDefault="00D12E01">
            <w:pPr>
              <w:spacing w:before="60"/>
              <w:jc w:val="center"/>
              <w:rPr>
                <w:b/>
                <w:bCs/>
                <w:sz w:val="20"/>
                <w:szCs w:val="20"/>
                <w:lang w:val="en-GB"/>
              </w:rPr>
            </w:pPr>
            <w:r w:rsidRPr="00D42106">
              <w:rPr>
                <w:b/>
                <w:bCs/>
                <w:sz w:val="20"/>
                <w:szCs w:val="20"/>
                <w:lang w:val="en-GB"/>
              </w:rPr>
              <w:t>98</w:t>
            </w:r>
          </w:p>
        </w:tc>
        <w:tc>
          <w:tcPr>
            <w:tcW w:w="409" w:type="pct"/>
            <w:vMerge/>
            <w:shd w:val="clear" w:color="auto" w:fill="FFFFFF"/>
          </w:tcPr>
          <w:p w14:paraId="18972A1A" w14:textId="77777777" w:rsidR="00D12E01" w:rsidRPr="00D42106" w:rsidRDefault="00D12E01">
            <w:pPr>
              <w:spacing w:before="60"/>
              <w:rPr>
                <w:sz w:val="20"/>
                <w:szCs w:val="20"/>
                <w:lang w:val="en-GB"/>
              </w:rPr>
            </w:pPr>
          </w:p>
        </w:tc>
        <w:tc>
          <w:tcPr>
            <w:tcW w:w="500" w:type="pct"/>
            <w:vMerge/>
          </w:tcPr>
          <w:p w14:paraId="7A36EFD3" w14:textId="77777777" w:rsidR="00D12E01" w:rsidRPr="00D42106" w:rsidRDefault="00D12E01">
            <w:pPr>
              <w:autoSpaceDE w:val="0"/>
              <w:autoSpaceDN w:val="0"/>
              <w:adjustRightInd w:val="0"/>
              <w:rPr>
                <w:sz w:val="20"/>
                <w:szCs w:val="20"/>
                <w:lang w:val="en-GB"/>
              </w:rPr>
            </w:pPr>
          </w:p>
        </w:tc>
      </w:tr>
      <w:tr w:rsidR="003E7ED5" w:rsidRPr="00D42106" w14:paraId="13B0505A" w14:textId="77777777" w:rsidTr="003E7ED5">
        <w:trPr>
          <w:trHeight w:val="360"/>
        </w:trPr>
        <w:tc>
          <w:tcPr>
            <w:tcW w:w="188" w:type="pct"/>
            <w:vMerge/>
            <w:shd w:val="clear" w:color="auto" w:fill="D9D9D9"/>
            <w:textDirection w:val="btLr"/>
          </w:tcPr>
          <w:p w14:paraId="6B5813BD" w14:textId="77777777" w:rsidR="00D12E01" w:rsidRPr="00D42106" w:rsidRDefault="00D12E01">
            <w:pPr>
              <w:tabs>
                <w:tab w:val="left" w:pos="0"/>
                <w:tab w:val="left" w:pos="132"/>
              </w:tabs>
              <w:ind w:left="113" w:right="113" w:hanging="101"/>
              <w:rPr>
                <w:b/>
                <w:sz w:val="20"/>
                <w:szCs w:val="20"/>
                <w:lang w:val="en-GB"/>
              </w:rPr>
            </w:pPr>
          </w:p>
        </w:tc>
        <w:tc>
          <w:tcPr>
            <w:tcW w:w="710" w:type="pct"/>
            <w:vMerge/>
            <w:shd w:val="clear" w:color="auto" w:fill="FFFFFF"/>
          </w:tcPr>
          <w:p w14:paraId="2CFA2AA7" w14:textId="77777777" w:rsidR="00D12E01" w:rsidRPr="00D42106" w:rsidRDefault="00D12E01">
            <w:pPr>
              <w:autoSpaceDE w:val="0"/>
              <w:autoSpaceDN w:val="0"/>
              <w:adjustRightInd w:val="0"/>
              <w:rPr>
                <w:sz w:val="20"/>
                <w:szCs w:val="20"/>
                <w:lang w:val="en-GB"/>
              </w:rPr>
            </w:pPr>
          </w:p>
        </w:tc>
        <w:tc>
          <w:tcPr>
            <w:tcW w:w="1288" w:type="pct"/>
            <w:tcBorders>
              <w:bottom w:val="single" w:sz="4" w:space="0" w:color="auto"/>
            </w:tcBorders>
            <w:shd w:val="clear" w:color="auto" w:fill="FFFFFF"/>
            <w:vAlign w:val="center"/>
          </w:tcPr>
          <w:p w14:paraId="14431F37" w14:textId="77777777" w:rsidR="00D12E01" w:rsidRPr="00D42106" w:rsidRDefault="00D12E01">
            <w:pPr>
              <w:rPr>
                <w:sz w:val="20"/>
                <w:szCs w:val="20"/>
                <w:lang w:val="en-GB"/>
              </w:rPr>
            </w:pPr>
            <w:r w:rsidRPr="00D42106">
              <w:rPr>
                <w:sz w:val="20"/>
                <w:szCs w:val="20"/>
                <w:lang w:val="en-GB"/>
              </w:rPr>
              <w:t>Number of employees per thousand water supply connections.</w:t>
            </w:r>
          </w:p>
        </w:tc>
        <w:tc>
          <w:tcPr>
            <w:tcW w:w="661" w:type="pct"/>
            <w:tcBorders>
              <w:bottom w:val="single" w:sz="4" w:space="0" w:color="auto"/>
            </w:tcBorders>
            <w:shd w:val="clear" w:color="auto" w:fill="FFFFFF"/>
            <w:vAlign w:val="center"/>
          </w:tcPr>
          <w:p w14:paraId="6E112C96" w14:textId="77777777" w:rsidR="00D12E01" w:rsidRPr="00D42106" w:rsidRDefault="00D12E01">
            <w:pPr>
              <w:jc w:val="center"/>
              <w:rPr>
                <w:sz w:val="20"/>
                <w:szCs w:val="20"/>
                <w:lang w:val="en-GB"/>
              </w:rPr>
            </w:pPr>
            <w:r w:rsidRPr="00D42106">
              <w:rPr>
                <w:sz w:val="20"/>
                <w:szCs w:val="20"/>
                <w:lang w:val="en-GB"/>
              </w:rPr>
              <w:t>To be established upon the Action start (early 2022)</w:t>
            </w:r>
          </w:p>
        </w:tc>
        <w:tc>
          <w:tcPr>
            <w:tcW w:w="662" w:type="pct"/>
            <w:tcBorders>
              <w:bottom w:val="single" w:sz="4" w:space="0" w:color="auto"/>
            </w:tcBorders>
            <w:shd w:val="clear" w:color="auto" w:fill="FFFFFF"/>
            <w:vAlign w:val="center"/>
          </w:tcPr>
          <w:p w14:paraId="23E86BC2" w14:textId="77777777" w:rsidR="00D12E01" w:rsidRPr="00D42106" w:rsidRDefault="00D12E01">
            <w:pPr>
              <w:jc w:val="center"/>
              <w:rPr>
                <w:spacing w:val="-4"/>
                <w:sz w:val="20"/>
                <w:szCs w:val="20"/>
                <w:lang w:val="en-GB"/>
              </w:rPr>
            </w:pPr>
            <w:r w:rsidRPr="00D42106">
              <w:rPr>
                <w:spacing w:val="-4"/>
                <w:sz w:val="20"/>
                <w:szCs w:val="20"/>
                <w:lang w:val="en-GB"/>
              </w:rPr>
              <w:t>As defined by the draft Decree on water tariff methodology (2024)</w:t>
            </w:r>
          </w:p>
        </w:tc>
        <w:tc>
          <w:tcPr>
            <w:tcW w:w="582" w:type="pct"/>
            <w:vAlign w:val="center"/>
          </w:tcPr>
          <w:p w14:paraId="267AAF4B" w14:textId="77777777" w:rsidR="00D12E01" w:rsidRPr="00D42106" w:rsidRDefault="00D12E01">
            <w:pPr>
              <w:spacing w:before="60"/>
              <w:jc w:val="center"/>
              <w:rPr>
                <w:b/>
                <w:bCs/>
                <w:sz w:val="20"/>
                <w:szCs w:val="20"/>
                <w:lang w:val="en-GB"/>
              </w:rPr>
            </w:pPr>
            <w:r w:rsidRPr="00D42106">
              <w:rPr>
                <w:b/>
                <w:bCs/>
                <w:sz w:val="20"/>
                <w:szCs w:val="20"/>
                <w:lang w:val="en-GB"/>
              </w:rPr>
              <w:t>5.18</w:t>
            </w:r>
          </w:p>
        </w:tc>
        <w:tc>
          <w:tcPr>
            <w:tcW w:w="409" w:type="pct"/>
            <w:vMerge/>
            <w:shd w:val="clear" w:color="auto" w:fill="FFFFFF"/>
          </w:tcPr>
          <w:p w14:paraId="4BA3A477" w14:textId="77777777" w:rsidR="00D12E01" w:rsidRPr="00D42106" w:rsidRDefault="00D12E01">
            <w:pPr>
              <w:spacing w:before="60"/>
              <w:rPr>
                <w:sz w:val="20"/>
                <w:szCs w:val="20"/>
                <w:lang w:val="en-GB"/>
              </w:rPr>
            </w:pPr>
          </w:p>
        </w:tc>
        <w:tc>
          <w:tcPr>
            <w:tcW w:w="500" w:type="pct"/>
            <w:vMerge/>
          </w:tcPr>
          <w:p w14:paraId="5FE9495D" w14:textId="77777777" w:rsidR="00D12E01" w:rsidRPr="00D42106" w:rsidRDefault="00D12E01">
            <w:pPr>
              <w:autoSpaceDE w:val="0"/>
              <w:autoSpaceDN w:val="0"/>
              <w:adjustRightInd w:val="0"/>
              <w:rPr>
                <w:sz w:val="20"/>
                <w:szCs w:val="20"/>
                <w:lang w:val="en-GB"/>
              </w:rPr>
            </w:pPr>
          </w:p>
        </w:tc>
      </w:tr>
      <w:tr w:rsidR="003E7ED5" w:rsidRPr="00D42106" w14:paraId="2B8317BD" w14:textId="77777777" w:rsidTr="003E7ED5">
        <w:trPr>
          <w:trHeight w:val="443"/>
        </w:trPr>
        <w:tc>
          <w:tcPr>
            <w:tcW w:w="188" w:type="pct"/>
            <w:vMerge/>
            <w:shd w:val="clear" w:color="auto" w:fill="D9D9D9"/>
            <w:textDirection w:val="btLr"/>
          </w:tcPr>
          <w:p w14:paraId="6E073ED2" w14:textId="77777777" w:rsidR="00D12E01" w:rsidRPr="00D42106" w:rsidRDefault="00D12E01">
            <w:pPr>
              <w:tabs>
                <w:tab w:val="left" w:pos="0"/>
                <w:tab w:val="left" w:pos="132"/>
              </w:tabs>
              <w:ind w:left="113" w:right="113" w:hanging="101"/>
              <w:rPr>
                <w:b/>
                <w:sz w:val="20"/>
                <w:szCs w:val="20"/>
                <w:lang w:val="en-GB"/>
              </w:rPr>
            </w:pPr>
          </w:p>
        </w:tc>
        <w:tc>
          <w:tcPr>
            <w:tcW w:w="710" w:type="pct"/>
            <w:vMerge/>
            <w:shd w:val="clear" w:color="auto" w:fill="FFFFFF"/>
          </w:tcPr>
          <w:p w14:paraId="2701EBFC" w14:textId="77777777" w:rsidR="00D12E01" w:rsidRPr="00D42106" w:rsidRDefault="00D12E01">
            <w:pPr>
              <w:autoSpaceDE w:val="0"/>
              <w:autoSpaceDN w:val="0"/>
              <w:adjustRightInd w:val="0"/>
              <w:rPr>
                <w:sz w:val="20"/>
                <w:szCs w:val="20"/>
                <w:lang w:val="en-GB"/>
              </w:rPr>
            </w:pPr>
          </w:p>
        </w:tc>
        <w:tc>
          <w:tcPr>
            <w:tcW w:w="1288" w:type="pct"/>
            <w:tcBorders>
              <w:bottom w:val="single" w:sz="4" w:space="0" w:color="auto"/>
            </w:tcBorders>
            <w:shd w:val="clear" w:color="auto" w:fill="FFFFFF"/>
            <w:vAlign w:val="center"/>
          </w:tcPr>
          <w:p w14:paraId="0FC6F964" w14:textId="77777777" w:rsidR="00D12E01" w:rsidRPr="00D42106" w:rsidRDefault="00D12E01">
            <w:pPr>
              <w:rPr>
                <w:sz w:val="20"/>
                <w:szCs w:val="20"/>
                <w:lang w:val="en-GB"/>
              </w:rPr>
            </w:pPr>
            <w:r w:rsidRPr="00D42106">
              <w:rPr>
                <w:sz w:val="20"/>
                <w:szCs w:val="20"/>
                <w:lang w:val="en-GB"/>
              </w:rPr>
              <w:t># of priority river sections cleaned from plastic and other waste</w:t>
            </w:r>
          </w:p>
        </w:tc>
        <w:tc>
          <w:tcPr>
            <w:tcW w:w="661" w:type="pct"/>
            <w:tcBorders>
              <w:bottom w:val="single" w:sz="4" w:space="0" w:color="auto"/>
            </w:tcBorders>
            <w:shd w:val="clear" w:color="auto" w:fill="FFFFFF"/>
            <w:vAlign w:val="center"/>
          </w:tcPr>
          <w:p w14:paraId="5F5A38CF" w14:textId="77777777" w:rsidR="00D12E01" w:rsidRPr="00D42106" w:rsidRDefault="00D12E01">
            <w:pPr>
              <w:jc w:val="center"/>
              <w:rPr>
                <w:sz w:val="20"/>
                <w:szCs w:val="20"/>
                <w:lang w:val="en-GB"/>
              </w:rPr>
            </w:pPr>
            <w:r w:rsidRPr="00D42106">
              <w:rPr>
                <w:sz w:val="20"/>
                <w:szCs w:val="20"/>
                <w:lang w:val="en-GB"/>
              </w:rPr>
              <w:t>0 (2021)</w:t>
            </w:r>
          </w:p>
        </w:tc>
        <w:tc>
          <w:tcPr>
            <w:tcW w:w="662" w:type="pct"/>
            <w:tcBorders>
              <w:bottom w:val="single" w:sz="4" w:space="0" w:color="auto"/>
            </w:tcBorders>
            <w:shd w:val="clear" w:color="auto" w:fill="FFFFFF"/>
            <w:vAlign w:val="center"/>
          </w:tcPr>
          <w:p w14:paraId="234241FB" w14:textId="77777777" w:rsidR="00D12E01" w:rsidRPr="00D42106" w:rsidRDefault="00D12E01">
            <w:pPr>
              <w:jc w:val="center"/>
              <w:rPr>
                <w:sz w:val="20"/>
                <w:szCs w:val="20"/>
                <w:lang w:val="en-GB"/>
              </w:rPr>
            </w:pPr>
            <w:r w:rsidRPr="00D42106">
              <w:rPr>
                <w:sz w:val="20"/>
                <w:szCs w:val="20"/>
                <w:lang w:val="en-GB"/>
              </w:rPr>
              <w:t>9 LGs (2024)</w:t>
            </w:r>
          </w:p>
        </w:tc>
        <w:tc>
          <w:tcPr>
            <w:tcW w:w="582" w:type="pct"/>
            <w:shd w:val="clear" w:color="auto" w:fill="FA807D"/>
            <w:vAlign w:val="center"/>
          </w:tcPr>
          <w:p w14:paraId="3FE9F96C" w14:textId="77777777" w:rsidR="00D12E01" w:rsidRPr="00D42106" w:rsidRDefault="00D12E01">
            <w:pPr>
              <w:spacing w:before="60"/>
              <w:jc w:val="center"/>
              <w:rPr>
                <w:b/>
                <w:bCs/>
                <w:sz w:val="20"/>
                <w:szCs w:val="20"/>
                <w:lang w:val="en-GB"/>
              </w:rPr>
            </w:pPr>
            <w:r w:rsidRPr="00D42106">
              <w:rPr>
                <w:b/>
                <w:bCs/>
                <w:sz w:val="20"/>
                <w:szCs w:val="20"/>
                <w:lang w:val="en-GB"/>
              </w:rPr>
              <w:t>0</w:t>
            </w:r>
          </w:p>
        </w:tc>
        <w:tc>
          <w:tcPr>
            <w:tcW w:w="409" w:type="pct"/>
            <w:vMerge/>
            <w:shd w:val="clear" w:color="auto" w:fill="FFFFFF"/>
          </w:tcPr>
          <w:p w14:paraId="0E1289C4" w14:textId="77777777" w:rsidR="00D12E01" w:rsidRPr="00D42106" w:rsidRDefault="00D12E01">
            <w:pPr>
              <w:spacing w:before="60"/>
              <w:rPr>
                <w:sz w:val="20"/>
                <w:szCs w:val="20"/>
                <w:lang w:val="en-GB"/>
              </w:rPr>
            </w:pPr>
          </w:p>
        </w:tc>
        <w:tc>
          <w:tcPr>
            <w:tcW w:w="500" w:type="pct"/>
            <w:vMerge/>
          </w:tcPr>
          <w:p w14:paraId="783BDC65" w14:textId="77777777" w:rsidR="00D12E01" w:rsidRPr="00D42106" w:rsidRDefault="00D12E01">
            <w:pPr>
              <w:autoSpaceDE w:val="0"/>
              <w:autoSpaceDN w:val="0"/>
              <w:adjustRightInd w:val="0"/>
              <w:rPr>
                <w:sz w:val="20"/>
                <w:szCs w:val="20"/>
                <w:lang w:val="en-GB"/>
              </w:rPr>
            </w:pPr>
          </w:p>
        </w:tc>
      </w:tr>
    </w:tbl>
    <w:p w14:paraId="0DA852F3" w14:textId="77777777" w:rsidR="002A7FBF" w:rsidRPr="00F569AE" w:rsidRDefault="002A7FBF" w:rsidP="002A7FBF">
      <w:pPr>
        <w:rPr>
          <w:lang w:val="en-US"/>
        </w:rPr>
      </w:pPr>
    </w:p>
    <w:p w14:paraId="3F291E06" w14:textId="241E0DFF" w:rsidR="002A7FBF" w:rsidRPr="00F569AE" w:rsidRDefault="002A7FBF" w:rsidP="002A7FBF">
      <w:pPr>
        <w:pStyle w:val="Heading2"/>
        <w:rPr>
          <w:rFonts w:ascii="Calibri" w:hAnsi="Calibri" w:cs="Calibri"/>
          <w:i/>
        </w:rPr>
      </w:pPr>
      <w:bookmarkStart w:id="212" w:name="_Toc210058538"/>
      <w:r w:rsidRPr="00F569AE">
        <w:rPr>
          <w:rFonts w:ascii="Calibri" w:hAnsi="Calibri" w:cs="Calibri"/>
          <w:i/>
        </w:rPr>
        <w:lastRenderedPageBreak/>
        <w:t xml:space="preserve">Annex 3: Description of project </w:t>
      </w:r>
      <w:r w:rsidR="00146B26">
        <w:rPr>
          <w:rFonts w:ascii="Calibri" w:hAnsi="Calibri" w:cs="Calibri"/>
          <w:i/>
        </w:rPr>
        <w:t>progress and results</w:t>
      </w:r>
      <w:bookmarkEnd w:id="212"/>
      <w:r w:rsidR="00146B26">
        <w:rPr>
          <w:rFonts w:ascii="Calibri" w:hAnsi="Calibri" w:cs="Calibri"/>
          <w:i/>
        </w:rPr>
        <w:t xml:space="preserve"> </w:t>
      </w:r>
    </w:p>
    <w:p w14:paraId="2771B408" w14:textId="77777777" w:rsidR="002A7FBF" w:rsidRPr="00F569AE" w:rsidRDefault="002A7FBF" w:rsidP="002A7FBF">
      <w:pPr>
        <w:rPr>
          <w:lang w:val="en-US"/>
        </w:rPr>
      </w:pPr>
    </w:p>
    <w:p w14:paraId="5014674E" w14:textId="77777777" w:rsidR="002A7FBF" w:rsidRPr="00F569AE" w:rsidRDefault="002A7FBF" w:rsidP="002A7FBF">
      <w:pPr>
        <w:rPr>
          <w:lang w:val="en-US"/>
        </w:rPr>
      </w:pPr>
    </w:p>
    <w:p w14:paraId="39CBF15B" w14:textId="77777777" w:rsidR="002A7FBF" w:rsidRPr="00F569AE" w:rsidRDefault="002A7FBF" w:rsidP="0033780B">
      <w:pPr>
        <w:pStyle w:val="p1"/>
        <w:numPr>
          <w:ilvl w:val="0"/>
          <w:numId w:val="8"/>
        </w:numPr>
        <w:spacing w:line="276" w:lineRule="auto"/>
        <w:rPr>
          <w:rFonts w:ascii="Calibri" w:hAnsi="Calibri" w:cs="Calibri"/>
          <w:i/>
          <w:sz w:val="24"/>
          <w:szCs w:val="24"/>
        </w:rPr>
      </w:pPr>
      <w:r w:rsidRPr="00F569AE">
        <w:rPr>
          <w:rFonts w:ascii="Calibri" w:hAnsi="Calibri" w:cs="Calibri"/>
          <w:b/>
          <w:i/>
          <w:sz w:val="24"/>
          <w:szCs w:val="24"/>
          <w:u w:val="single"/>
        </w:rPr>
        <w:t>Efforts made towards achieving Outcome 1:</w:t>
      </w:r>
      <w:r w:rsidRPr="00F569AE">
        <w:rPr>
          <w:rFonts w:ascii="Calibri" w:hAnsi="Calibri" w:cs="Calibri"/>
          <w:i/>
          <w:sz w:val="24"/>
          <w:szCs w:val="24"/>
        </w:rPr>
        <w:t xml:space="preserve"> </w:t>
      </w:r>
      <w:r w:rsidRPr="00F569AE">
        <w:rPr>
          <w:rFonts w:ascii="Calibri" w:hAnsi="Calibri" w:cs="Calibri"/>
          <w:i/>
          <w:sz w:val="24"/>
          <w:szCs w:val="24"/>
          <w:lang w:eastAsia="hr-HR"/>
        </w:rPr>
        <w:t>State, entity, and cantonal governments set in place a more conductive policy and regulatory environment that affirms result-oriented local governance and improved water supply and wastewater management services</w:t>
      </w:r>
    </w:p>
    <w:p w14:paraId="67AA953C" w14:textId="46C83E9F" w:rsidR="004D27F7" w:rsidRPr="00F569AE" w:rsidRDefault="004D27F7" w:rsidP="004D27F7">
      <w:pPr>
        <w:spacing w:before="100" w:beforeAutospacing="1" w:after="100" w:afterAutospacing="1" w:line="276" w:lineRule="auto"/>
        <w:jc w:val="both"/>
        <w:rPr>
          <w:rFonts w:ascii="Calibri" w:hAnsi="Calibri" w:cs="Calibri"/>
          <w:lang w:val="en-US" w:eastAsia="sr-Latn-BA"/>
        </w:rPr>
      </w:pPr>
      <w:r w:rsidRPr="00F569AE">
        <w:rPr>
          <w:rFonts w:ascii="Calibri" w:hAnsi="Calibri" w:cs="Calibri"/>
          <w:lang w:val="en-US" w:eastAsia="sr-Latn-BA"/>
        </w:rPr>
        <w:t>Between 2022 and 2024, the MEG / EU4MEG Project made measurable progress under Outcome 1 by supporting institutional and policy-level reforms aimed at enhancing result-oriented local governance and improving the regulatory framework for water service delivery in Bosnia and Herzegovina.</w:t>
      </w:r>
    </w:p>
    <w:p w14:paraId="162C1E8D" w14:textId="058AC232" w:rsidR="004D27F7" w:rsidRPr="00F569AE" w:rsidRDefault="004D27F7" w:rsidP="004D27F7">
      <w:pPr>
        <w:spacing w:before="100" w:beforeAutospacing="1" w:after="100" w:afterAutospacing="1" w:line="276" w:lineRule="auto"/>
        <w:jc w:val="both"/>
        <w:rPr>
          <w:rFonts w:ascii="Calibri" w:hAnsi="Calibri" w:cs="Calibri"/>
          <w:lang w:val="en-US" w:eastAsia="sr-Latn-BA"/>
        </w:rPr>
      </w:pPr>
      <w:r w:rsidRPr="00F569AE">
        <w:rPr>
          <w:rFonts w:ascii="Calibri" w:hAnsi="Calibri" w:cs="Calibri"/>
          <w:lang w:val="en-US" w:eastAsia="sr-Latn-BA"/>
        </w:rPr>
        <w:t xml:space="preserve">One of the </w:t>
      </w:r>
      <w:r w:rsidR="00C76EE6">
        <w:rPr>
          <w:rFonts w:ascii="Calibri" w:hAnsi="Calibri" w:cs="Calibri"/>
          <w:lang w:val="en-US" w:eastAsia="sr-Latn-BA"/>
        </w:rPr>
        <w:t>results</w:t>
      </w:r>
      <w:r w:rsidRPr="00F569AE">
        <w:rPr>
          <w:rFonts w:ascii="Calibri" w:hAnsi="Calibri" w:cs="Calibri"/>
          <w:lang w:val="en-US" w:eastAsia="sr-Latn-BA"/>
        </w:rPr>
        <w:t xml:space="preserve"> was the development and piloting of the </w:t>
      </w:r>
      <w:r w:rsidRPr="00F569AE">
        <w:rPr>
          <w:rFonts w:ascii="Calibri" w:hAnsi="Calibri" w:cs="Calibri"/>
          <w:b/>
          <w:lang w:val="en-US" w:eastAsia="sr-Latn-BA"/>
        </w:rPr>
        <w:t>Common Assessment Framework for Local Governments (CAF for LGs in BiH)</w:t>
      </w:r>
      <w:r w:rsidRPr="00F569AE">
        <w:rPr>
          <w:rFonts w:ascii="Calibri" w:hAnsi="Calibri" w:cs="Calibri"/>
          <w:lang w:val="en-US" w:eastAsia="sr-Latn-BA"/>
        </w:rPr>
        <w:t xml:space="preserve">. Building on earlier work, the Project </w:t>
      </w:r>
      <w:r w:rsidR="007A71B7" w:rsidRPr="00F569AE">
        <w:rPr>
          <w:rFonts w:ascii="Calibri" w:hAnsi="Calibri" w:cs="Calibri"/>
          <w:lang w:val="en-US" w:eastAsia="sr-Latn-BA"/>
        </w:rPr>
        <w:t xml:space="preserve">supported the </w:t>
      </w:r>
      <w:r w:rsidRPr="00F569AE">
        <w:rPr>
          <w:rFonts w:ascii="Calibri" w:hAnsi="Calibri" w:cs="Calibri"/>
          <w:lang w:val="en-US" w:eastAsia="sr-Latn-BA"/>
        </w:rPr>
        <w:t>establish</w:t>
      </w:r>
      <w:r w:rsidR="007A71B7" w:rsidRPr="00F569AE">
        <w:rPr>
          <w:rFonts w:ascii="Calibri" w:hAnsi="Calibri" w:cs="Calibri"/>
          <w:lang w:val="en-US" w:eastAsia="sr-Latn-BA"/>
        </w:rPr>
        <w:t>ment of</w:t>
      </w:r>
      <w:r w:rsidRPr="00F569AE">
        <w:rPr>
          <w:rFonts w:ascii="Calibri" w:hAnsi="Calibri" w:cs="Calibri"/>
          <w:lang w:val="en-US" w:eastAsia="sr-Latn-BA"/>
        </w:rPr>
        <w:t xml:space="preserve"> a dedicated Working Group (WG), which held five formal meetings in 2022 and an additional two in both 2023 and 2024. The group grew to include 44 members (21 men and 23 women) by 2024, reflecting broad-based engagement. Initially piloted in four LGs in 2022, the CAF for LGs was tested in six more local governments in 2023 and further expanded to six new in 2024, reaching a total of 16 participating LGs. A major milestone was achieved when the City of Bihać became the first LG in BiH to earn the "Effective CAF User" certification following an independent external assessment. To build sustainability and local capacity, 30 civil servants (19 women and 11 men) received formal CAF trainer certification through the European Institute of Public Administration (EIPA).</w:t>
      </w:r>
    </w:p>
    <w:p w14:paraId="359CD573" w14:textId="1FA5D660" w:rsidR="004D27F7" w:rsidRPr="00C76EE6" w:rsidRDefault="004D27F7" w:rsidP="004D27F7">
      <w:pPr>
        <w:spacing w:before="100" w:beforeAutospacing="1" w:after="100" w:afterAutospacing="1" w:line="276" w:lineRule="auto"/>
        <w:jc w:val="both"/>
        <w:rPr>
          <w:rFonts w:ascii="Helvetica" w:hAnsi="Helvetica"/>
          <w:color w:val="000000"/>
          <w:sz w:val="21"/>
          <w:szCs w:val="21"/>
        </w:rPr>
      </w:pPr>
      <w:r w:rsidRPr="00F569AE">
        <w:rPr>
          <w:rFonts w:ascii="Calibri" w:hAnsi="Calibri" w:cs="Calibri"/>
          <w:lang w:val="en-US" w:eastAsia="sr-Latn-BA"/>
        </w:rPr>
        <w:t xml:space="preserve">In parallel, the Project played a key role in advancing policy reform in the water sector at both entity levels. Throughout the period, the project team worked closely with the Federal Ministry of Agriculture, Water Management and Forestry and the RS Ministry of Agriculture, Forestry, and Water Management to support the development of entity-level </w:t>
      </w:r>
      <w:r w:rsidRPr="00F569AE">
        <w:rPr>
          <w:rFonts w:ascii="Calibri" w:hAnsi="Calibri" w:cs="Calibri"/>
          <w:b/>
          <w:lang w:val="en-US" w:eastAsia="sr-Latn-BA"/>
        </w:rPr>
        <w:t>Laws on Water Services</w:t>
      </w:r>
      <w:r w:rsidRPr="00F569AE">
        <w:rPr>
          <w:rFonts w:ascii="Calibri" w:hAnsi="Calibri" w:cs="Calibri"/>
          <w:lang w:val="en-US" w:eastAsia="sr-Latn-BA"/>
        </w:rPr>
        <w:t xml:space="preserve">. In FBiH, a Regulatory Impact Assessment was completed by an intersectoral working group of 22 members (11 men and 11 women) and adopted by the governments. Drafting of the law continued into 2023 and was finalized in December. </w:t>
      </w:r>
      <w:r w:rsidR="00C76EE6">
        <w:rPr>
          <w:rFonts w:ascii="Calibri" w:hAnsi="Calibri" w:cs="Calibri"/>
          <w:lang w:val="en-US" w:eastAsia="sr-Latn-BA"/>
        </w:rPr>
        <w:t xml:space="preserve">In each entity a multi-stakeholder and inter-ministerial working group was established to develop the draft document for the water services law. Each working group comprised around 25-30 members and meet regularly. </w:t>
      </w:r>
      <w:r w:rsidR="00C76EE6" w:rsidRPr="00C76EE6">
        <w:rPr>
          <w:rFonts w:ascii="Calibri" w:hAnsi="Calibri" w:cs="Calibri"/>
          <w:b/>
          <w:i/>
          <w:lang w:val="en-US" w:eastAsia="sr-Latn-BA"/>
        </w:rPr>
        <w:t>In FBiH</w:t>
      </w:r>
      <w:r w:rsidR="00C76EE6">
        <w:rPr>
          <w:rFonts w:ascii="Calibri" w:hAnsi="Calibri" w:cs="Calibri"/>
          <w:lang w:val="en-US" w:eastAsia="sr-Latn-BA"/>
        </w:rPr>
        <w:t xml:space="preserve"> the first draft of the law was completed early 2025. However, during t</w:t>
      </w:r>
      <w:r w:rsidR="00C76EE6" w:rsidRPr="00C76EE6">
        <w:rPr>
          <w:rFonts w:ascii="Calibri" w:hAnsi="Calibri" w:cs="Calibri"/>
          <w:lang w:val="en-US" w:eastAsia="sr-Latn-BA"/>
        </w:rPr>
        <w:t xml:space="preserve">he first round of public hearings, the West Herzegovina Canton had objections, which led to halting legislative process. Work is currently underway to eliminate this objection, after which a second round of public hearings is </w:t>
      </w:r>
      <w:r w:rsidR="00C76EE6" w:rsidRPr="00C76EE6">
        <w:rPr>
          <w:rFonts w:ascii="Calibri" w:hAnsi="Calibri" w:cs="Calibri"/>
          <w:lang w:val="en-US" w:eastAsia="sr-Latn-BA"/>
        </w:rPr>
        <w:lastRenderedPageBreak/>
        <w:t>expected. The entire process is actively supported by the MEG project, particularly the Federal Ministry of Agriculture, Water Management and Forestry, which officially runs the consultation process.</w:t>
      </w:r>
      <w:r w:rsidR="00C76EE6">
        <w:rPr>
          <w:rFonts w:ascii="Helvetica" w:hAnsi="Helvetica"/>
          <w:color w:val="000000"/>
          <w:sz w:val="21"/>
          <w:szCs w:val="21"/>
        </w:rPr>
        <w:t xml:space="preserve"> </w:t>
      </w:r>
      <w:r w:rsidRPr="00C76EE6">
        <w:rPr>
          <w:rFonts w:ascii="Calibri" w:hAnsi="Calibri" w:cs="Calibri"/>
          <w:b/>
          <w:i/>
          <w:lang w:val="en-US" w:eastAsia="sr-Latn-BA"/>
        </w:rPr>
        <w:t>In RS,</w:t>
      </w:r>
      <w:r w:rsidRPr="00F569AE">
        <w:rPr>
          <w:rFonts w:ascii="Calibri" w:hAnsi="Calibri" w:cs="Calibri"/>
          <w:lang w:val="en-US" w:eastAsia="sr-Latn-BA"/>
        </w:rPr>
        <w:t xml:space="preserve"> despite delays caused by institutional disagreements and elections, the draft law was nearly completed by mid-2023, with the final stakeholder consultations concluding in late 2024. However, the formal adoption was postponed due to some unresolved objections raised by Vode Srpske.</w:t>
      </w:r>
    </w:p>
    <w:p w14:paraId="5CB56887" w14:textId="64BD08FF" w:rsidR="004D27F7" w:rsidRPr="00F569AE" w:rsidRDefault="004D27F7" w:rsidP="004D27F7">
      <w:pPr>
        <w:spacing w:before="100" w:beforeAutospacing="1" w:after="100" w:afterAutospacing="1" w:line="276" w:lineRule="auto"/>
        <w:jc w:val="both"/>
        <w:rPr>
          <w:rFonts w:ascii="Calibri" w:hAnsi="Calibri" w:cs="Calibri"/>
          <w:lang w:val="en-US" w:eastAsia="sr-Latn-BA"/>
        </w:rPr>
      </w:pPr>
      <w:r w:rsidRPr="00F569AE">
        <w:rPr>
          <w:rFonts w:ascii="Calibri" w:hAnsi="Calibri" w:cs="Calibri"/>
          <w:lang w:val="en-US" w:eastAsia="sr-Latn-BA"/>
        </w:rPr>
        <w:t xml:space="preserve">Promoting regulatory reforms and building sector-wide awareness was the main approach applied by MEG/ EU4MEG project. In 2022 and 2023, 14 promotional events were held across FBiH cantons, involving over 200 stakeholders, including representatives of cantonal ministries, municipal leaders, and utility directors. The Project also supported the rollout of the </w:t>
      </w:r>
      <w:r w:rsidRPr="00F569AE">
        <w:rPr>
          <w:rFonts w:ascii="Calibri" w:hAnsi="Calibri" w:cs="Calibri"/>
          <w:b/>
          <w:lang w:val="en-US" w:eastAsia="sr-Latn-BA"/>
        </w:rPr>
        <w:t>water tariff setting methodology</w:t>
      </w:r>
      <w:r w:rsidRPr="00F569AE">
        <w:rPr>
          <w:rFonts w:ascii="Calibri" w:hAnsi="Calibri" w:cs="Calibri"/>
          <w:lang w:val="en-US" w:eastAsia="sr-Latn-BA"/>
        </w:rPr>
        <w:t>, initially adopted in 2022. Training sessions organized with the Federal Association of Water Utilities and the RS Water Utility Association reached over 100 utilities in whole country. In 2024 alone, training was provided to 35 LGs and 65 representatives from non-MEG water utilities. Federal Association also organized four thematic conferences addressing key topics such as asset management, depreciation and tariffs, transparency, and sector reform advocacy.</w:t>
      </w:r>
    </w:p>
    <w:p w14:paraId="3677F562" w14:textId="77777777" w:rsidR="004D27F7" w:rsidRPr="00C76EE6" w:rsidRDefault="004D27F7" w:rsidP="004D27F7">
      <w:pPr>
        <w:spacing w:before="100" w:beforeAutospacing="1" w:after="100" w:afterAutospacing="1" w:line="276" w:lineRule="auto"/>
        <w:jc w:val="both"/>
        <w:rPr>
          <w:rFonts w:ascii="Calibri" w:hAnsi="Calibri" w:cs="Calibri"/>
          <w:lang w:val="en-US" w:eastAsia="sr-Latn-BA"/>
        </w:rPr>
      </w:pPr>
      <w:r w:rsidRPr="00C76EE6">
        <w:rPr>
          <w:rFonts w:ascii="Calibri" w:hAnsi="Calibri" w:cs="Calibri"/>
          <w:lang w:val="en-US" w:eastAsia="sr-Latn-BA"/>
        </w:rPr>
        <w:t xml:space="preserve">Finally, progress was made in establishing a </w:t>
      </w:r>
      <w:r w:rsidRPr="00C76EE6">
        <w:rPr>
          <w:rFonts w:ascii="Calibri" w:hAnsi="Calibri" w:cs="Calibri"/>
          <w:b/>
          <w:lang w:val="en-US" w:eastAsia="sr-Latn-BA"/>
        </w:rPr>
        <w:t>country-wide benchmarking system</w:t>
      </w:r>
      <w:r w:rsidRPr="00C76EE6">
        <w:rPr>
          <w:rFonts w:ascii="Calibri" w:hAnsi="Calibri" w:cs="Calibri"/>
          <w:lang w:val="en-US" w:eastAsia="sr-Latn-BA"/>
        </w:rPr>
        <w:t xml:space="preserve"> for water utilities. In partnership with the World Bank, the Project helped define over 300 input data fields and 70 performance indicators (KPIs) for utility companies. The benchmarking system will enable harmonized, data-driven performance monitoring and comparison across BiH. While software procurement was delayed due to complex coordination and procedural requirements, the ToR were finalized at the end of 2024, with expected implementation in 2025.</w:t>
      </w:r>
    </w:p>
    <w:p w14:paraId="2A931691" w14:textId="4AB9B11A" w:rsidR="004D27F7" w:rsidRPr="00C76EE6" w:rsidRDefault="004D27F7" w:rsidP="00885FF3">
      <w:pPr>
        <w:spacing w:before="100" w:beforeAutospacing="1" w:after="100" w:afterAutospacing="1" w:line="276" w:lineRule="auto"/>
        <w:jc w:val="both"/>
        <w:rPr>
          <w:rFonts w:ascii="Calibri" w:hAnsi="Calibri" w:cs="Calibri"/>
          <w:lang w:val="en-US" w:eastAsia="sr-Latn-BA"/>
        </w:rPr>
      </w:pPr>
      <w:r w:rsidRPr="00C76EE6">
        <w:rPr>
          <w:rFonts w:ascii="Calibri" w:hAnsi="Calibri" w:cs="Calibri"/>
          <w:lang w:val="en-US" w:eastAsia="sr-Latn-BA"/>
        </w:rPr>
        <w:t>Taken together, these efforts reflect tangible contributions to systemic reform. Through multi-level policy engagement, structured piloting, and institutional capacity development, the MEG/ EU4MEG project has laid critical foundations for more transparent, accountable, and performance-based governance in participating cities/municipalities and in the water sector.</w:t>
      </w:r>
    </w:p>
    <w:p w14:paraId="5FB4C57B" w14:textId="77777777" w:rsidR="002A7FBF" w:rsidRPr="00F569AE" w:rsidRDefault="002A7FBF" w:rsidP="002A7FBF">
      <w:pPr>
        <w:pStyle w:val="p1"/>
        <w:spacing w:line="276" w:lineRule="auto"/>
        <w:rPr>
          <w:rFonts w:ascii="Calibri" w:hAnsi="Calibri" w:cs="Calibri"/>
          <w:sz w:val="24"/>
          <w:szCs w:val="24"/>
        </w:rPr>
      </w:pPr>
    </w:p>
    <w:p w14:paraId="3508F240" w14:textId="77777777" w:rsidR="002A7FBF" w:rsidRPr="00F569AE" w:rsidRDefault="002A7FBF" w:rsidP="0033780B">
      <w:pPr>
        <w:pStyle w:val="p1"/>
        <w:numPr>
          <w:ilvl w:val="0"/>
          <w:numId w:val="7"/>
        </w:numPr>
        <w:spacing w:line="276" w:lineRule="auto"/>
        <w:rPr>
          <w:rFonts w:ascii="Calibri" w:hAnsi="Calibri" w:cs="Calibri"/>
          <w:i/>
          <w:sz w:val="24"/>
          <w:szCs w:val="24"/>
        </w:rPr>
      </w:pPr>
      <w:r w:rsidRPr="00F569AE">
        <w:rPr>
          <w:rFonts w:ascii="Calibri" w:hAnsi="Calibri" w:cs="Calibri"/>
          <w:b/>
          <w:i/>
          <w:sz w:val="24"/>
          <w:szCs w:val="24"/>
          <w:u w:val="single"/>
        </w:rPr>
        <w:t>Efforts made towards achieving Outcome 2:</w:t>
      </w:r>
      <w:r w:rsidRPr="00F569AE">
        <w:rPr>
          <w:rFonts w:ascii="Calibri" w:hAnsi="Calibri" w:cs="Calibri"/>
          <w:i/>
          <w:sz w:val="24"/>
          <w:szCs w:val="24"/>
        </w:rPr>
        <w:t xml:space="preserve"> </w:t>
      </w:r>
      <w:r w:rsidRPr="00F569AE">
        <w:rPr>
          <w:rFonts w:ascii="Calibri" w:hAnsi="Calibri" w:cs="Calibri"/>
          <w:i/>
          <w:sz w:val="24"/>
          <w:szCs w:val="24"/>
          <w:lang w:eastAsia="hr-HR"/>
        </w:rPr>
        <w:t>Local governments improve their performance, are more accountable, inclusive and gender-responsive, and provide high quality services, in particular in the water sector, in a climate-smart, disaster-resilient, inclusive and sustainable way</w:t>
      </w:r>
    </w:p>
    <w:p w14:paraId="334250AD" w14:textId="77777777" w:rsidR="002A7FBF" w:rsidRPr="00F569AE" w:rsidRDefault="002A7FBF" w:rsidP="002A7FBF">
      <w:pPr>
        <w:pStyle w:val="p1"/>
        <w:spacing w:line="276" w:lineRule="auto"/>
        <w:rPr>
          <w:rFonts w:ascii="Calibri" w:hAnsi="Calibri" w:cs="Calibri"/>
          <w:sz w:val="24"/>
          <w:szCs w:val="24"/>
        </w:rPr>
      </w:pPr>
    </w:p>
    <w:p w14:paraId="121DC502" w14:textId="244D087D" w:rsidR="002A7FBF" w:rsidRPr="00F569AE" w:rsidRDefault="002A7FBF" w:rsidP="002A7FBF">
      <w:pPr>
        <w:pStyle w:val="p1"/>
        <w:spacing w:line="276" w:lineRule="auto"/>
        <w:rPr>
          <w:rFonts w:ascii="Calibri" w:hAnsi="Calibri" w:cs="Calibri"/>
          <w:sz w:val="24"/>
          <w:szCs w:val="24"/>
        </w:rPr>
      </w:pPr>
      <w:r w:rsidRPr="00F569AE">
        <w:rPr>
          <w:rFonts w:ascii="Calibri" w:hAnsi="Calibri" w:cs="Calibri"/>
          <w:sz w:val="24"/>
          <w:szCs w:val="24"/>
        </w:rPr>
        <w:lastRenderedPageBreak/>
        <w:t xml:space="preserve">A range of efforts were invested by the project to improve the performance of the partner LGs and to introduce a standard results-oriented local governance model. Towards this end, the project updated the MEG Performance Management System (PMS) methodology and continue using throughout the whole project implementation providing performance benchmarking across the partner LGs. At the inception of the project, the baseline assessment of all partner LGs </w:t>
      </w:r>
      <w:r w:rsidR="004152CA" w:rsidRPr="00F569AE">
        <w:rPr>
          <w:rFonts w:ascii="Calibri" w:hAnsi="Calibri" w:cs="Calibri"/>
          <w:sz w:val="24"/>
          <w:szCs w:val="24"/>
        </w:rPr>
        <w:t>was</w:t>
      </w:r>
      <w:r w:rsidRPr="00F569AE">
        <w:rPr>
          <w:rFonts w:ascii="Calibri" w:hAnsi="Calibri" w:cs="Calibri"/>
          <w:sz w:val="24"/>
          <w:szCs w:val="24"/>
        </w:rPr>
        <w:t xml:space="preserve"> conducted against 99 indicators of the revised PMS. The performance ranking was defined across the following categories:</w:t>
      </w:r>
    </w:p>
    <w:p w14:paraId="1B1B8E22" w14:textId="77777777" w:rsidR="002A7FBF" w:rsidRPr="00F569AE" w:rsidRDefault="002A7FBF" w:rsidP="0033780B">
      <w:pPr>
        <w:pStyle w:val="ListParagraph"/>
        <w:numPr>
          <w:ilvl w:val="0"/>
          <w:numId w:val="5"/>
        </w:numPr>
        <w:tabs>
          <w:tab w:val="left" w:pos="1971"/>
        </w:tabs>
        <w:spacing w:after="160" w:line="259" w:lineRule="auto"/>
        <w:jc w:val="both"/>
        <w:rPr>
          <w:rFonts w:ascii="Calibri" w:hAnsi="Calibri" w:cs="Calibri"/>
        </w:rPr>
      </w:pPr>
      <w:r w:rsidRPr="00F569AE">
        <w:rPr>
          <w:rFonts w:ascii="Calibri" w:hAnsi="Calibri" w:cs="Calibri"/>
        </w:rPr>
        <w:t>Field A-Representative role, decision-making, creation, and monitoring of the implementation of LGs policies by the assembly/council,</w:t>
      </w:r>
    </w:p>
    <w:p w14:paraId="0B286EDE" w14:textId="77777777" w:rsidR="002A7FBF" w:rsidRPr="00F569AE" w:rsidRDefault="002A7FBF" w:rsidP="0033780B">
      <w:pPr>
        <w:pStyle w:val="ListParagraph"/>
        <w:numPr>
          <w:ilvl w:val="0"/>
          <w:numId w:val="5"/>
        </w:numPr>
        <w:tabs>
          <w:tab w:val="left" w:pos="1971"/>
        </w:tabs>
        <w:jc w:val="both"/>
        <w:rPr>
          <w:rFonts w:ascii="Calibri" w:hAnsi="Calibri" w:cs="Calibri"/>
        </w:rPr>
      </w:pPr>
      <w:r w:rsidRPr="00F569AE">
        <w:rPr>
          <w:rFonts w:ascii="Calibri" w:hAnsi="Calibri" w:cs="Calibri"/>
        </w:rPr>
        <w:t>Field B - Transparency and accountability of local authorities,</w:t>
      </w:r>
    </w:p>
    <w:p w14:paraId="2931FD30" w14:textId="77777777" w:rsidR="002A7FBF" w:rsidRPr="00F569AE" w:rsidRDefault="002A7FBF" w:rsidP="0033780B">
      <w:pPr>
        <w:pStyle w:val="ListParagraph"/>
        <w:numPr>
          <w:ilvl w:val="0"/>
          <w:numId w:val="5"/>
        </w:numPr>
        <w:tabs>
          <w:tab w:val="left" w:pos="1971"/>
        </w:tabs>
        <w:jc w:val="both"/>
        <w:rPr>
          <w:rFonts w:ascii="Calibri" w:hAnsi="Calibri" w:cs="Calibri"/>
        </w:rPr>
      </w:pPr>
      <w:r w:rsidRPr="00F569AE">
        <w:rPr>
          <w:rFonts w:ascii="Calibri" w:hAnsi="Calibri" w:cs="Calibri"/>
        </w:rPr>
        <w:t>Field C -Public participation in the decision-making process</w:t>
      </w:r>
    </w:p>
    <w:p w14:paraId="7DCAD94D" w14:textId="77777777" w:rsidR="002A7FBF" w:rsidRPr="00F569AE" w:rsidRDefault="002A7FBF" w:rsidP="0033780B">
      <w:pPr>
        <w:pStyle w:val="ListParagraph"/>
        <w:numPr>
          <w:ilvl w:val="0"/>
          <w:numId w:val="5"/>
        </w:numPr>
        <w:tabs>
          <w:tab w:val="left" w:pos="1971"/>
        </w:tabs>
        <w:jc w:val="both"/>
        <w:rPr>
          <w:rFonts w:ascii="Calibri" w:hAnsi="Calibri" w:cs="Calibri"/>
        </w:rPr>
      </w:pPr>
      <w:r w:rsidRPr="00F569AE">
        <w:rPr>
          <w:rFonts w:ascii="Calibri" w:hAnsi="Calibri" w:cs="Calibri"/>
        </w:rPr>
        <w:t>Field D - Efficiency and effectiveness of LGs</w:t>
      </w:r>
    </w:p>
    <w:p w14:paraId="69FF4805" w14:textId="77777777" w:rsidR="002A7FBF" w:rsidRPr="00F569AE" w:rsidRDefault="002A7FBF" w:rsidP="002A7FBF">
      <w:pPr>
        <w:pStyle w:val="p1"/>
        <w:spacing w:line="276" w:lineRule="auto"/>
        <w:rPr>
          <w:rFonts w:ascii="Calibri" w:hAnsi="Calibri" w:cs="Calibri"/>
          <w:sz w:val="24"/>
          <w:szCs w:val="24"/>
        </w:rPr>
      </w:pPr>
      <w:r w:rsidRPr="00F569AE">
        <w:rPr>
          <w:rFonts w:ascii="Calibri" w:hAnsi="Calibri" w:cs="Calibri"/>
          <w:sz w:val="24"/>
          <w:szCs w:val="24"/>
        </w:rPr>
        <w:t>Based on the assessment, the Long-term Action Plan (LAP) was developed for each municipality to address the shortcomings in the next 5-7 years and the Mid-term Action Plan (MAP) to cover the period of the project implementation, hence, till the end of 2025.</w:t>
      </w:r>
    </w:p>
    <w:p w14:paraId="017ADAFC" w14:textId="77777777" w:rsidR="002A7FBF" w:rsidRPr="00F569AE" w:rsidRDefault="002A7FBF" w:rsidP="002A7FBF">
      <w:pPr>
        <w:pStyle w:val="p1"/>
        <w:spacing w:line="276" w:lineRule="auto"/>
        <w:rPr>
          <w:rFonts w:ascii="Calibri" w:hAnsi="Calibri" w:cs="Calibri"/>
          <w:sz w:val="24"/>
          <w:szCs w:val="24"/>
        </w:rPr>
      </w:pPr>
    </w:p>
    <w:p w14:paraId="612FAFFD" w14:textId="39F13184" w:rsidR="002A7FBF" w:rsidRPr="00F569AE" w:rsidRDefault="002A7FBF" w:rsidP="002A7FBF">
      <w:pPr>
        <w:pStyle w:val="p1"/>
        <w:spacing w:line="276" w:lineRule="auto"/>
        <w:rPr>
          <w:rFonts w:ascii="Calibri" w:hAnsi="Calibri" w:cs="Calibri"/>
          <w:sz w:val="24"/>
          <w:szCs w:val="24"/>
        </w:rPr>
      </w:pPr>
      <w:r w:rsidRPr="00F569AE">
        <w:rPr>
          <w:rFonts w:ascii="Calibri" w:hAnsi="Calibri" w:cs="Calibri"/>
          <w:sz w:val="24"/>
          <w:szCs w:val="24"/>
        </w:rPr>
        <w:t>In addition, the good local government (GLG) framework was developed. However, acknowledging the efforts happening within both entities towards introduction of the common assessment framework (CAF)</w:t>
      </w:r>
      <w:r w:rsidRPr="00F569AE">
        <w:rPr>
          <w:rStyle w:val="FootnoteReference"/>
          <w:rFonts w:ascii="Calibri" w:hAnsi="Calibri" w:cs="Calibri"/>
          <w:sz w:val="24"/>
          <w:szCs w:val="24"/>
        </w:rPr>
        <w:footnoteReference w:id="51"/>
      </w:r>
      <w:r w:rsidRPr="00F569AE">
        <w:rPr>
          <w:rFonts w:ascii="Calibri" w:hAnsi="Calibri" w:cs="Calibri"/>
          <w:sz w:val="24"/>
          <w:szCs w:val="24"/>
        </w:rPr>
        <w:t xml:space="preserve"> as the only total quality management (TQM) tool designed for public sector organizations with the EU, a change in the project course of action was introduced to develop a novel tool – CAF4LGs, which is a combination of CAF model with the GLG framework. As of 2025, the CAF4LG is in full use in 10 LGs (i.e. CAF Report and Action Plan developed, adopted, and fully in use), 16 LGs have entered the process, out of which approximately 50% of LGs are in the final stage (i.e. developed Action Plan) and app 50% just started the process. In 3 LGs CAF4LG is yet to be rolled out.</w:t>
      </w:r>
    </w:p>
    <w:p w14:paraId="7D7F70D2" w14:textId="77777777" w:rsidR="002A7FBF" w:rsidRPr="00F569AE" w:rsidRDefault="002A7FBF" w:rsidP="002A7FBF">
      <w:pPr>
        <w:pStyle w:val="p1"/>
        <w:spacing w:line="276" w:lineRule="auto"/>
        <w:jc w:val="both"/>
        <w:rPr>
          <w:rFonts w:ascii="Calibri" w:hAnsi="Calibri" w:cs="Calibri"/>
          <w:sz w:val="24"/>
          <w:szCs w:val="24"/>
        </w:rPr>
      </w:pPr>
    </w:p>
    <w:p w14:paraId="1D1833E2" w14:textId="4A8DCB2D" w:rsidR="002A7FBF" w:rsidRPr="00F569AE" w:rsidRDefault="002A7FBF" w:rsidP="002A7FBF">
      <w:pPr>
        <w:pStyle w:val="p1"/>
        <w:spacing w:line="276" w:lineRule="auto"/>
        <w:jc w:val="both"/>
        <w:rPr>
          <w:rFonts w:ascii="Calibri" w:hAnsi="Calibri" w:cs="Calibri"/>
          <w:sz w:val="24"/>
          <w:szCs w:val="24"/>
        </w:rPr>
      </w:pPr>
      <w:r w:rsidRPr="00F569AE">
        <w:rPr>
          <w:rFonts w:ascii="Calibri" w:hAnsi="Calibri" w:cs="Calibri"/>
          <w:sz w:val="24"/>
          <w:szCs w:val="24"/>
        </w:rPr>
        <w:t>Within the project e</w:t>
      </w:r>
      <w:r w:rsidR="004152CA" w:rsidRPr="00F569AE">
        <w:rPr>
          <w:rFonts w:ascii="Calibri" w:hAnsi="Calibri" w:cs="Calibri"/>
          <w:sz w:val="24"/>
          <w:szCs w:val="24"/>
        </w:rPr>
        <w:t>-</w:t>
      </w:r>
      <w:r w:rsidRPr="00F569AE">
        <w:rPr>
          <w:rFonts w:ascii="Calibri" w:hAnsi="Calibri" w:cs="Calibri"/>
          <w:sz w:val="24"/>
          <w:szCs w:val="24"/>
        </w:rPr>
        <w:t>Citizens concept was developed to facilitate communication between citizens and local authorities, whereby citizens guaranteed 48-hour response time. The platform</w:t>
      </w:r>
      <w:r w:rsidRPr="00F569AE">
        <w:rPr>
          <w:rStyle w:val="FootnoteReference"/>
          <w:rFonts w:ascii="Calibri" w:hAnsi="Calibri" w:cs="Calibri"/>
          <w:sz w:val="24"/>
          <w:szCs w:val="24"/>
        </w:rPr>
        <w:footnoteReference w:id="52"/>
      </w:r>
      <w:r w:rsidRPr="00F569AE">
        <w:rPr>
          <w:rFonts w:ascii="Calibri" w:hAnsi="Calibri" w:cs="Calibri"/>
          <w:sz w:val="24"/>
          <w:szCs w:val="24"/>
        </w:rPr>
        <w:t xml:space="preserve"> and the mobile application was developed in 2022 and used in 2023. The system of annual citizens’ satisfaction survey (CSS) established during MEGI was revised in 2022 and since then all LGs regularly conduct the survey and publish the results on their respective web pages. During 2023 the CSS become fully digitalized by being integrated into the eCitizen platform. </w:t>
      </w:r>
      <w:r w:rsidR="004152CA" w:rsidRPr="00F569AE">
        <w:rPr>
          <w:rFonts w:ascii="Calibri" w:hAnsi="Calibri" w:cs="Calibri"/>
          <w:sz w:val="24"/>
          <w:szCs w:val="24"/>
        </w:rPr>
        <w:t>The e-</w:t>
      </w:r>
      <w:r w:rsidRPr="00F569AE">
        <w:rPr>
          <w:rFonts w:ascii="Calibri" w:hAnsi="Calibri" w:cs="Calibri"/>
          <w:sz w:val="24"/>
          <w:szCs w:val="24"/>
        </w:rPr>
        <w:lastRenderedPageBreak/>
        <w:t>Citi</w:t>
      </w:r>
      <w:r w:rsidR="004152CA" w:rsidRPr="00F569AE">
        <w:rPr>
          <w:rFonts w:ascii="Calibri" w:hAnsi="Calibri" w:cs="Calibri"/>
          <w:sz w:val="24"/>
          <w:szCs w:val="24"/>
        </w:rPr>
        <w:t>z</w:t>
      </w:r>
      <w:r w:rsidRPr="00F569AE">
        <w:rPr>
          <w:rFonts w:ascii="Calibri" w:hAnsi="Calibri" w:cs="Calibri"/>
          <w:sz w:val="24"/>
          <w:szCs w:val="24"/>
        </w:rPr>
        <w:t>en platform was further upgraded with two additional modules: Module for digital surveys and module for registry and administrative procedures in addition to existing modules</w:t>
      </w:r>
      <w:r w:rsidR="004152CA" w:rsidRPr="00F569AE">
        <w:rPr>
          <w:rFonts w:ascii="Calibri" w:hAnsi="Calibri" w:cs="Calibri"/>
          <w:sz w:val="24"/>
          <w:szCs w:val="24"/>
        </w:rPr>
        <w:t>, which contain</w:t>
      </w:r>
      <w:r w:rsidRPr="00F569AE">
        <w:rPr>
          <w:rFonts w:ascii="Calibri" w:hAnsi="Calibri" w:cs="Calibri"/>
          <w:sz w:val="24"/>
          <w:szCs w:val="24"/>
        </w:rPr>
        <w:t>: complaints, LG assembly/council sessions, and questions for Mayor and LG councilors.</w:t>
      </w:r>
    </w:p>
    <w:p w14:paraId="448B27DD" w14:textId="77777777" w:rsidR="002A7FBF" w:rsidRPr="00F569AE" w:rsidRDefault="002A7FBF" w:rsidP="002A7FBF">
      <w:pPr>
        <w:pStyle w:val="p1"/>
        <w:spacing w:line="276" w:lineRule="auto"/>
        <w:jc w:val="both"/>
        <w:rPr>
          <w:rFonts w:ascii="Calibri" w:hAnsi="Calibri" w:cs="Calibri"/>
          <w:sz w:val="24"/>
          <w:szCs w:val="24"/>
        </w:rPr>
      </w:pPr>
    </w:p>
    <w:p w14:paraId="29851D0F" w14:textId="7F1C05B7" w:rsidR="002A7FBF" w:rsidRPr="00F569AE" w:rsidRDefault="002A7FBF" w:rsidP="002A7FBF">
      <w:pPr>
        <w:pStyle w:val="p1"/>
        <w:spacing w:line="276" w:lineRule="auto"/>
        <w:jc w:val="both"/>
        <w:rPr>
          <w:rFonts w:ascii="Candara" w:hAnsi="Candara"/>
          <w:sz w:val="24"/>
          <w:szCs w:val="24"/>
        </w:rPr>
      </w:pPr>
      <w:r w:rsidRPr="00F569AE">
        <w:rPr>
          <w:rFonts w:ascii="Calibri" w:hAnsi="Calibri" w:cs="Calibri"/>
          <w:sz w:val="24"/>
          <w:szCs w:val="24"/>
        </w:rPr>
        <w:t xml:space="preserve">To further strengthen integrity and fight against corruption, the project developed and disseminated Practical Guidelines for the development of Integrity Plans. As of 2025, 27 partner LGs </w:t>
      </w:r>
      <w:r w:rsidRPr="00F569AE">
        <w:rPr>
          <w:rFonts w:ascii="Candara" w:hAnsi="Candara"/>
          <w:sz w:val="24"/>
          <w:szCs w:val="24"/>
        </w:rPr>
        <w:t xml:space="preserve">(except Gračanica and Ljubuški) </w:t>
      </w:r>
      <w:r w:rsidR="004152CA" w:rsidRPr="00F569AE">
        <w:rPr>
          <w:rFonts w:ascii="Candara" w:hAnsi="Candara"/>
          <w:sz w:val="24"/>
          <w:szCs w:val="24"/>
        </w:rPr>
        <w:t xml:space="preserve">have </w:t>
      </w:r>
      <w:r w:rsidRPr="00F569AE">
        <w:rPr>
          <w:rFonts w:ascii="Candara" w:hAnsi="Candara"/>
          <w:sz w:val="24"/>
          <w:szCs w:val="24"/>
        </w:rPr>
        <w:t>developed and adopted integrity plans that are fully in use and being regularly monitored.</w:t>
      </w:r>
    </w:p>
    <w:p w14:paraId="72B87EC5" w14:textId="77777777" w:rsidR="002A7FBF" w:rsidRPr="00F569AE" w:rsidRDefault="002A7FBF" w:rsidP="002A7FBF">
      <w:pPr>
        <w:pStyle w:val="p1"/>
        <w:spacing w:line="276" w:lineRule="auto"/>
        <w:jc w:val="both"/>
        <w:rPr>
          <w:rFonts w:ascii="Calibri" w:hAnsi="Calibri" w:cs="Calibri"/>
          <w:sz w:val="24"/>
          <w:szCs w:val="24"/>
        </w:rPr>
      </w:pPr>
    </w:p>
    <w:p w14:paraId="2AE43FDB" w14:textId="5364F941" w:rsidR="002A7FBF" w:rsidRPr="00F569AE" w:rsidRDefault="002A7FBF" w:rsidP="002A7FBF">
      <w:pPr>
        <w:tabs>
          <w:tab w:val="left" w:pos="1971"/>
        </w:tabs>
        <w:spacing w:after="160" w:line="259" w:lineRule="auto"/>
        <w:jc w:val="both"/>
        <w:rPr>
          <w:rFonts w:ascii="Calibri" w:hAnsi="Calibri" w:cs="Calibri"/>
          <w:lang w:val="en-US"/>
        </w:rPr>
      </w:pPr>
      <w:r w:rsidRPr="00F569AE">
        <w:rPr>
          <w:rFonts w:ascii="Calibri" w:hAnsi="Calibri" w:cs="Calibri"/>
          <w:lang w:val="en-US"/>
        </w:rPr>
        <w:t xml:space="preserve">Extensive efforts were dedicated towards building individual and </w:t>
      </w:r>
      <w:r w:rsidR="004152CA" w:rsidRPr="00F569AE">
        <w:rPr>
          <w:rFonts w:ascii="Calibri" w:hAnsi="Calibri" w:cs="Calibri"/>
          <w:lang w:val="en-US"/>
        </w:rPr>
        <w:t>institutional</w:t>
      </w:r>
      <w:r w:rsidRPr="00F569AE">
        <w:rPr>
          <w:rFonts w:ascii="Calibri" w:hAnsi="Calibri" w:cs="Calibri"/>
          <w:lang w:val="en-US"/>
        </w:rPr>
        <w:t xml:space="preserve"> capacities of the par</w:t>
      </w:r>
      <w:r w:rsidR="004152CA" w:rsidRPr="00F569AE">
        <w:rPr>
          <w:rFonts w:ascii="Calibri" w:hAnsi="Calibri" w:cs="Calibri"/>
          <w:lang w:val="en-US"/>
        </w:rPr>
        <w:t>t</w:t>
      </w:r>
      <w:r w:rsidRPr="00F569AE">
        <w:rPr>
          <w:rFonts w:ascii="Calibri" w:hAnsi="Calibri" w:cs="Calibri"/>
          <w:lang w:val="en-US"/>
        </w:rPr>
        <w:t>ner LGs in line with the needs and gaps identified in MAPs. The work was outsourced to a consortium of three local consulting companies, Cedes,</w:t>
      </w:r>
      <w:r w:rsidRPr="00F569AE">
        <w:rPr>
          <w:rStyle w:val="FootnoteReference"/>
          <w:rFonts w:ascii="Calibri" w:hAnsi="Calibri" w:cs="Calibri"/>
          <w:lang w:val="en-US"/>
        </w:rPr>
        <w:footnoteReference w:id="53"/>
      </w:r>
      <w:r w:rsidRPr="00F569AE">
        <w:rPr>
          <w:rFonts w:ascii="Calibri" w:hAnsi="Calibri" w:cs="Calibri"/>
          <w:lang w:val="en-US"/>
        </w:rPr>
        <w:t xml:space="preserve"> Tron Systems,</w:t>
      </w:r>
      <w:r w:rsidRPr="00F569AE">
        <w:rPr>
          <w:rStyle w:val="FootnoteReference"/>
          <w:rFonts w:ascii="Calibri" w:hAnsi="Calibri" w:cs="Calibri"/>
          <w:lang w:val="en-US"/>
        </w:rPr>
        <w:footnoteReference w:id="54"/>
      </w:r>
      <w:r w:rsidRPr="00F569AE">
        <w:rPr>
          <w:rFonts w:ascii="Calibri" w:hAnsi="Calibri" w:cs="Calibri"/>
          <w:lang w:val="en-US"/>
        </w:rPr>
        <w:t xml:space="preserve"> and Cabinet.</w:t>
      </w:r>
      <w:r w:rsidRPr="00F569AE">
        <w:rPr>
          <w:rStyle w:val="FootnoteReference"/>
          <w:rFonts w:ascii="Calibri" w:hAnsi="Calibri" w:cs="Calibri"/>
          <w:lang w:val="en-US"/>
        </w:rPr>
        <w:footnoteReference w:id="55"/>
      </w:r>
      <w:r w:rsidRPr="00F569AE">
        <w:rPr>
          <w:rFonts w:ascii="Calibri" w:hAnsi="Calibri" w:cs="Calibri"/>
          <w:lang w:val="en-US"/>
        </w:rPr>
        <w:t xml:space="preserve"> The consortium delivered a very wide range of technical assistance (TA), e.g. training, meetings, regional and local workshops, discussions, visits, on-job assistance, annual conferences, etc. For instance, 14 regional workshops, 25 LG workshops, and 14 on-job assistance were organized related to the realization of the MAPs. </w:t>
      </w:r>
      <w:r w:rsidRPr="00F569AE">
        <w:rPr>
          <w:rFonts w:ascii="Candara" w:hAnsi="Candara"/>
          <w:lang w:val="en-US"/>
        </w:rPr>
        <w:t>TA covered all MAP indicators and was delivered through 12 modules</w:t>
      </w:r>
      <w:r w:rsidRPr="00F569AE">
        <w:rPr>
          <w:rStyle w:val="FootnoteReference"/>
          <w:rFonts w:ascii="Candara" w:hAnsi="Candara"/>
          <w:lang w:val="en-US"/>
        </w:rPr>
        <w:footnoteReference w:id="56"/>
      </w:r>
      <w:r w:rsidRPr="00F569AE">
        <w:rPr>
          <w:rFonts w:ascii="Candara" w:hAnsi="Candara"/>
          <w:lang w:val="en-US"/>
        </w:rPr>
        <w:t xml:space="preserve">. </w:t>
      </w:r>
    </w:p>
    <w:p w14:paraId="11728ACE" w14:textId="77777777" w:rsidR="002A7FBF" w:rsidRPr="00F569AE" w:rsidRDefault="002A7FBF" w:rsidP="002A7FBF">
      <w:pPr>
        <w:pStyle w:val="p1"/>
        <w:spacing w:line="276" w:lineRule="auto"/>
        <w:jc w:val="both"/>
        <w:rPr>
          <w:rFonts w:ascii="Calibri" w:hAnsi="Calibri" w:cs="Calibri"/>
          <w:sz w:val="24"/>
          <w:szCs w:val="24"/>
        </w:rPr>
      </w:pPr>
      <w:r w:rsidRPr="00F569AE">
        <w:rPr>
          <w:rFonts w:ascii="Calibri" w:hAnsi="Calibri" w:cs="Calibri"/>
          <w:sz w:val="24"/>
          <w:szCs w:val="24"/>
        </w:rPr>
        <w:t xml:space="preserve">The project developed and put in implementation MEG mentorship scheme, whereby 10 best performing partner LGs mentor 10 newly enrolled LGs through transferring best practices and lessons learned.  </w:t>
      </w:r>
    </w:p>
    <w:p w14:paraId="7243B6EE" w14:textId="77777777" w:rsidR="002A7FBF" w:rsidRPr="00F569AE" w:rsidRDefault="002A7FBF" w:rsidP="002A7FBF">
      <w:pPr>
        <w:tabs>
          <w:tab w:val="left" w:pos="1971"/>
        </w:tabs>
        <w:spacing w:line="276" w:lineRule="auto"/>
        <w:jc w:val="both"/>
        <w:rPr>
          <w:rFonts w:ascii="Calibri" w:hAnsi="Calibri" w:cs="Calibri"/>
          <w:lang w:val="en-US"/>
        </w:rPr>
      </w:pPr>
    </w:p>
    <w:p w14:paraId="2ACDCE36" w14:textId="77777777" w:rsidR="002A7FBF" w:rsidRPr="00F569AE" w:rsidRDefault="002A7FBF" w:rsidP="002A7FBF">
      <w:pPr>
        <w:tabs>
          <w:tab w:val="left" w:pos="1971"/>
        </w:tabs>
        <w:spacing w:line="276" w:lineRule="auto"/>
        <w:jc w:val="both"/>
        <w:rPr>
          <w:rFonts w:ascii="Calibri" w:hAnsi="Calibri" w:cs="Calibri"/>
          <w:shd w:val="clear" w:color="auto" w:fill="FFFFFF"/>
          <w:lang w:val="en-US"/>
        </w:rPr>
      </w:pPr>
      <w:r w:rsidRPr="00F569AE">
        <w:rPr>
          <w:rFonts w:ascii="Calibri" w:hAnsi="Calibri" w:cs="Calibri"/>
          <w:lang w:val="en-US"/>
        </w:rPr>
        <w:t>During the project, several best-practice exchange conferences were organized for all participating LGs LGs to facilitate learning and knowledge sharing among LGs. The first best-practice exchange event was organized in January 2023 (31</w:t>
      </w:r>
      <w:r w:rsidRPr="00F569AE">
        <w:rPr>
          <w:rFonts w:ascii="Calibri" w:hAnsi="Calibri" w:cs="Calibri"/>
          <w:vertAlign w:val="superscript"/>
          <w:lang w:val="en-US"/>
        </w:rPr>
        <w:t>st</w:t>
      </w:r>
      <w:r w:rsidRPr="00F569AE">
        <w:rPr>
          <w:rFonts w:ascii="Calibri" w:hAnsi="Calibri" w:cs="Calibri"/>
          <w:lang w:val="en-US"/>
        </w:rPr>
        <w:t xml:space="preserve"> Jan, 2023). The second one was organized in </w:t>
      </w:r>
      <w:r w:rsidRPr="00F569AE">
        <w:rPr>
          <w:rFonts w:ascii="Calibri" w:hAnsi="Calibri" w:cs="Calibri"/>
          <w:shd w:val="clear" w:color="auto" w:fill="FFFFFF"/>
          <w:lang w:val="en-US"/>
        </w:rPr>
        <w:t xml:space="preserve">December 2023 and awards were given to the eight LGs that made the most progress in the field of good governance and environmental protection. </w:t>
      </w:r>
    </w:p>
    <w:p w14:paraId="346CA9EF" w14:textId="77777777" w:rsidR="002A7FBF" w:rsidRPr="00F569AE" w:rsidRDefault="002A7FBF" w:rsidP="002A7FBF">
      <w:pPr>
        <w:tabs>
          <w:tab w:val="left" w:pos="1971"/>
        </w:tabs>
        <w:spacing w:line="276" w:lineRule="auto"/>
        <w:jc w:val="both"/>
        <w:rPr>
          <w:rFonts w:ascii="Calibri" w:hAnsi="Calibri" w:cs="Calibri"/>
          <w:shd w:val="clear" w:color="auto" w:fill="FFFFFF"/>
          <w:lang w:val="en-US"/>
        </w:rPr>
      </w:pPr>
    </w:p>
    <w:p w14:paraId="34726B2A" w14:textId="07B944F0" w:rsidR="004152CA" w:rsidRPr="00F569AE" w:rsidRDefault="002A7FBF" w:rsidP="004152CA">
      <w:pPr>
        <w:tabs>
          <w:tab w:val="left" w:pos="1971"/>
        </w:tabs>
        <w:spacing w:line="276" w:lineRule="auto"/>
        <w:jc w:val="both"/>
        <w:rPr>
          <w:rFonts w:ascii="Calibri" w:hAnsi="Calibri" w:cs="Calibri"/>
          <w:shd w:val="clear" w:color="auto" w:fill="FFFFFF"/>
          <w:lang w:val="en-US"/>
        </w:rPr>
      </w:pPr>
      <w:r w:rsidRPr="00F569AE">
        <w:rPr>
          <w:rFonts w:ascii="Calibri" w:hAnsi="Calibri" w:cs="Calibri"/>
          <w:shd w:val="clear" w:color="auto" w:fill="FFFFFF"/>
          <w:lang w:val="en-US"/>
        </w:rPr>
        <w:lastRenderedPageBreak/>
        <w:t xml:space="preserve">Within the project, the best performing LGs were qualified for grant schemes. </w:t>
      </w:r>
      <w:r w:rsidR="004152CA" w:rsidRPr="00F569AE">
        <w:rPr>
          <w:rFonts w:ascii="Calibri" w:hAnsi="Calibri" w:cs="Calibri"/>
          <w:shd w:val="clear" w:color="auto" w:fill="FFFFFF"/>
          <w:lang w:val="en-US"/>
        </w:rPr>
        <w:t>A new grant methodology was designed within the MEG/EU4MEG project, differing from the one applied during the MEGI. The new grant methodology allowed best performing LGs to be qualified for co-financing from the project, whereby performance of the LGs was measured along the following lines: (i) development management, (ii) responsibility and participatory decision-making, and (iii) management of water supply and wastewater treatment services. Eight LGs received co-funding during the first grant cycle administered in May 2023. Another eight LGs received co-funding during the second cycle administered in September 2024. In total, 1,030,000USD and 1.030,000USD for the first and second cycles respectively, whereby LGs’ contribution was about 72,7% and 65,5% of the total construction budget, respectively.</w:t>
      </w:r>
    </w:p>
    <w:p w14:paraId="47C01821" w14:textId="24860812" w:rsidR="002A7FBF" w:rsidRPr="00F569AE" w:rsidRDefault="002A7FBF" w:rsidP="002A7FBF">
      <w:pPr>
        <w:tabs>
          <w:tab w:val="left" w:pos="1971"/>
        </w:tabs>
        <w:spacing w:line="276" w:lineRule="auto"/>
        <w:jc w:val="both"/>
        <w:rPr>
          <w:rFonts w:ascii="Calibri" w:hAnsi="Calibri" w:cs="Calibri"/>
          <w:shd w:val="clear" w:color="auto" w:fill="FFFFFF"/>
          <w:lang w:val="en-US"/>
        </w:rPr>
      </w:pPr>
    </w:p>
    <w:p w14:paraId="2F6A8FD1" w14:textId="77777777" w:rsidR="002A7FBF" w:rsidRPr="00F569AE" w:rsidRDefault="002A7FBF" w:rsidP="002A7FBF">
      <w:pPr>
        <w:pStyle w:val="p1"/>
        <w:spacing w:line="276" w:lineRule="auto"/>
        <w:rPr>
          <w:rFonts w:ascii="Calibri" w:hAnsi="Calibri" w:cs="Calibri"/>
          <w:sz w:val="24"/>
          <w:szCs w:val="24"/>
        </w:rPr>
      </w:pPr>
    </w:p>
    <w:p w14:paraId="261C18FF" w14:textId="77777777" w:rsidR="002A7FBF" w:rsidRPr="00F569AE" w:rsidRDefault="002A7FBF" w:rsidP="0033780B">
      <w:pPr>
        <w:pStyle w:val="p1"/>
        <w:numPr>
          <w:ilvl w:val="0"/>
          <w:numId w:val="6"/>
        </w:numPr>
        <w:spacing w:line="276" w:lineRule="auto"/>
        <w:rPr>
          <w:rFonts w:ascii="Calibri" w:hAnsi="Calibri" w:cs="Calibri"/>
          <w:i/>
          <w:sz w:val="24"/>
          <w:szCs w:val="24"/>
        </w:rPr>
      </w:pPr>
      <w:r w:rsidRPr="00F569AE">
        <w:rPr>
          <w:rFonts w:ascii="Calibri" w:hAnsi="Calibri" w:cs="Calibri"/>
          <w:b/>
          <w:i/>
          <w:sz w:val="24"/>
          <w:szCs w:val="24"/>
          <w:u w:val="single"/>
        </w:rPr>
        <w:t>Efforts made towards achieving Outcome 3:</w:t>
      </w:r>
      <w:r w:rsidRPr="00F569AE">
        <w:rPr>
          <w:rFonts w:ascii="Calibri" w:hAnsi="Calibri" w:cs="Calibri"/>
          <w:i/>
          <w:sz w:val="24"/>
          <w:szCs w:val="24"/>
        </w:rPr>
        <w:t xml:space="preserve"> </w:t>
      </w:r>
      <w:r w:rsidRPr="00F569AE">
        <w:rPr>
          <w:rFonts w:ascii="Calibri" w:hAnsi="Calibri" w:cs="Calibri"/>
          <w:i/>
          <w:sz w:val="24"/>
          <w:szCs w:val="24"/>
          <w:lang w:eastAsia="hr-HR"/>
        </w:rPr>
        <w:t>Citizens, including the most vulnerable, benefit from water supply and wastewater management services provided in a more efficient, accountable, and sustainable manner</w:t>
      </w:r>
    </w:p>
    <w:p w14:paraId="1EF7C0D6" w14:textId="77777777" w:rsidR="002A7FBF" w:rsidRPr="00F569AE" w:rsidRDefault="002A7FBF" w:rsidP="002A7FBF">
      <w:pPr>
        <w:pStyle w:val="p1"/>
        <w:spacing w:line="276" w:lineRule="auto"/>
        <w:jc w:val="both"/>
        <w:rPr>
          <w:rFonts w:ascii="Calibri" w:hAnsi="Calibri" w:cs="Calibri"/>
          <w:sz w:val="24"/>
          <w:szCs w:val="24"/>
        </w:rPr>
      </w:pPr>
    </w:p>
    <w:p w14:paraId="21AD8F30" w14:textId="77777777" w:rsidR="002A7FBF" w:rsidRPr="00F569AE" w:rsidRDefault="002A7FBF" w:rsidP="002A7FBF">
      <w:pPr>
        <w:pStyle w:val="p1"/>
        <w:spacing w:line="276" w:lineRule="auto"/>
        <w:jc w:val="both"/>
        <w:rPr>
          <w:rFonts w:ascii="Calibri" w:hAnsi="Calibri" w:cs="Calibri"/>
          <w:sz w:val="24"/>
          <w:szCs w:val="24"/>
        </w:rPr>
      </w:pPr>
      <w:r w:rsidRPr="00F569AE">
        <w:rPr>
          <w:rFonts w:ascii="Calibri" w:hAnsi="Calibri" w:cs="Calibri"/>
          <w:sz w:val="24"/>
          <w:szCs w:val="24"/>
        </w:rPr>
        <w:t xml:space="preserve">The project supported each LG with the development of the </w:t>
      </w:r>
      <w:r w:rsidRPr="00F569AE">
        <w:rPr>
          <w:rFonts w:ascii="Calibri" w:hAnsi="Calibri" w:cs="Calibri"/>
          <w:b/>
          <w:i/>
          <w:sz w:val="24"/>
          <w:szCs w:val="24"/>
        </w:rPr>
        <w:t>Public Service Agreements (PSAs),</w:t>
      </w:r>
      <w:r w:rsidRPr="00F569AE">
        <w:rPr>
          <w:rFonts w:ascii="Calibri" w:hAnsi="Calibri" w:cs="Calibri"/>
          <w:sz w:val="24"/>
          <w:szCs w:val="24"/>
        </w:rPr>
        <w:t xml:space="preserve"> an instrument which regulate relationships between WUs and LGs. Although Municipality of Gacko was dropped out of Project implementation, it also adopted and signed the PSA in 2024.</w:t>
      </w:r>
    </w:p>
    <w:p w14:paraId="1A5AD5D1" w14:textId="77777777" w:rsidR="002A7FBF" w:rsidRPr="00F569AE" w:rsidRDefault="002A7FBF" w:rsidP="002A7FBF">
      <w:pPr>
        <w:pStyle w:val="p1"/>
        <w:spacing w:line="276" w:lineRule="auto"/>
        <w:jc w:val="both"/>
        <w:rPr>
          <w:rFonts w:ascii="Calibri" w:hAnsi="Calibri" w:cs="Calibri"/>
          <w:sz w:val="24"/>
          <w:szCs w:val="24"/>
        </w:rPr>
      </w:pPr>
    </w:p>
    <w:p w14:paraId="0C59EE4C" w14:textId="77777777" w:rsidR="00E46A88" w:rsidRPr="00F569AE" w:rsidRDefault="00E46A88" w:rsidP="00E46A88">
      <w:pPr>
        <w:pStyle w:val="p1"/>
        <w:spacing w:line="276" w:lineRule="auto"/>
        <w:jc w:val="both"/>
        <w:rPr>
          <w:rFonts w:ascii="Calibri" w:hAnsi="Calibri" w:cs="Calibri"/>
          <w:sz w:val="24"/>
          <w:szCs w:val="24"/>
        </w:rPr>
      </w:pPr>
      <w:r w:rsidRPr="00F569AE">
        <w:rPr>
          <w:rFonts w:ascii="Calibri" w:hAnsi="Calibri" w:cs="Calibri"/>
          <w:sz w:val="24"/>
          <w:szCs w:val="24"/>
        </w:rPr>
        <w:t xml:space="preserve">Adoption of PSAs and other related decisions was a prerequisite for implementation of (i) </w:t>
      </w:r>
      <w:r w:rsidRPr="00F569AE">
        <w:rPr>
          <w:rFonts w:ascii="Calibri" w:hAnsi="Calibri" w:cs="Calibri"/>
          <w:i/>
          <w:sz w:val="24"/>
          <w:szCs w:val="24"/>
        </w:rPr>
        <w:t>water tariff methodology</w:t>
      </w:r>
      <w:r w:rsidRPr="00F569AE">
        <w:rPr>
          <w:rFonts w:ascii="Calibri" w:hAnsi="Calibri" w:cs="Calibri"/>
          <w:sz w:val="24"/>
          <w:szCs w:val="24"/>
        </w:rPr>
        <w:t xml:space="preserve">, and (ii) </w:t>
      </w:r>
      <w:r w:rsidRPr="00F569AE">
        <w:rPr>
          <w:rFonts w:ascii="Calibri" w:hAnsi="Calibri" w:cs="Calibri"/>
          <w:i/>
          <w:sz w:val="24"/>
          <w:szCs w:val="24"/>
        </w:rPr>
        <w:t>water subsidies for socially vulnerable categories</w:t>
      </w:r>
      <w:r w:rsidRPr="00F569AE">
        <w:rPr>
          <w:rFonts w:ascii="Calibri" w:hAnsi="Calibri" w:cs="Calibri"/>
          <w:sz w:val="24"/>
          <w:szCs w:val="24"/>
        </w:rPr>
        <w:t>. The water tariff methodology for determining the lowest basic price of water services, was developed within the project and adopted by 28 LGs (except Čelinac). The project also provided continuous support in tariff methodology application in their localities to partner WUCs and designated LG employees. All partner LGs (except Čelinac, Busovača, and Odžak) adopted the procedure for subsidizing a part of the costs of communal services of water supply, drainage, and wastewater treatment for socially vulnerable categories as an integral part of the PSA. The decision on water tariff subsidy was based on a comprehensive Water service affordability survey, according to the methodology which was developed by the project. By the end of 2024, affordability surveys were conducted for 25 partner LGs, and services affordability report were made publicly available.</w:t>
      </w:r>
    </w:p>
    <w:p w14:paraId="327240AA" w14:textId="77777777" w:rsidR="002A7FBF" w:rsidRPr="00F569AE" w:rsidRDefault="002A7FBF" w:rsidP="002A7FBF">
      <w:pPr>
        <w:pStyle w:val="p1"/>
        <w:spacing w:line="276" w:lineRule="auto"/>
        <w:jc w:val="both"/>
        <w:rPr>
          <w:rFonts w:ascii="Calibri" w:hAnsi="Calibri" w:cs="Calibri"/>
          <w:sz w:val="24"/>
          <w:szCs w:val="24"/>
        </w:rPr>
      </w:pPr>
    </w:p>
    <w:p w14:paraId="5A062C67" w14:textId="5EAF4502" w:rsidR="002A7FBF" w:rsidRPr="00F569AE" w:rsidRDefault="00E46A88" w:rsidP="00E46A88">
      <w:pPr>
        <w:pStyle w:val="p1"/>
        <w:spacing w:line="276" w:lineRule="auto"/>
        <w:jc w:val="both"/>
        <w:rPr>
          <w:rFonts w:ascii="Calibri" w:hAnsi="Calibri" w:cs="Calibri"/>
          <w:sz w:val="24"/>
          <w:szCs w:val="24"/>
        </w:rPr>
      </w:pPr>
      <w:r w:rsidRPr="00F569AE">
        <w:rPr>
          <w:rFonts w:ascii="Calibri" w:hAnsi="Calibri" w:cs="Calibri"/>
          <w:sz w:val="24"/>
          <w:szCs w:val="24"/>
        </w:rPr>
        <w:t xml:space="preserve">During the whole duration of the project, a number of capacity development events were organized for the representatives of the WUs across partner LGs to improve their financial and operational performance. The list is extensive and includes but is not limited to the following: </w:t>
      </w:r>
      <w:r w:rsidRPr="00F569AE">
        <w:rPr>
          <w:rFonts w:ascii="Calibri" w:hAnsi="Calibri" w:cs="Calibri"/>
          <w:sz w:val="24"/>
          <w:szCs w:val="24"/>
        </w:rPr>
        <w:lastRenderedPageBreak/>
        <w:t>development of Water Integrity Management tool in 2022; optimization of organizational structure and staff optimization (2022); consumer relationship procedure (2022); assessment of non-revenue water (2022); intervention and fixed assets cycle introducing infrastructure ownership and depreciation (2022), and many more. Study tours were organized for the WUs representatives to Czech Republic in 2022 and World Water Week in Sweden (2024).</w:t>
      </w:r>
    </w:p>
    <w:p w14:paraId="5569CE51" w14:textId="43797E16" w:rsidR="002A7FBF" w:rsidRPr="00F569AE" w:rsidRDefault="002A7FBF" w:rsidP="002A7FBF">
      <w:pPr>
        <w:rPr>
          <w:lang w:val="en-US"/>
        </w:rPr>
      </w:pPr>
      <w:r w:rsidRPr="00F569AE">
        <w:rPr>
          <w:rFonts w:ascii="Calibri" w:hAnsi="Calibri" w:cs="Calibri"/>
          <w:lang w:val="en-US"/>
        </w:rPr>
        <w:t>Some efforts were invested to in cleaning debris from priority water segments affected by floods in 2014</w:t>
      </w:r>
      <w:r w:rsidRPr="00F569AE">
        <w:rPr>
          <w:rStyle w:val="FootnoteReference"/>
          <w:rFonts w:ascii="Calibri" w:hAnsi="Calibri" w:cs="Calibri"/>
          <w:lang w:val="en-US"/>
        </w:rPr>
        <w:footnoteReference w:id="57"/>
      </w:r>
      <w:r w:rsidRPr="00F569AE">
        <w:rPr>
          <w:rFonts w:ascii="Calibri" w:hAnsi="Calibri" w:cs="Calibri"/>
          <w:lang w:val="en-US"/>
        </w:rPr>
        <w:t xml:space="preserve"> and 2016</w:t>
      </w:r>
      <w:r w:rsidRPr="00F569AE">
        <w:rPr>
          <w:rStyle w:val="FootnoteReference"/>
          <w:rFonts w:ascii="Calibri" w:hAnsi="Calibri" w:cs="Calibri"/>
          <w:lang w:val="en-US"/>
        </w:rPr>
        <w:footnoteReference w:id="58"/>
      </w:r>
      <w:r w:rsidRPr="00F569AE">
        <w:rPr>
          <w:rFonts w:ascii="Calibri" w:hAnsi="Calibri" w:cs="Calibri"/>
          <w:lang w:val="en-US"/>
        </w:rPr>
        <w:t xml:space="preserve"> in line with the EU IPA </w:t>
      </w:r>
      <w:r w:rsidR="00BE13CB" w:rsidRPr="00F569AE">
        <w:rPr>
          <w:rFonts w:ascii="Calibri" w:hAnsi="Calibri" w:cs="Calibri"/>
          <w:lang w:val="en-US"/>
        </w:rPr>
        <w:t xml:space="preserve">2014 - </w:t>
      </w:r>
      <w:r w:rsidRPr="00F569AE">
        <w:rPr>
          <w:rFonts w:ascii="Calibri" w:hAnsi="Calibri" w:cs="Calibri"/>
          <w:lang w:val="en-US"/>
        </w:rPr>
        <w:t>2020 Action Document.</w:t>
      </w:r>
      <w:r w:rsidRPr="00F569AE">
        <w:rPr>
          <w:rStyle w:val="FootnoteReference"/>
          <w:rFonts w:ascii="Calibri" w:hAnsi="Calibri" w:cs="Calibri"/>
          <w:lang w:val="en-US"/>
        </w:rPr>
        <w:footnoteReference w:id="59"/>
      </w:r>
      <w:r w:rsidRPr="00F569AE">
        <w:rPr>
          <w:rFonts w:ascii="Calibri" w:hAnsi="Calibri" w:cs="Calibri"/>
          <w:lang w:val="en-US"/>
        </w:rPr>
        <w:t xml:space="preserve"> The project developed methodology for the selection of the priority areas and provided 300,300 Euro out of 400,000 Euro required (the remaining costs covered by the LGs) to the selected 10 LGs in Bosna River watershed.</w:t>
      </w:r>
    </w:p>
    <w:p w14:paraId="39CE8880" w14:textId="77777777" w:rsidR="002A7FBF" w:rsidRPr="00F569AE" w:rsidRDefault="002A7FBF" w:rsidP="002A7FBF">
      <w:pPr>
        <w:rPr>
          <w:lang w:val="en-US"/>
        </w:rPr>
      </w:pPr>
    </w:p>
    <w:p w14:paraId="666D4B6C" w14:textId="6371769B" w:rsidR="002A7FBF" w:rsidRPr="00D12E01" w:rsidRDefault="0019528E" w:rsidP="002A7FBF">
      <w:pPr>
        <w:rPr>
          <w:rFonts w:ascii="Calibri" w:hAnsi="Calibri" w:cs="Calibri"/>
          <w:b/>
          <w:i/>
          <w:lang w:val="en-US"/>
        </w:rPr>
      </w:pPr>
      <w:r w:rsidRPr="00D12E01">
        <w:rPr>
          <w:rFonts w:ascii="Calibri" w:hAnsi="Calibri" w:cs="Calibri"/>
          <w:b/>
          <w:i/>
          <w:lang w:val="en-US"/>
        </w:rPr>
        <w:t>Status of project products per partner LGs</w:t>
      </w:r>
    </w:p>
    <w:p w14:paraId="20002250" w14:textId="77777777" w:rsidR="0019528E" w:rsidRPr="00F569AE" w:rsidRDefault="0019528E" w:rsidP="002A7FBF">
      <w:pPr>
        <w:rPr>
          <w:lang w:val="en-US"/>
        </w:rPr>
      </w:pPr>
    </w:p>
    <w:tbl>
      <w:tblPr>
        <w:tblW w:w="13556" w:type="dxa"/>
        <w:tblLook w:val="04A0" w:firstRow="1" w:lastRow="0" w:firstColumn="1" w:lastColumn="0" w:noHBand="0" w:noVBand="1"/>
      </w:tblPr>
      <w:tblGrid>
        <w:gridCol w:w="536"/>
        <w:gridCol w:w="1720"/>
        <w:gridCol w:w="2270"/>
        <w:gridCol w:w="1701"/>
        <w:gridCol w:w="1701"/>
        <w:gridCol w:w="1985"/>
        <w:gridCol w:w="1701"/>
        <w:gridCol w:w="1942"/>
      </w:tblGrid>
      <w:tr w:rsidR="0019528E" w:rsidRPr="00F569AE" w14:paraId="689246A2" w14:textId="77777777">
        <w:trPr>
          <w:trHeight w:val="320"/>
        </w:trPr>
        <w:tc>
          <w:tcPr>
            <w:tcW w:w="13556" w:type="dxa"/>
            <w:gridSpan w:val="8"/>
            <w:tcBorders>
              <w:top w:val="single" w:sz="8" w:space="0" w:color="auto"/>
              <w:left w:val="single" w:sz="8" w:space="0" w:color="auto"/>
              <w:bottom w:val="nil"/>
              <w:right w:val="single" w:sz="8" w:space="0" w:color="000000" w:themeColor="text1"/>
            </w:tcBorders>
            <w:shd w:val="clear" w:color="auto" w:fill="A5C9EB" w:themeFill="text2" w:themeFillTint="40"/>
            <w:noWrap/>
            <w:vAlign w:val="bottom"/>
            <w:hideMark/>
          </w:tcPr>
          <w:p w14:paraId="36CCC444" w14:textId="77777777" w:rsidR="0019528E" w:rsidRPr="00F569AE" w:rsidRDefault="0019528E">
            <w:pPr>
              <w:jc w:val="center"/>
              <w:rPr>
                <w:rFonts w:ascii="Calibri" w:hAnsi="Calibri" w:cs="Calibri"/>
                <w:b/>
                <w:i/>
                <w:color w:val="000000"/>
                <w:sz w:val="22"/>
                <w:szCs w:val="22"/>
                <w:lang w:val="en-US"/>
              </w:rPr>
            </w:pPr>
            <w:r w:rsidRPr="00F569AE">
              <w:rPr>
                <w:rFonts w:ascii="Calibri" w:hAnsi="Calibri" w:cs="Calibri"/>
                <w:b/>
                <w:i/>
                <w:color w:val="000000"/>
                <w:sz w:val="22"/>
                <w:szCs w:val="22"/>
                <w:lang w:val="en-US"/>
              </w:rPr>
              <w:t xml:space="preserve">STATUS per partner LG </w:t>
            </w:r>
          </w:p>
        </w:tc>
      </w:tr>
      <w:tr w:rsidR="0019528E" w:rsidRPr="00F569AE" w14:paraId="419E2708" w14:textId="77777777">
        <w:trPr>
          <w:trHeight w:val="300"/>
        </w:trPr>
        <w:tc>
          <w:tcPr>
            <w:tcW w:w="536" w:type="dxa"/>
            <w:vMerge w:val="restart"/>
            <w:tcBorders>
              <w:top w:val="single" w:sz="8" w:space="0" w:color="auto"/>
              <w:left w:val="single" w:sz="8" w:space="0" w:color="auto"/>
              <w:bottom w:val="single" w:sz="8" w:space="0" w:color="000000" w:themeColor="text1"/>
              <w:right w:val="nil"/>
            </w:tcBorders>
            <w:shd w:val="clear" w:color="auto" w:fill="A5C9EB" w:themeFill="text2" w:themeFillTint="40"/>
            <w:vAlign w:val="center"/>
            <w:hideMark/>
          </w:tcPr>
          <w:p w14:paraId="4EAC9E33" w14:textId="77777777" w:rsidR="0019528E" w:rsidRPr="00F569AE" w:rsidRDefault="0019528E">
            <w:pPr>
              <w:jc w:val="center"/>
              <w:rPr>
                <w:rFonts w:ascii="Calibri" w:hAnsi="Calibri" w:cs="Calibri"/>
                <w:b/>
                <w:i/>
                <w:color w:val="000000"/>
                <w:sz w:val="22"/>
                <w:szCs w:val="22"/>
                <w:lang w:val="en-US"/>
              </w:rPr>
            </w:pPr>
            <w:r w:rsidRPr="00F569AE">
              <w:rPr>
                <w:rFonts w:ascii="Calibri" w:hAnsi="Calibri" w:cs="Calibri"/>
                <w:b/>
                <w:i/>
                <w:color w:val="000000"/>
                <w:sz w:val="22"/>
                <w:szCs w:val="22"/>
                <w:lang w:val="en-US"/>
              </w:rPr>
              <w:t>No.</w:t>
            </w:r>
          </w:p>
        </w:tc>
        <w:tc>
          <w:tcPr>
            <w:tcW w:w="1720" w:type="dxa"/>
            <w:vMerge w:val="restart"/>
            <w:tcBorders>
              <w:top w:val="single" w:sz="8" w:space="0" w:color="auto"/>
              <w:left w:val="nil"/>
              <w:bottom w:val="single" w:sz="8" w:space="0" w:color="000000" w:themeColor="text1"/>
              <w:right w:val="nil"/>
            </w:tcBorders>
            <w:shd w:val="clear" w:color="auto" w:fill="A5C9EB" w:themeFill="text2" w:themeFillTint="40"/>
            <w:vAlign w:val="center"/>
            <w:hideMark/>
          </w:tcPr>
          <w:p w14:paraId="4F3DF334" w14:textId="77777777" w:rsidR="0019528E" w:rsidRPr="00F569AE" w:rsidRDefault="0019528E">
            <w:pPr>
              <w:jc w:val="center"/>
              <w:rPr>
                <w:rFonts w:ascii="Calibri" w:hAnsi="Calibri" w:cs="Calibri"/>
                <w:b/>
                <w:i/>
                <w:color w:val="000000"/>
                <w:sz w:val="22"/>
                <w:szCs w:val="22"/>
                <w:lang w:val="en-US"/>
              </w:rPr>
            </w:pPr>
            <w:r w:rsidRPr="00F569AE">
              <w:rPr>
                <w:rFonts w:ascii="Calibri" w:hAnsi="Calibri" w:cs="Calibri"/>
                <w:b/>
                <w:i/>
                <w:color w:val="000000"/>
                <w:sz w:val="22"/>
                <w:szCs w:val="22"/>
                <w:lang w:val="en-US"/>
              </w:rPr>
              <w:t>Municipality</w:t>
            </w:r>
          </w:p>
        </w:tc>
        <w:tc>
          <w:tcPr>
            <w:tcW w:w="11300" w:type="dxa"/>
            <w:gridSpan w:val="6"/>
            <w:tcBorders>
              <w:top w:val="single" w:sz="8" w:space="0" w:color="auto"/>
              <w:left w:val="single" w:sz="8" w:space="0" w:color="auto"/>
              <w:bottom w:val="single" w:sz="4" w:space="0" w:color="auto"/>
              <w:right w:val="single" w:sz="8" w:space="0" w:color="000000" w:themeColor="text1"/>
            </w:tcBorders>
            <w:shd w:val="clear" w:color="auto" w:fill="A5C9EB" w:themeFill="text2" w:themeFillTint="40"/>
            <w:noWrap/>
            <w:vAlign w:val="bottom"/>
            <w:hideMark/>
          </w:tcPr>
          <w:p w14:paraId="16A7E237" w14:textId="77777777" w:rsidR="0019528E" w:rsidRPr="00F569AE" w:rsidRDefault="0019528E">
            <w:pPr>
              <w:jc w:val="center"/>
              <w:rPr>
                <w:rFonts w:ascii="Calibri" w:hAnsi="Calibri" w:cs="Calibri"/>
                <w:b/>
                <w:i/>
                <w:color w:val="000000"/>
                <w:sz w:val="22"/>
                <w:szCs w:val="22"/>
                <w:lang w:val="en-US"/>
              </w:rPr>
            </w:pPr>
            <w:r w:rsidRPr="00F569AE">
              <w:rPr>
                <w:rFonts w:ascii="Calibri" w:hAnsi="Calibri" w:cs="Calibri"/>
                <w:b/>
                <w:i/>
                <w:color w:val="000000"/>
                <w:sz w:val="22"/>
                <w:szCs w:val="22"/>
                <w:lang w:val="en-US"/>
              </w:rPr>
              <w:t>Instruments</w:t>
            </w:r>
          </w:p>
        </w:tc>
      </w:tr>
      <w:tr w:rsidR="0019528E" w:rsidRPr="00F569AE" w14:paraId="3C35641D" w14:textId="77777777">
        <w:trPr>
          <w:trHeight w:val="1620"/>
        </w:trPr>
        <w:tc>
          <w:tcPr>
            <w:tcW w:w="536" w:type="dxa"/>
            <w:vMerge/>
            <w:vAlign w:val="center"/>
            <w:hideMark/>
          </w:tcPr>
          <w:p w14:paraId="6B4C2995" w14:textId="77777777" w:rsidR="0019528E" w:rsidRPr="00F569AE" w:rsidRDefault="0019528E">
            <w:pPr>
              <w:rPr>
                <w:rFonts w:ascii="Calibri" w:hAnsi="Calibri" w:cs="Calibri"/>
                <w:b/>
                <w:i/>
                <w:color w:val="000000"/>
                <w:sz w:val="22"/>
                <w:szCs w:val="22"/>
                <w:lang w:val="en-US"/>
              </w:rPr>
            </w:pPr>
          </w:p>
        </w:tc>
        <w:tc>
          <w:tcPr>
            <w:tcW w:w="1720" w:type="dxa"/>
            <w:vMerge/>
            <w:vAlign w:val="center"/>
            <w:hideMark/>
          </w:tcPr>
          <w:p w14:paraId="63E42480" w14:textId="77777777" w:rsidR="0019528E" w:rsidRPr="00F569AE" w:rsidRDefault="0019528E">
            <w:pPr>
              <w:rPr>
                <w:rFonts w:ascii="Calibri" w:hAnsi="Calibri" w:cs="Calibri"/>
                <w:b/>
                <w:i/>
                <w:color w:val="000000"/>
                <w:sz w:val="22"/>
                <w:szCs w:val="22"/>
                <w:lang w:val="en-US"/>
              </w:rPr>
            </w:pPr>
          </w:p>
        </w:tc>
        <w:tc>
          <w:tcPr>
            <w:tcW w:w="2270" w:type="dxa"/>
            <w:tcBorders>
              <w:top w:val="nil"/>
              <w:left w:val="single" w:sz="8" w:space="0" w:color="auto"/>
              <w:bottom w:val="single" w:sz="8" w:space="0" w:color="auto"/>
              <w:right w:val="single" w:sz="4" w:space="0" w:color="auto"/>
            </w:tcBorders>
            <w:shd w:val="clear" w:color="auto" w:fill="A5C9EB" w:themeFill="text2" w:themeFillTint="40"/>
            <w:vAlign w:val="center"/>
            <w:hideMark/>
          </w:tcPr>
          <w:p w14:paraId="42592794" w14:textId="77777777" w:rsidR="0019528E" w:rsidRPr="00F569AE" w:rsidRDefault="0019528E">
            <w:pPr>
              <w:jc w:val="center"/>
              <w:rPr>
                <w:rFonts w:ascii="Calibri" w:hAnsi="Calibri" w:cs="Calibri"/>
                <w:b/>
                <w:i/>
                <w:color w:val="000000"/>
                <w:sz w:val="22"/>
                <w:szCs w:val="22"/>
                <w:lang w:val="en-US"/>
              </w:rPr>
            </w:pPr>
            <w:r w:rsidRPr="00F569AE">
              <w:rPr>
                <w:rFonts w:ascii="Calibri" w:hAnsi="Calibri" w:cs="Calibri"/>
                <w:b/>
                <w:i/>
                <w:color w:val="000000"/>
                <w:sz w:val="22"/>
                <w:szCs w:val="22"/>
                <w:lang w:val="en-US"/>
              </w:rPr>
              <w:t>CAF for LGs</w:t>
            </w:r>
          </w:p>
        </w:tc>
        <w:tc>
          <w:tcPr>
            <w:tcW w:w="1701" w:type="dxa"/>
            <w:tcBorders>
              <w:top w:val="nil"/>
              <w:left w:val="nil"/>
              <w:bottom w:val="single" w:sz="8" w:space="0" w:color="auto"/>
              <w:right w:val="single" w:sz="4" w:space="0" w:color="auto"/>
            </w:tcBorders>
            <w:shd w:val="clear" w:color="auto" w:fill="A5C9EB" w:themeFill="text2" w:themeFillTint="40"/>
            <w:vAlign w:val="center"/>
            <w:hideMark/>
          </w:tcPr>
          <w:p w14:paraId="715033E0" w14:textId="3431E4CD" w:rsidR="0019528E" w:rsidRPr="00F569AE" w:rsidRDefault="001F5342">
            <w:pPr>
              <w:jc w:val="center"/>
              <w:rPr>
                <w:rFonts w:ascii="Calibri" w:hAnsi="Calibri" w:cs="Calibri"/>
                <w:b/>
                <w:i/>
                <w:color w:val="000000"/>
                <w:sz w:val="22"/>
                <w:szCs w:val="22"/>
                <w:lang w:val="en-US"/>
              </w:rPr>
            </w:pPr>
            <w:r>
              <w:rPr>
                <w:rFonts w:ascii="Calibri" w:hAnsi="Calibri" w:cs="Calibri"/>
                <w:b/>
                <w:i/>
                <w:color w:val="000000"/>
                <w:sz w:val="22"/>
                <w:szCs w:val="22"/>
                <w:lang w:val="en-US"/>
              </w:rPr>
              <w:t>e</w:t>
            </w:r>
            <w:r w:rsidR="0019528E" w:rsidRPr="00F569AE">
              <w:rPr>
                <w:rFonts w:ascii="Calibri" w:hAnsi="Calibri" w:cs="Calibri"/>
                <w:b/>
                <w:i/>
                <w:color w:val="000000"/>
                <w:sz w:val="22"/>
                <w:szCs w:val="22"/>
                <w:lang w:val="en-US"/>
              </w:rPr>
              <w:t>-citizen</w:t>
            </w:r>
          </w:p>
        </w:tc>
        <w:tc>
          <w:tcPr>
            <w:tcW w:w="1701" w:type="dxa"/>
            <w:tcBorders>
              <w:top w:val="nil"/>
              <w:left w:val="nil"/>
              <w:bottom w:val="single" w:sz="8" w:space="0" w:color="auto"/>
              <w:right w:val="single" w:sz="4" w:space="0" w:color="auto"/>
            </w:tcBorders>
            <w:shd w:val="clear" w:color="auto" w:fill="A5C9EB" w:themeFill="text2" w:themeFillTint="40"/>
            <w:vAlign w:val="center"/>
            <w:hideMark/>
          </w:tcPr>
          <w:p w14:paraId="2CE313C9" w14:textId="77777777" w:rsidR="0019528E" w:rsidRPr="00F569AE" w:rsidRDefault="0019528E">
            <w:pPr>
              <w:jc w:val="center"/>
              <w:rPr>
                <w:rFonts w:ascii="Calibri" w:hAnsi="Calibri" w:cs="Calibri"/>
                <w:b/>
                <w:i/>
                <w:color w:val="000000"/>
                <w:sz w:val="22"/>
                <w:szCs w:val="22"/>
                <w:lang w:val="en-US"/>
              </w:rPr>
            </w:pPr>
            <w:r w:rsidRPr="00F569AE">
              <w:rPr>
                <w:rFonts w:ascii="Calibri" w:hAnsi="Calibri" w:cs="Calibri"/>
                <w:b/>
                <w:i/>
                <w:color w:val="000000"/>
                <w:sz w:val="22"/>
                <w:szCs w:val="22"/>
                <w:lang w:val="en-US"/>
              </w:rPr>
              <w:t>Public service agreements</w:t>
            </w:r>
          </w:p>
        </w:tc>
        <w:tc>
          <w:tcPr>
            <w:tcW w:w="1985" w:type="dxa"/>
            <w:tcBorders>
              <w:top w:val="nil"/>
              <w:left w:val="nil"/>
              <w:bottom w:val="single" w:sz="8" w:space="0" w:color="auto"/>
              <w:right w:val="single" w:sz="4" w:space="0" w:color="auto"/>
            </w:tcBorders>
            <w:shd w:val="clear" w:color="auto" w:fill="A5C9EB" w:themeFill="text2" w:themeFillTint="40"/>
            <w:vAlign w:val="center"/>
            <w:hideMark/>
          </w:tcPr>
          <w:p w14:paraId="1E7ABFCB" w14:textId="77777777" w:rsidR="0019528E" w:rsidRPr="00F569AE" w:rsidRDefault="0019528E">
            <w:pPr>
              <w:jc w:val="center"/>
              <w:rPr>
                <w:rFonts w:ascii="Calibri" w:hAnsi="Calibri" w:cs="Calibri"/>
                <w:b/>
                <w:i/>
                <w:color w:val="000000"/>
                <w:sz w:val="22"/>
                <w:szCs w:val="22"/>
                <w:lang w:val="en-US"/>
              </w:rPr>
            </w:pPr>
            <w:r w:rsidRPr="00F569AE">
              <w:rPr>
                <w:rFonts w:ascii="Calibri" w:hAnsi="Calibri" w:cs="Calibri"/>
                <w:b/>
                <w:i/>
                <w:color w:val="000000"/>
                <w:sz w:val="22"/>
                <w:szCs w:val="22"/>
                <w:lang w:val="en-US"/>
              </w:rPr>
              <w:t>Financial operation performance improvement plans</w:t>
            </w:r>
          </w:p>
        </w:tc>
        <w:tc>
          <w:tcPr>
            <w:tcW w:w="1701" w:type="dxa"/>
            <w:tcBorders>
              <w:top w:val="nil"/>
              <w:left w:val="nil"/>
              <w:bottom w:val="single" w:sz="8" w:space="0" w:color="auto"/>
              <w:right w:val="single" w:sz="4" w:space="0" w:color="auto"/>
            </w:tcBorders>
            <w:shd w:val="clear" w:color="auto" w:fill="A5C9EB" w:themeFill="text2" w:themeFillTint="40"/>
            <w:vAlign w:val="center"/>
            <w:hideMark/>
          </w:tcPr>
          <w:p w14:paraId="661C83F1" w14:textId="4AAD6D0C" w:rsidR="0019528E" w:rsidRPr="00F569AE" w:rsidRDefault="004E25DF">
            <w:pPr>
              <w:jc w:val="center"/>
              <w:rPr>
                <w:rFonts w:ascii="Calibri" w:hAnsi="Calibri" w:cs="Calibri"/>
                <w:b/>
                <w:i/>
                <w:color w:val="000000"/>
                <w:sz w:val="22"/>
                <w:szCs w:val="22"/>
                <w:lang w:val="en-US"/>
              </w:rPr>
            </w:pPr>
            <w:r>
              <w:rPr>
                <w:rFonts w:ascii="Calibri" w:hAnsi="Calibri" w:cs="Calibri"/>
                <w:b/>
                <w:i/>
                <w:color w:val="000000"/>
                <w:sz w:val="22"/>
                <w:szCs w:val="22"/>
                <w:lang w:val="en-US"/>
              </w:rPr>
              <w:t>MAP scoring system</w:t>
            </w:r>
          </w:p>
        </w:tc>
        <w:tc>
          <w:tcPr>
            <w:tcW w:w="1942" w:type="dxa"/>
            <w:tcBorders>
              <w:top w:val="nil"/>
              <w:left w:val="nil"/>
              <w:bottom w:val="single" w:sz="8" w:space="0" w:color="auto"/>
              <w:right w:val="single" w:sz="8" w:space="0" w:color="auto"/>
            </w:tcBorders>
            <w:shd w:val="clear" w:color="auto" w:fill="A5C9EB" w:themeFill="text2" w:themeFillTint="40"/>
            <w:vAlign w:val="center"/>
            <w:hideMark/>
          </w:tcPr>
          <w:p w14:paraId="6EFEB367" w14:textId="77777777" w:rsidR="0019528E" w:rsidRPr="00F569AE" w:rsidRDefault="0019528E">
            <w:pPr>
              <w:jc w:val="center"/>
              <w:rPr>
                <w:rFonts w:ascii="Calibri" w:hAnsi="Calibri" w:cs="Calibri"/>
                <w:b/>
                <w:i/>
                <w:color w:val="000000"/>
                <w:sz w:val="22"/>
                <w:szCs w:val="22"/>
                <w:lang w:val="en-US"/>
              </w:rPr>
            </w:pPr>
            <w:r w:rsidRPr="00F569AE">
              <w:rPr>
                <w:rFonts w:ascii="Calibri" w:hAnsi="Calibri" w:cs="Calibri"/>
                <w:b/>
                <w:i/>
                <w:color w:val="000000"/>
                <w:sz w:val="22"/>
                <w:szCs w:val="22"/>
                <w:lang w:val="en-US"/>
              </w:rPr>
              <w:t>Integrity plans</w:t>
            </w:r>
          </w:p>
        </w:tc>
      </w:tr>
      <w:tr w:rsidR="0019528E" w:rsidRPr="00F569AE" w14:paraId="37692763"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674E8360"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1</w:t>
            </w:r>
          </w:p>
        </w:tc>
        <w:tc>
          <w:tcPr>
            <w:tcW w:w="1720" w:type="dxa"/>
            <w:tcBorders>
              <w:top w:val="nil"/>
              <w:left w:val="nil"/>
              <w:bottom w:val="single" w:sz="4" w:space="0" w:color="auto"/>
              <w:right w:val="nil"/>
            </w:tcBorders>
            <w:noWrap/>
            <w:vAlign w:val="bottom"/>
            <w:hideMark/>
          </w:tcPr>
          <w:p w14:paraId="4A12E7B8"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Bihać</w:t>
            </w:r>
          </w:p>
        </w:tc>
        <w:tc>
          <w:tcPr>
            <w:tcW w:w="2270" w:type="dxa"/>
            <w:tcBorders>
              <w:top w:val="nil"/>
              <w:left w:val="nil"/>
              <w:bottom w:val="nil"/>
              <w:right w:val="nil"/>
            </w:tcBorders>
            <w:shd w:val="clear" w:color="auto" w:fill="70AD47"/>
            <w:noWrap/>
            <w:vAlign w:val="center"/>
            <w:hideMark/>
          </w:tcPr>
          <w:p w14:paraId="5250629F"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center"/>
            <w:hideMark/>
          </w:tcPr>
          <w:p w14:paraId="70E4535D"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025EFC51"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110267B3"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24510151"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52AC4F40"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17879832"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5818D256"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2</w:t>
            </w:r>
          </w:p>
        </w:tc>
        <w:tc>
          <w:tcPr>
            <w:tcW w:w="1720" w:type="dxa"/>
            <w:tcBorders>
              <w:top w:val="nil"/>
              <w:left w:val="nil"/>
              <w:bottom w:val="single" w:sz="4" w:space="0" w:color="auto"/>
              <w:right w:val="nil"/>
            </w:tcBorders>
            <w:noWrap/>
            <w:vAlign w:val="bottom"/>
            <w:hideMark/>
          </w:tcPr>
          <w:p w14:paraId="4B4A111F"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B. Krupa</w:t>
            </w:r>
          </w:p>
        </w:tc>
        <w:tc>
          <w:tcPr>
            <w:tcW w:w="2270" w:type="dxa"/>
            <w:tcBorders>
              <w:top w:val="nil"/>
              <w:left w:val="nil"/>
              <w:bottom w:val="nil"/>
              <w:right w:val="nil"/>
            </w:tcBorders>
            <w:shd w:val="clear" w:color="auto" w:fill="ECE45E"/>
            <w:noWrap/>
            <w:vAlign w:val="center"/>
            <w:hideMark/>
          </w:tcPr>
          <w:p w14:paraId="737FB0F8"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04B50AB7"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3068C242"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3DF12529"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672B5ECC"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05E0AE33"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76754DB5" w14:textId="77777777">
        <w:trPr>
          <w:trHeight w:val="320"/>
        </w:trPr>
        <w:tc>
          <w:tcPr>
            <w:tcW w:w="536" w:type="dxa"/>
            <w:tcBorders>
              <w:top w:val="nil"/>
              <w:left w:val="single" w:sz="8" w:space="0" w:color="auto"/>
              <w:bottom w:val="single" w:sz="4" w:space="0" w:color="auto"/>
              <w:right w:val="single" w:sz="4" w:space="0" w:color="auto"/>
            </w:tcBorders>
            <w:noWrap/>
            <w:vAlign w:val="bottom"/>
            <w:hideMark/>
          </w:tcPr>
          <w:p w14:paraId="47E67C72"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3</w:t>
            </w:r>
          </w:p>
        </w:tc>
        <w:tc>
          <w:tcPr>
            <w:tcW w:w="1720" w:type="dxa"/>
            <w:tcBorders>
              <w:top w:val="nil"/>
              <w:left w:val="nil"/>
              <w:bottom w:val="single" w:sz="4" w:space="0" w:color="auto"/>
              <w:right w:val="nil"/>
            </w:tcBorders>
            <w:noWrap/>
            <w:vAlign w:val="bottom"/>
            <w:hideMark/>
          </w:tcPr>
          <w:p w14:paraId="704109C9"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Gradiška</w:t>
            </w:r>
          </w:p>
        </w:tc>
        <w:tc>
          <w:tcPr>
            <w:tcW w:w="2270" w:type="dxa"/>
            <w:tcBorders>
              <w:top w:val="nil"/>
              <w:left w:val="nil"/>
              <w:bottom w:val="nil"/>
              <w:right w:val="nil"/>
            </w:tcBorders>
            <w:shd w:val="clear" w:color="auto" w:fill="ECE45E"/>
            <w:noWrap/>
            <w:vAlign w:val="center"/>
            <w:hideMark/>
          </w:tcPr>
          <w:p w14:paraId="0A216533"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3E340EB3"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6E24B334"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10FBCB5A"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26B5001B"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08D1DF6F"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06A1326B"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0D33154A"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4</w:t>
            </w:r>
          </w:p>
        </w:tc>
        <w:tc>
          <w:tcPr>
            <w:tcW w:w="1720" w:type="dxa"/>
            <w:tcBorders>
              <w:top w:val="nil"/>
              <w:left w:val="nil"/>
              <w:bottom w:val="single" w:sz="4" w:space="0" w:color="auto"/>
              <w:right w:val="nil"/>
            </w:tcBorders>
            <w:noWrap/>
            <w:vAlign w:val="bottom"/>
            <w:hideMark/>
          </w:tcPr>
          <w:p w14:paraId="7BC46702"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Gračanica</w:t>
            </w:r>
          </w:p>
        </w:tc>
        <w:tc>
          <w:tcPr>
            <w:tcW w:w="2270" w:type="dxa"/>
            <w:tcBorders>
              <w:top w:val="nil"/>
              <w:left w:val="nil"/>
              <w:bottom w:val="nil"/>
              <w:right w:val="nil"/>
            </w:tcBorders>
            <w:shd w:val="clear" w:color="auto" w:fill="70AD47"/>
            <w:noWrap/>
            <w:vAlign w:val="center"/>
            <w:hideMark/>
          </w:tcPr>
          <w:p w14:paraId="38B0C198"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center"/>
            <w:hideMark/>
          </w:tcPr>
          <w:p w14:paraId="6FFFC672"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426D08A3"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6BF12D67"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1E67C09B"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F1A983" w:themeFill="accent2" w:themeFillTint="99"/>
            <w:noWrap/>
            <w:vAlign w:val="center"/>
            <w:hideMark/>
          </w:tcPr>
          <w:p w14:paraId="0D54BB46"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not adopted</w:t>
            </w:r>
          </w:p>
        </w:tc>
      </w:tr>
      <w:tr w:rsidR="0019528E" w:rsidRPr="00F569AE" w14:paraId="27134297"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7117D902"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5</w:t>
            </w:r>
          </w:p>
        </w:tc>
        <w:tc>
          <w:tcPr>
            <w:tcW w:w="1720" w:type="dxa"/>
            <w:tcBorders>
              <w:top w:val="nil"/>
              <w:left w:val="nil"/>
              <w:bottom w:val="single" w:sz="4" w:space="0" w:color="auto"/>
              <w:right w:val="nil"/>
            </w:tcBorders>
            <w:noWrap/>
            <w:vAlign w:val="bottom"/>
            <w:hideMark/>
          </w:tcPr>
          <w:p w14:paraId="3AED0D06"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Prijedor</w:t>
            </w:r>
          </w:p>
        </w:tc>
        <w:tc>
          <w:tcPr>
            <w:tcW w:w="2270" w:type="dxa"/>
            <w:tcBorders>
              <w:top w:val="nil"/>
              <w:left w:val="nil"/>
              <w:bottom w:val="nil"/>
              <w:right w:val="nil"/>
            </w:tcBorders>
            <w:shd w:val="clear" w:color="auto" w:fill="70AD47"/>
            <w:noWrap/>
            <w:vAlign w:val="center"/>
            <w:hideMark/>
          </w:tcPr>
          <w:p w14:paraId="33197D37"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center"/>
            <w:hideMark/>
          </w:tcPr>
          <w:p w14:paraId="73E57F3E"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464F6CAD"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70090C20"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26231B51"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2BDBB749"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00E54503"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28EE50E1"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6</w:t>
            </w:r>
          </w:p>
        </w:tc>
        <w:tc>
          <w:tcPr>
            <w:tcW w:w="1720" w:type="dxa"/>
            <w:tcBorders>
              <w:top w:val="nil"/>
              <w:left w:val="nil"/>
              <w:bottom w:val="single" w:sz="4" w:space="0" w:color="auto"/>
              <w:right w:val="nil"/>
            </w:tcBorders>
            <w:noWrap/>
            <w:vAlign w:val="bottom"/>
            <w:hideMark/>
          </w:tcPr>
          <w:p w14:paraId="59A1A027"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Prnjavor</w:t>
            </w:r>
          </w:p>
        </w:tc>
        <w:tc>
          <w:tcPr>
            <w:tcW w:w="2270" w:type="dxa"/>
            <w:tcBorders>
              <w:top w:val="nil"/>
              <w:left w:val="nil"/>
              <w:bottom w:val="nil"/>
              <w:right w:val="nil"/>
            </w:tcBorders>
            <w:shd w:val="clear" w:color="auto" w:fill="70AD47"/>
            <w:noWrap/>
            <w:vAlign w:val="center"/>
            <w:hideMark/>
          </w:tcPr>
          <w:p w14:paraId="2889DEE5"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center"/>
            <w:hideMark/>
          </w:tcPr>
          <w:p w14:paraId="4C38D227"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3AE30FA4"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33DBC884"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11A843CD"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7F3DCCC3"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546ED2C3"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7695346A"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7</w:t>
            </w:r>
          </w:p>
        </w:tc>
        <w:tc>
          <w:tcPr>
            <w:tcW w:w="1720" w:type="dxa"/>
            <w:tcBorders>
              <w:top w:val="nil"/>
              <w:left w:val="nil"/>
              <w:bottom w:val="single" w:sz="4" w:space="0" w:color="auto"/>
              <w:right w:val="nil"/>
            </w:tcBorders>
            <w:noWrap/>
            <w:vAlign w:val="bottom"/>
            <w:hideMark/>
          </w:tcPr>
          <w:p w14:paraId="5508CCC8"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Sanski Most</w:t>
            </w:r>
          </w:p>
        </w:tc>
        <w:tc>
          <w:tcPr>
            <w:tcW w:w="2270" w:type="dxa"/>
            <w:tcBorders>
              <w:top w:val="nil"/>
              <w:left w:val="nil"/>
              <w:bottom w:val="nil"/>
              <w:right w:val="nil"/>
            </w:tcBorders>
            <w:shd w:val="clear" w:color="auto" w:fill="ECE45E"/>
            <w:noWrap/>
            <w:vAlign w:val="center"/>
            <w:hideMark/>
          </w:tcPr>
          <w:p w14:paraId="4DA4E6DA"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4A391D00"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0C1A60BF"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6AFE2765"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333A4DBF"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5EC55C32"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6A83FAD1"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3A98728F"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8</w:t>
            </w:r>
          </w:p>
        </w:tc>
        <w:tc>
          <w:tcPr>
            <w:tcW w:w="1720" w:type="dxa"/>
            <w:tcBorders>
              <w:top w:val="nil"/>
              <w:left w:val="nil"/>
              <w:bottom w:val="single" w:sz="4" w:space="0" w:color="auto"/>
              <w:right w:val="nil"/>
            </w:tcBorders>
            <w:noWrap/>
            <w:vAlign w:val="bottom"/>
            <w:hideMark/>
          </w:tcPr>
          <w:p w14:paraId="056FAB20"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Teslić</w:t>
            </w:r>
          </w:p>
        </w:tc>
        <w:tc>
          <w:tcPr>
            <w:tcW w:w="2270" w:type="dxa"/>
            <w:tcBorders>
              <w:top w:val="nil"/>
              <w:left w:val="nil"/>
              <w:bottom w:val="nil"/>
              <w:right w:val="nil"/>
            </w:tcBorders>
            <w:shd w:val="clear" w:color="auto" w:fill="70AD47"/>
            <w:noWrap/>
            <w:vAlign w:val="center"/>
            <w:hideMark/>
          </w:tcPr>
          <w:p w14:paraId="28048F91"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center"/>
            <w:hideMark/>
          </w:tcPr>
          <w:p w14:paraId="52047635"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1037A281"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4161DAC6"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6212A256"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7FEAB739"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05718F17"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643A2088"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lastRenderedPageBreak/>
              <w:t>9</w:t>
            </w:r>
          </w:p>
        </w:tc>
        <w:tc>
          <w:tcPr>
            <w:tcW w:w="1720" w:type="dxa"/>
            <w:tcBorders>
              <w:top w:val="nil"/>
              <w:left w:val="nil"/>
              <w:bottom w:val="single" w:sz="4" w:space="0" w:color="auto"/>
              <w:right w:val="nil"/>
            </w:tcBorders>
            <w:noWrap/>
            <w:vAlign w:val="bottom"/>
            <w:hideMark/>
          </w:tcPr>
          <w:p w14:paraId="24FEDDDF"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Tešanj</w:t>
            </w:r>
          </w:p>
        </w:tc>
        <w:tc>
          <w:tcPr>
            <w:tcW w:w="2270" w:type="dxa"/>
            <w:tcBorders>
              <w:top w:val="nil"/>
              <w:left w:val="nil"/>
              <w:bottom w:val="nil"/>
              <w:right w:val="nil"/>
            </w:tcBorders>
            <w:shd w:val="clear" w:color="auto" w:fill="70AD47"/>
            <w:noWrap/>
            <w:vAlign w:val="center"/>
            <w:hideMark/>
          </w:tcPr>
          <w:p w14:paraId="60926D08"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center"/>
            <w:hideMark/>
          </w:tcPr>
          <w:p w14:paraId="6C6DAE82"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46CCB2ED"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35F9181F"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301F37ED"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38B150B2"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73D8459E"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708B1156"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10</w:t>
            </w:r>
          </w:p>
        </w:tc>
        <w:tc>
          <w:tcPr>
            <w:tcW w:w="1720" w:type="dxa"/>
            <w:tcBorders>
              <w:top w:val="nil"/>
              <w:left w:val="nil"/>
              <w:bottom w:val="single" w:sz="4" w:space="0" w:color="auto"/>
              <w:right w:val="nil"/>
            </w:tcBorders>
            <w:noWrap/>
            <w:vAlign w:val="bottom"/>
            <w:hideMark/>
          </w:tcPr>
          <w:p w14:paraId="222501FC"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Žepče</w:t>
            </w:r>
          </w:p>
        </w:tc>
        <w:tc>
          <w:tcPr>
            <w:tcW w:w="2270" w:type="dxa"/>
            <w:tcBorders>
              <w:top w:val="nil"/>
              <w:left w:val="nil"/>
              <w:bottom w:val="nil"/>
              <w:right w:val="nil"/>
            </w:tcBorders>
            <w:shd w:val="clear" w:color="auto" w:fill="70AD47"/>
            <w:noWrap/>
            <w:vAlign w:val="center"/>
            <w:hideMark/>
          </w:tcPr>
          <w:p w14:paraId="00C9F00D"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center"/>
            <w:hideMark/>
          </w:tcPr>
          <w:p w14:paraId="5E0ACB7B"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5F2D26B1"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62324704"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3DDB41D0"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1F78AED8"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2B018E3E"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4AF3C498"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11</w:t>
            </w:r>
          </w:p>
        </w:tc>
        <w:tc>
          <w:tcPr>
            <w:tcW w:w="1720" w:type="dxa"/>
            <w:tcBorders>
              <w:top w:val="nil"/>
              <w:left w:val="nil"/>
              <w:bottom w:val="single" w:sz="4" w:space="0" w:color="auto"/>
              <w:right w:val="nil"/>
            </w:tcBorders>
            <w:noWrap/>
            <w:vAlign w:val="bottom"/>
            <w:hideMark/>
          </w:tcPr>
          <w:p w14:paraId="04C9E15A"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B. Petrovac</w:t>
            </w:r>
          </w:p>
        </w:tc>
        <w:tc>
          <w:tcPr>
            <w:tcW w:w="2270" w:type="dxa"/>
            <w:tcBorders>
              <w:top w:val="nil"/>
              <w:left w:val="nil"/>
              <w:bottom w:val="nil"/>
              <w:right w:val="nil"/>
            </w:tcBorders>
            <w:shd w:val="clear" w:color="auto" w:fill="ECE45E"/>
            <w:noWrap/>
            <w:vAlign w:val="center"/>
            <w:hideMark/>
          </w:tcPr>
          <w:p w14:paraId="4FD6DCE9"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00E5BEB9"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08D27E27"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0E3E4177"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0562200E"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20745C31"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6073BA69" w14:textId="77777777" w:rsidTr="00C76EE6">
        <w:trPr>
          <w:trHeight w:val="300"/>
        </w:trPr>
        <w:tc>
          <w:tcPr>
            <w:tcW w:w="536" w:type="dxa"/>
            <w:tcBorders>
              <w:top w:val="nil"/>
              <w:left w:val="single" w:sz="8" w:space="0" w:color="auto"/>
              <w:bottom w:val="single" w:sz="4" w:space="0" w:color="auto"/>
              <w:right w:val="single" w:sz="4" w:space="0" w:color="auto"/>
            </w:tcBorders>
            <w:noWrap/>
            <w:vAlign w:val="bottom"/>
            <w:hideMark/>
          </w:tcPr>
          <w:p w14:paraId="75BAB8D3"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12</w:t>
            </w:r>
          </w:p>
        </w:tc>
        <w:tc>
          <w:tcPr>
            <w:tcW w:w="1720" w:type="dxa"/>
            <w:tcBorders>
              <w:top w:val="nil"/>
              <w:left w:val="nil"/>
              <w:bottom w:val="single" w:sz="4" w:space="0" w:color="auto"/>
              <w:right w:val="nil"/>
            </w:tcBorders>
            <w:noWrap/>
            <w:vAlign w:val="bottom"/>
            <w:hideMark/>
          </w:tcPr>
          <w:p w14:paraId="1751661C"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themeColor="text1"/>
                <w:sz w:val="22"/>
                <w:szCs w:val="22"/>
                <w:lang w:val="en-US"/>
              </w:rPr>
              <w:t>Busovača</w:t>
            </w:r>
          </w:p>
        </w:tc>
        <w:tc>
          <w:tcPr>
            <w:tcW w:w="2270" w:type="dxa"/>
            <w:tcBorders>
              <w:top w:val="nil"/>
              <w:left w:val="nil"/>
              <w:bottom w:val="nil"/>
              <w:right w:val="nil"/>
            </w:tcBorders>
            <w:shd w:val="clear" w:color="auto" w:fill="F1A983" w:themeFill="accent2" w:themeFillTint="99"/>
            <w:noWrap/>
            <w:vAlign w:val="center"/>
            <w:hideMark/>
          </w:tcPr>
          <w:p w14:paraId="28C70E2D" w14:textId="0AFA363E" w:rsidR="0019528E" w:rsidRPr="00F569AE" w:rsidRDefault="00C76EE6">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not adopted</w:t>
            </w:r>
          </w:p>
        </w:tc>
        <w:tc>
          <w:tcPr>
            <w:tcW w:w="1701" w:type="dxa"/>
            <w:tcBorders>
              <w:top w:val="nil"/>
              <w:left w:val="nil"/>
              <w:bottom w:val="nil"/>
              <w:right w:val="nil"/>
            </w:tcBorders>
            <w:shd w:val="clear" w:color="auto" w:fill="70AD47"/>
            <w:noWrap/>
            <w:vAlign w:val="center"/>
            <w:hideMark/>
          </w:tcPr>
          <w:p w14:paraId="77778B31"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4023D581"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39C295B3"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78F5B3B7"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04FC5C75"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0534B68F"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52C33A0A"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13</w:t>
            </w:r>
          </w:p>
        </w:tc>
        <w:tc>
          <w:tcPr>
            <w:tcW w:w="1720" w:type="dxa"/>
            <w:tcBorders>
              <w:top w:val="nil"/>
              <w:left w:val="nil"/>
              <w:bottom w:val="single" w:sz="4" w:space="0" w:color="auto"/>
              <w:right w:val="nil"/>
            </w:tcBorders>
            <w:shd w:val="clear" w:color="auto" w:fill="FFFFFF" w:themeFill="background1"/>
            <w:noWrap/>
            <w:vAlign w:val="bottom"/>
            <w:hideMark/>
          </w:tcPr>
          <w:p w14:paraId="2696810E"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Čelinac</w:t>
            </w:r>
          </w:p>
        </w:tc>
        <w:tc>
          <w:tcPr>
            <w:tcW w:w="2270" w:type="dxa"/>
            <w:tcBorders>
              <w:top w:val="nil"/>
              <w:left w:val="nil"/>
              <w:bottom w:val="nil"/>
              <w:right w:val="nil"/>
            </w:tcBorders>
            <w:shd w:val="clear" w:color="auto" w:fill="ECE45E"/>
            <w:noWrap/>
            <w:vAlign w:val="center"/>
            <w:hideMark/>
          </w:tcPr>
          <w:p w14:paraId="76E1AD61"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4AC56463"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F1A983" w:themeFill="accent2" w:themeFillTint="99"/>
            <w:noWrap/>
            <w:vAlign w:val="center"/>
            <w:hideMark/>
          </w:tcPr>
          <w:p w14:paraId="11A91770"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not adopted</w:t>
            </w:r>
          </w:p>
        </w:tc>
        <w:tc>
          <w:tcPr>
            <w:tcW w:w="1985" w:type="dxa"/>
            <w:tcBorders>
              <w:top w:val="nil"/>
              <w:left w:val="nil"/>
              <w:bottom w:val="nil"/>
              <w:right w:val="nil"/>
            </w:tcBorders>
            <w:shd w:val="clear" w:color="auto" w:fill="F1A983" w:themeFill="accent2" w:themeFillTint="99"/>
            <w:noWrap/>
            <w:vAlign w:val="center"/>
            <w:hideMark/>
          </w:tcPr>
          <w:p w14:paraId="1EF4E5A0"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not adopted</w:t>
            </w:r>
          </w:p>
        </w:tc>
        <w:tc>
          <w:tcPr>
            <w:tcW w:w="1701" w:type="dxa"/>
            <w:tcBorders>
              <w:top w:val="nil"/>
              <w:left w:val="nil"/>
              <w:bottom w:val="nil"/>
              <w:right w:val="nil"/>
            </w:tcBorders>
            <w:shd w:val="clear" w:color="auto" w:fill="F1A983" w:themeFill="accent2" w:themeFillTint="99"/>
            <w:noWrap/>
            <w:vAlign w:val="center"/>
            <w:hideMark/>
          </w:tcPr>
          <w:p w14:paraId="3419FEF9"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not adopted</w:t>
            </w:r>
          </w:p>
        </w:tc>
        <w:tc>
          <w:tcPr>
            <w:tcW w:w="1942" w:type="dxa"/>
            <w:tcBorders>
              <w:top w:val="nil"/>
              <w:left w:val="nil"/>
              <w:bottom w:val="nil"/>
              <w:right w:val="nil"/>
            </w:tcBorders>
            <w:shd w:val="clear" w:color="auto" w:fill="70AD47"/>
            <w:noWrap/>
            <w:vAlign w:val="center"/>
            <w:hideMark/>
          </w:tcPr>
          <w:p w14:paraId="645753BF"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2DCD06AB"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524C3C34"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14</w:t>
            </w:r>
          </w:p>
        </w:tc>
        <w:tc>
          <w:tcPr>
            <w:tcW w:w="1720" w:type="dxa"/>
            <w:tcBorders>
              <w:top w:val="nil"/>
              <w:left w:val="nil"/>
              <w:bottom w:val="single" w:sz="4" w:space="0" w:color="auto"/>
              <w:right w:val="nil"/>
            </w:tcBorders>
            <w:noWrap/>
            <w:vAlign w:val="bottom"/>
            <w:hideMark/>
          </w:tcPr>
          <w:p w14:paraId="51AE6FD4"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Čapljina</w:t>
            </w:r>
          </w:p>
        </w:tc>
        <w:tc>
          <w:tcPr>
            <w:tcW w:w="2270" w:type="dxa"/>
            <w:tcBorders>
              <w:top w:val="nil"/>
              <w:left w:val="nil"/>
              <w:bottom w:val="nil"/>
              <w:right w:val="nil"/>
            </w:tcBorders>
            <w:shd w:val="clear" w:color="auto" w:fill="ECE45E"/>
            <w:noWrap/>
            <w:vAlign w:val="center"/>
            <w:hideMark/>
          </w:tcPr>
          <w:p w14:paraId="2C050929"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583D2802"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3D34C4D2"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2C6F7BF0"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4BF2833F"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31A1F8A8"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018314EA"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2D85AC75"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15</w:t>
            </w:r>
          </w:p>
        </w:tc>
        <w:tc>
          <w:tcPr>
            <w:tcW w:w="1720" w:type="dxa"/>
            <w:tcBorders>
              <w:top w:val="nil"/>
              <w:left w:val="nil"/>
              <w:bottom w:val="single" w:sz="4" w:space="0" w:color="auto"/>
              <w:right w:val="nil"/>
            </w:tcBorders>
            <w:noWrap/>
            <w:vAlign w:val="bottom"/>
            <w:hideMark/>
          </w:tcPr>
          <w:p w14:paraId="7C35D247"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Čitluk</w:t>
            </w:r>
          </w:p>
        </w:tc>
        <w:tc>
          <w:tcPr>
            <w:tcW w:w="2270" w:type="dxa"/>
            <w:tcBorders>
              <w:top w:val="nil"/>
              <w:left w:val="nil"/>
              <w:bottom w:val="nil"/>
              <w:right w:val="nil"/>
            </w:tcBorders>
            <w:shd w:val="clear" w:color="auto" w:fill="ECE45E"/>
            <w:noWrap/>
            <w:vAlign w:val="center"/>
            <w:hideMark/>
          </w:tcPr>
          <w:p w14:paraId="37D0DC76"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62A67FA5"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287BC28C"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2EE33406"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5D4FA8BD"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54093D57"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65F1BA14"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1CC61479"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16</w:t>
            </w:r>
          </w:p>
        </w:tc>
        <w:tc>
          <w:tcPr>
            <w:tcW w:w="1720" w:type="dxa"/>
            <w:tcBorders>
              <w:top w:val="nil"/>
              <w:left w:val="nil"/>
              <w:bottom w:val="single" w:sz="4" w:space="0" w:color="auto"/>
              <w:right w:val="nil"/>
            </w:tcBorders>
            <w:shd w:val="clear" w:color="auto" w:fill="FFFFFF" w:themeFill="background1"/>
            <w:noWrap/>
            <w:vAlign w:val="bottom"/>
            <w:hideMark/>
          </w:tcPr>
          <w:p w14:paraId="760C3A06"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Doboj Istok</w:t>
            </w:r>
          </w:p>
        </w:tc>
        <w:tc>
          <w:tcPr>
            <w:tcW w:w="2270" w:type="dxa"/>
            <w:tcBorders>
              <w:top w:val="nil"/>
              <w:left w:val="nil"/>
              <w:bottom w:val="nil"/>
              <w:right w:val="nil"/>
            </w:tcBorders>
            <w:shd w:val="clear" w:color="auto" w:fill="ECE45E"/>
            <w:noWrap/>
            <w:vAlign w:val="center"/>
            <w:hideMark/>
          </w:tcPr>
          <w:p w14:paraId="4E1AFC3E"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7C4BA293"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7CA8C940"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723D9302"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3F3DB02F"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3C9CC9AD"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4FEA95E4"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057C6F01"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17</w:t>
            </w:r>
          </w:p>
        </w:tc>
        <w:tc>
          <w:tcPr>
            <w:tcW w:w="1720" w:type="dxa"/>
            <w:tcBorders>
              <w:top w:val="nil"/>
              <w:left w:val="nil"/>
              <w:bottom w:val="single" w:sz="4" w:space="0" w:color="auto"/>
              <w:right w:val="nil"/>
            </w:tcBorders>
            <w:shd w:val="clear" w:color="auto" w:fill="FFFFFF" w:themeFill="background1"/>
            <w:noWrap/>
            <w:vAlign w:val="bottom"/>
            <w:hideMark/>
          </w:tcPr>
          <w:p w14:paraId="11BB35C2"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Ilijaš</w:t>
            </w:r>
          </w:p>
        </w:tc>
        <w:tc>
          <w:tcPr>
            <w:tcW w:w="2270" w:type="dxa"/>
            <w:tcBorders>
              <w:top w:val="nil"/>
              <w:left w:val="nil"/>
              <w:bottom w:val="nil"/>
              <w:right w:val="nil"/>
            </w:tcBorders>
            <w:shd w:val="clear" w:color="auto" w:fill="ECE45E"/>
            <w:noWrap/>
            <w:vAlign w:val="center"/>
            <w:hideMark/>
          </w:tcPr>
          <w:p w14:paraId="560A1663"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5C09B5AC"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7B8B5BED"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2C528823"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753D75E9"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51E16B9F"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18CD16DA"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75853194"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18</w:t>
            </w:r>
          </w:p>
        </w:tc>
        <w:tc>
          <w:tcPr>
            <w:tcW w:w="1720" w:type="dxa"/>
            <w:tcBorders>
              <w:top w:val="nil"/>
              <w:left w:val="nil"/>
              <w:bottom w:val="single" w:sz="4" w:space="0" w:color="auto"/>
              <w:right w:val="nil"/>
            </w:tcBorders>
            <w:noWrap/>
            <w:vAlign w:val="bottom"/>
            <w:hideMark/>
          </w:tcPr>
          <w:p w14:paraId="11CBEE3C"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I. Novo Sarajevo</w:t>
            </w:r>
          </w:p>
        </w:tc>
        <w:tc>
          <w:tcPr>
            <w:tcW w:w="2270" w:type="dxa"/>
            <w:tcBorders>
              <w:top w:val="nil"/>
              <w:left w:val="nil"/>
              <w:bottom w:val="nil"/>
              <w:right w:val="nil"/>
            </w:tcBorders>
            <w:shd w:val="clear" w:color="auto" w:fill="ECE45E"/>
            <w:noWrap/>
            <w:vAlign w:val="center"/>
            <w:hideMark/>
          </w:tcPr>
          <w:p w14:paraId="577F23D3"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438E400D"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433C09DD"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715346A3"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22C9D5E0"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341EB330"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58A968A0"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0EF25794"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19</w:t>
            </w:r>
          </w:p>
        </w:tc>
        <w:tc>
          <w:tcPr>
            <w:tcW w:w="1720" w:type="dxa"/>
            <w:tcBorders>
              <w:top w:val="nil"/>
              <w:left w:val="nil"/>
              <w:bottom w:val="single" w:sz="4" w:space="0" w:color="auto"/>
              <w:right w:val="nil"/>
            </w:tcBorders>
            <w:noWrap/>
            <w:vAlign w:val="bottom"/>
            <w:hideMark/>
          </w:tcPr>
          <w:p w14:paraId="02168CF4"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Laktaši</w:t>
            </w:r>
          </w:p>
        </w:tc>
        <w:tc>
          <w:tcPr>
            <w:tcW w:w="2270" w:type="dxa"/>
            <w:tcBorders>
              <w:top w:val="nil"/>
              <w:left w:val="nil"/>
              <w:bottom w:val="nil"/>
              <w:right w:val="nil"/>
            </w:tcBorders>
            <w:shd w:val="clear" w:color="auto" w:fill="70AD47"/>
            <w:noWrap/>
            <w:vAlign w:val="center"/>
            <w:hideMark/>
          </w:tcPr>
          <w:p w14:paraId="362A2B5B"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center"/>
            <w:hideMark/>
          </w:tcPr>
          <w:p w14:paraId="0ACE1D2D"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20420D09"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20FAC2E6"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4F13C6F9"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44C51AFE"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6BE2EA3A"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761FA09B"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20</w:t>
            </w:r>
          </w:p>
        </w:tc>
        <w:tc>
          <w:tcPr>
            <w:tcW w:w="1720" w:type="dxa"/>
            <w:tcBorders>
              <w:top w:val="nil"/>
              <w:left w:val="nil"/>
              <w:bottom w:val="single" w:sz="4" w:space="0" w:color="auto"/>
              <w:right w:val="nil"/>
            </w:tcBorders>
            <w:shd w:val="clear" w:color="auto" w:fill="FFFFFF" w:themeFill="background1"/>
            <w:noWrap/>
            <w:vAlign w:val="bottom"/>
            <w:hideMark/>
          </w:tcPr>
          <w:p w14:paraId="36615C63"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Ljubuški</w:t>
            </w:r>
          </w:p>
        </w:tc>
        <w:tc>
          <w:tcPr>
            <w:tcW w:w="2270" w:type="dxa"/>
            <w:tcBorders>
              <w:top w:val="nil"/>
              <w:left w:val="nil"/>
              <w:bottom w:val="nil"/>
              <w:right w:val="nil"/>
            </w:tcBorders>
            <w:shd w:val="clear" w:color="auto" w:fill="ECE45E"/>
            <w:noWrap/>
            <w:vAlign w:val="center"/>
            <w:hideMark/>
          </w:tcPr>
          <w:p w14:paraId="50220207"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43B4ABFF"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05372D3B"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30CEF0E0"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0DFB7CF2"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F1A983" w:themeFill="accent2" w:themeFillTint="99"/>
            <w:noWrap/>
            <w:vAlign w:val="center"/>
            <w:hideMark/>
          </w:tcPr>
          <w:p w14:paraId="03F512E7"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not adopted</w:t>
            </w:r>
          </w:p>
        </w:tc>
      </w:tr>
      <w:tr w:rsidR="0019528E" w:rsidRPr="00F569AE" w14:paraId="03B99630"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7B40A9C1"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21</w:t>
            </w:r>
          </w:p>
        </w:tc>
        <w:tc>
          <w:tcPr>
            <w:tcW w:w="1720" w:type="dxa"/>
            <w:tcBorders>
              <w:top w:val="nil"/>
              <w:left w:val="nil"/>
              <w:bottom w:val="single" w:sz="4" w:space="0" w:color="auto"/>
              <w:right w:val="nil"/>
            </w:tcBorders>
            <w:shd w:val="clear" w:color="auto" w:fill="FFFFFF" w:themeFill="background1"/>
            <w:noWrap/>
            <w:vAlign w:val="bottom"/>
            <w:hideMark/>
          </w:tcPr>
          <w:p w14:paraId="7ABD4686"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Mostar</w:t>
            </w:r>
          </w:p>
        </w:tc>
        <w:tc>
          <w:tcPr>
            <w:tcW w:w="2270" w:type="dxa"/>
            <w:tcBorders>
              <w:top w:val="nil"/>
              <w:left w:val="nil"/>
              <w:bottom w:val="nil"/>
              <w:right w:val="nil"/>
            </w:tcBorders>
            <w:shd w:val="clear" w:color="auto" w:fill="F1A983" w:themeFill="accent2" w:themeFillTint="99"/>
            <w:noWrap/>
            <w:vAlign w:val="bottom"/>
            <w:hideMark/>
          </w:tcPr>
          <w:p w14:paraId="4A4774CC"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not adopted</w:t>
            </w:r>
          </w:p>
        </w:tc>
        <w:tc>
          <w:tcPr>
            <w:tcW w:w="1701" w:type="dxa"/>
            <w:tcBorders>
              <w:top w:val="nil"/>
              <w:left w:val="nil"/>
              <w:bottom w:val="nil"/>
              <w:right w:val="nil"/>
            </w:tcBorders>
            <w:shd w:val="clear" w:color="auto" w:fill="70AD47"/>
            <w:noWrap/>
            <w:vAlign w:val="center"/>
            <w:hideMark/>
          </w:tcPr>
          <w:p w14:paraId="3258822A"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088646C0"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2254DDC9"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2CCD3E0A"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58D1CD30"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26613552"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01C36A8F"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22</w:t>
            </w:r>
          </w:p>
        </w:tc>
        <w:tc>
          <w:tcPr>
            <w:tcW w:w="1720" w:type="dxa"/>
            <w:tcBorders>
              <w:top w:val="nil"/>
              <w:left w:val="nil"/>
              <w:bottom w:val="single" w:sz="4" w:space="0" w:color="auto"/>
              <w:right w:val="nil"/>
            </w:tcBorders>
            <w:shd w:val="clear" w:color="auto" w:fill="FFFFFF" w:themeFill="background1"/>
            <w:noWrap/>
            <w:vAlign w:val="bottom"/>
            <w:hideMark/>
          </w:tcPr>
          <w:p w14:paraId="40DBAF7D"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 xml:space="preserve">Mrkonjić Grad </w:t>
            </w:r>
          </w:p>
        </w:tc>
        <w:tc>
          <w:tcPr>
            <w:tcW w:w="2270" w:type="dxa"/>
            <w:tcBorders>
              <w:top w:val="nil"/>
              <w:left w:val="nil"/>
              <w:bottom w:val="nil"/>
              <w:right w:val="nil"/>
            </w:tcBorders>
            <w:shd w:val="clear" w:color="auto" w:fill="ECE45E"/>
            <w:noWrap/>
            <w:vAlign w:val="center"/>
            <w:hideMark/>
          </w:tcPr>
          <w:p w14:paraId="46E82973"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538B05DB"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176C7DAD"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381E0487"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72A08F19"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149EAD0B"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57C6A612"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7A4758B6"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23</w:t>
            </w:r>
          </w:p>
        </w:tc>
        <w:tc>
          <w:tcPr>
            <w:tcW w:w="1720" w:type="dxa"/>
            <w:tcBorders>
              <w:top w:val="nil"/>
              <w:left w:val="nil"/>
              <w:bottom w:val="single" w:sz="4" w:space="0" w:color="auto"/>
              <w:right w:val="nil"/>
            </w:tcBorders>
            <w:shd w:val="clear" w:color="auto" w:fill="FFFFFF" w:themeFill="background1"/>
            <w:noWrap/>
            <w:vAlign w:val="bottom"/>
            <w:hideMark/>
          </w:tcPr>
          <w:p w14:paraId="1E233ABA"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 xml:space="preserve">Odžak </w:t>
            </w:r>
          </w:p>
        </w:tc>
        <w:tc>
          <w:tcPr>
            <w:tcW w:w="2270" w:type="dxa"/>
            <w:tcBorders>
              <w:top w:val="nil"/>
              <w:left w:val="nil"/>
              <w:bottom w:val="nil"/>
              <w:right w:val="nil"/>
            </w:tcBorders>
            <w:shd w:val="clear" w:color="auto" w:fill="ECE45E"/>
            <w:noWrap/>
            <w:vAlign w:val="center"/>
            <w:hideMark/>
          </w:tcPr>
          <w:p w14:paraId="4890A7BE"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70800A5F"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7B1AE35B"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51911C35"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46F40AB9"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1B4C4383"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012A4B1A"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7ADDE431"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24</w:t>
            </w:r>
          </w:p>
        </w:tc>
        <w:tc>
          <w:tcPr>
            <w:tcW w:w="1720" w:type="dxa"/>
            <w:tcBorders>
              <w:top w:val="nil"/>
              <w:left w:val="nil"/>
              <w:bottom w:val="single" w:sz="4" w:space="0" w:color="auto"/>
              <w:right w:val="nil"/>
            </w:tcBorders>
            <w:noWrap/>
            <w:vAlign w:val="bottom"/>
            <w:hideMark/>
          </w:tcPr>
          <w:p w14:paraId="2D881BF8"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Orašje</w:t>
            </w:r>
          </w:p>
        </w:tc>
        <w:tc>
          <w:tcPr>
            <w:tcW w:w="2270" w:type="dxa"/>
            <w:tcBorders>
              <w:top w:val="nil"/>
              <w:left w:val="nil"/>
              <w:bottom w:val="nil"/>
              <w:right w:val="nil"/>
            </w:tcBorders>
            <w:shd w:val="clear" w:color="auto" w:fill="70AD47"/>
            <w:noWrap/>
            <w:vAlign w:val="center"/>
            <w:hideMark/>
          </w:tcPr>
          <w:p w14:paraId="59A5CFC9"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center"/>
            <w:hideMark/>
          </w:tcPr>
          <w:p w14:paraId="492131ED"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19853E1F"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27ACE9C1"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2F905753"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4F72C632"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55C01FA4"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4E8FDD3E"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25</w:t>
            </w:r>
          </w:p>
        </w:tc>
        <w:tc>
          <w:tcPr>
            <w:tcW w:w="1720" w:type="dxa"/>
            <w:tcBorders>
              <w:top w:val="nil"/>
              <w:left w:val="nil"/>
              <w:bottom w:val="single" w:sz="4" w:space="0" w:color="auto"/>
              <w:right w:val="nil"/>
            </w:tcBorders>
            <w:noWrap/>
            <w:vAlign w:val="bottom"/>
            <w:hideMark/>
          </w:tcPr>
          <w:p w14:paraId="0027613B"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Srbac</w:t>
            </w:r>
          </w:p>
        </w:tc>
        <w:tc>
          <w:tcPr>
            <w:tcW w:w="2270" w:type="dxa"/>
            <w:tcBorders>
              <w:top w:val="nil"/>
              <w:left w:val="nil"/>
              <w:bottom w:val="nil"/>
              <w:right w:val="nil"/>
            </w:tcBorders>
            <w:shd w:val="clear" w:color="auto" w:fill="ECE45E"/>
            <w:noWrap/>
            <w:vAlign w:val="center"/>
            <w:hideMark/>
          </w:tcPr>
          <w:p w14:paraId="01C9BAE0"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3312DDD2"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75D49D36"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78A01C0F"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31616236"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000187B7"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49B36B21"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468ABE35"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26</w:t>
            </w:r>
          </w:p>
        </w:tc>
        <w:tc>
          <w:tcPr>
            <w:tcW w:w="1720" w:type="dxa"/>
            <w:tcBorders>
              <w:top w:val="nil"/>
              <w:left w:val="nil"/>
              <w:bottom w:val="single" w:sz="4" w:space="0" w:color="auto"/>
              <w:right w:val="nil"/>
            </w:tcBorders>
            <w:noWrap/>
            <w:vAlign w:val="bottom"/>
            <w:hideMark/>
          </w:tcPr>
          <w:p w14:paraId="53AFC09C"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Šamac</w:t>
            </w:r>
          </w:p>
        </w:tc>
        <w:tc>
          <w:tcPr>
            <w:tcW w:w="2270" w:type="dxa"/>
            <w:tcBorders>
              <w:top w:val="nil"/>
              <w:left w:val="nil"/>
              <w:bottom w:val="nil"/>
              <w:right w:val="nil"/>
            </w:tcBorders>
            <w:shd w:val="clear" w:color="auto" w:fill="70AD47"/>
            <w:noWrap/>
            <w:vAlign w:val="center"/>
            <w:hideMark/>
          </w:tcPr>
          <w:p w14:paraId="187CF3D8"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center"/>
            <w:hideMark/>
          </w:tcPr>
          <w:p w14:paraId="0CA370C6"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752A2475"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6CC5961C"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731CA8E1"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2D87B18E"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3298EF34"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0321A2F7"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27</w:t>
            </w:r>
          </w:p>
        </w:tc>
        <w:tc>
          <w:tcPr>
            <w:tcW w:w="1720" w:type="dxa"/>
            <w:tcBorders>
              <w:top w:val="nil"/>
              <w:left w:val="nil"/>
              <w:bottom w:val="single" w:sz="4" w:space="0" w:color="auto"/>
              <w:right w:val="nil"/>
            </w:tcBorders>
            <w:noWrap/>
            <w:vAlign w:val="bottom"/>
            <w:hideMark/>
          </w:tcPr>
          <w:p w14:paraId="3C758644"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Široki Brijeg</w:t>
            </w:r>
          </w:p>
        </w:tc>
        <w:tc>
          <w:tcPr>
            <w:tcW w:w="2270" w:type="dxa"/>
            <w:tcBorders>
              <w:top w:val="nil"/>
              <w:left w:val="nil"/>
              <w:bottom w:val="nil"/>
              <w:right w:val="nil"/>
            </w:tcBorders>
            <w:shd w:val="clear" w:color="auto" w:fill="F1A983" w:themeFill="accent2" w:themeFillTint="99"/>
            <w:noWrap/>
            <w:vAlign w:val="bottom"/>
            <w:hideMark/>
          </w:tcPr>
          <w:p w14:paraId="03ACC2D0"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not adopted</w:t>
            </w:r>
          </w:p>
        </w:tc>
        <w:tc>
          <w:tcPr>
            <w:tcW w:w="1701" w:type="dxa"/>
            <w:tcBorders>
              <w:top w:val="nil"/>
              <w:left w:val="nil"/>
              <w:bottom w:val="nil"/>
              <w:right w:val="nil"/>
            </w:tcBorders>
            <w:shd w:val="clear" w:color="auto" w:fill="70AD47"/>
            <w:noWrap/>
            <w:vAlign w:val="center"/>
            <w:hideMark/>
          </w:tcPr>
          <w:p w14:paraId="15BA6375"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2A863454"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79925686"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7E0E54FA"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06DEF63B"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02F47E62" w14:textId="77777777">
        <w:trPr>
          <w:trHeight w:val="300"/>
        </w:trPr>
        <w:tc>
          <w:tcPr>
            <w:tcW w:w="536" w:type="dxa"/>
            <w:tcBorders>
              <w:top w:val="nil"/>
              <w:left w:val="single" w:sz="8" w:space="0" w:color="auto"/>
              <w:bottom w:val="single" w:sz="4" w:space="0" w:color="auto"/>
              <w:right w:val="single" w:sz="4" w:space="0" w:color="auto"/>
            </w:tcBorders>
            <w:noWrap/>
            <w:vAlign w:val="bottom"/>
            <w:hideMark/>
          </w:tcPr>
          <w:p w14:paraId="301D7974"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28</w:t>
            </w:r>
          </w:p>
        </w:tc>
        <w:tc>
          <w:tcPr>
            <w:tcW w:w="1720" w:type="dxa"/>
            <w:tcBorders>
              <w:top w:val="nil"/>
              <w:left w:val="nil"/>
              <w:bottom w:val="single" w:sz="4" w:space="0" w:color="auto"/>
              <w:right w:val="nil"/>
            </w:tcBorders>
            <w:shd w:val="clear" w:color="auto" w:fill="FFFFFF" w:themeFill="background1"/>
            <w:noWrap/>
            <w:vAlign w:val="bottom"/>
            <w:hideMark/>
          </w:tcPr>
          <w:p w14:paraId="75C92FA1"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Tomislavgrad</w:t>
            </w:r>
          </w:p>
        </w:tc>
        <w:tc>
          <w:tcPr>
            <w:tcW w:w="2270" w:type="dxa"/>
            <w:tcBorders>
              <w:top w:val="nil"/>
              <w:left w:val="nil"/>
              <w:bottom w:val="nil"/>
              <w:right w:val="nil"/>
            </w:tcBorders>
            <w:shd w:val="clear" w:color="auto" w:fill="F1A983" w:themeFill="accent2" w:themeFillTint="99"/>
            <w:noWrap/>
            <w:vAlign w:val="bottom"/>
            <w:hideMark/>
          </w:tcPr>
          <w:p w14:paraId="4235212F"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not adopted</w:t>
            </w:r>
          </w:p>
        </w:tc>
        <w:tc>
          <w:tcPr>
            <w:tcW w:w="1701" w:type="dxa"/>
            <w:tcBorders>
              <w:top w:val="nil"/>
              <w:left w:val="nil"/>
              <w:bottom w:val="nil"/>
              <w:right w:val="nil"/>
            </w:tcBorders>
            <w:shd w:val="clear" w:color="auto" w:fill="70AD47"/>
            <w:noWrap/>
            <w:vAlign w:val="center"/>
            <w:hideMark/>
          </w:tcPr>
          <w:p w14:paraId="0B46DEEB"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38E2A4DA"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69DB23F9"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16FFED10"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73363DF9"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r w:rsidR="0019528E" w:rsidRPr="00F569AE" w14:paraId="56EE659D" w14:textId="77777777">
        <w:trPr>
          <w:trHeight w:val="320"/>
        </w:trPr>
        <w:tc>
          <w:tcPr>
            <w:tcW w:w="536" w:type="dxa"/>
            <w:tcBorders>
              <w:top w:val="nil"/>
              <w:left w:val="single" w:sz="8" w:space="0" w:color="auto"/>
              <w:bottom w:val="single" w:sz="8" w:space="0" w:color="auto"/>
              <w:right w:val="single" w:sz="4" w:space="0" w:color="auto"/>
            </w:tcBorders>
            <w:noWrap/>
            <w:vAlign w:val="bottom"/>
            <w:hideMark/>
          </w:tcPr>
          <w:p w14:paraId="78A131EA" w14:textId="77777777" w:rsidR="0019528E" w:rsidRPr="00F569AE" w:rsidRDefault="0019528E">
            <w:pPr>
              <w:jc w:val="right"/>
              <w:rPr>
                <w:rFonts w:ascii="Calibri" w:hAnsi="Calibri" w:cs="Calibri"/>
                <w:color w:val="000000"/>
                <w:sz w:val="22"/>
                <w:szCs w:val="22"/>
                <w:lang w:val="en-US"/>
              </w:rPr>
            </w:pPr>
            <w:r w:rsidRPr="00F569AE">
              <w:rPr>
                <w:rFonts w:ascii="Calibri" w:hAnsi="Calibri" w:cs="Calibri"/>
                <w:color w:val="000000"/>
                <w:sz w:val="22"/>
                <w:szCs w:val="22"/>
                <w:lang w:val="en-US"/>
              </w:rPr>
              <w:t>29</w:t>
            </w:r>
          </w:p>
        </w:tc>
        <w:tc>
          <w:tcPr>
            <w:tcW w:w="1720" w:type="dxa"/>
            <w:tcBorders>
              <w:top w:val="nil"/>
              <w:left w:val="nil"/>
              <w:bottom w:val="single" w:sz="8" w:space="0" w:color="auto"/>
              <w:right w:val="nil"/>
            </w:tcBorders>
            <w:noWrap/>
            <w:vAlign w:val="bottom"/>
            <w:hideMark/>
          </w:tcPr>
          <w:p w14:paraId="5B04E6AE" w14:textId="77777777" w:rsidR="0019528E" w:rsidRPr="00F569AE" w:rsidRDefault="0019528E">
            <w:pPr>
              <w:rPr>
                <w:rFonts w:ascii="Calibri" w:hAnsi="Calibri" w:cs="Calibri"/>
                <w:color w:val="000000"/>
                <w:sz w:val="22"/>
                <w:szCs w:val="22"/>
                <w:lang w:val="en-US"/>
              </w:rPr>
            </w:pPr>
            <w:r w:rsidRPr="00F569AE">
              <w:rPr>
                <w:rFonts w:ascii="Calibri" w:hAnsi="Calibri" w:cs="Calibri"/>
                <w:color w:val="000000"/>
                <w:sz w:val="22"/>
                <w:szCs w:val="22"/>
                <w:lang w:val="en-US"/>
              </w:rPr>
              <w:t>Trebinje</w:t>
            </w:r>
          </w:p>
        </w:tc>
        <w:tc>
          <w:tcPr>
            <w:tcW w:w="2270" w:type="dxa"/>
            <w:tcBorders>
              <w:top w:val="nil"/>
              <w:left w:val="nil"/>
              <w:bottom w:val="nil"/>
              <w:right w:val="nil"/>
            </w:tcBorders>
            <w:shd w:val="clear" w:color="auto" w:fill="E7EB1A"/>
            <w:noWrap/>
            <w:vAlign w:val="center"/>
            <w:hideMark/>
          </w:tcPr>
          <w:p w14:paraId="6612779A"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process</w:t>
            </w:r>
          </w:p>
        </w:tc>
        <w:tc>
          <w:tcPr>
            <w:tcW w:w="1701" w:type="dxa"/>
            <w:tcBorders>
              <w:top w:val="nil"/>
              <w:left w:val="nil"/>
              <w:bottom w:val="nil"/>
              <w:right w:val="nil"/>
            </w:tcBorders>
            <w:shd w:val="clear" w:color="auto" w:fill="70AD47"/>
            <w:noWrap/>
            <w:vAlign w:val="center"/>
            <w:hideMark/>
          </w:tcPr>
          <w:p w14:paraId="6D833957"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5E3BBC1C"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85" w:type="dxa"/>
            <w:tcBorders>
              <w:top w:val="nil"/>
              <w:left w:val="nil"/>
              <w:bottom w:val="nil"/>
              <w:right w:val="nil"/>
            </w:tcBorders>
            <w:shd w:val="clear" w:color="auto" w:fill="70AD47"/>
            <w:noWrap/>
            <w:vAlign w:val="bottom"/>
            <w:hideMark/>
          </w:tcPr>
          <w:p w14:paraId="34AC619A"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701" w:type="dxa"/>
            <w:tcBorders>
              <w:top w:val="nil"/>
              <w:left w:val="nil"/>
              <w:bottom w:val="nil"/>
              <w:right w:val="nil"/>
            </w:tcBorders>
            <w:shd w:val="clear" w:color="auto" w:fill="70AD47"/>
            <w:noWrap/>
            <w:vAlign w:val="bottom"/>
            <w:hideMark/>
          </w:tcPr>
          <w:p w14:paraId="54292C35" w14:textId="77777777" w:rsidR="0019528E" w:rsidRPr="00F569AE" w:rsidRDefault="0019528E">
            <w:pP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c>
          <w:tcPr>
            <w:tcW w:w="1942" w:type="dxa"/>
            <w:tcBorders>
              <w:top w:val="nil"/>
              <w:left w:val="nil"/>
              <w:bottom w:val="nil"/>
              <w:right w:val="nil"/>
            </w:tcBorders>
            <w:shd w:val="clear" w:color="auto" w:fill="70AD47"/>
            <w:noWrap/>
            <w:vAlign w:val="center"/>
            <w:hideMark/>
          </w:tcPr>
          <w:p w14:paraId="4A91D03C" w14:textId="77777777" w:rsidR="0019528E" w:rsidRPr="00F569AE" w:rsidRDefault="0019528E">
            <w:pPr>
              <w:jc w:val="center"/>
              <w:rPr>
                <w:rFonts w:ascii="Calibri" w:hAnsi="Calibri" w:cs="Calibri"/>
                <w:b/>
                <w:color w:val="FFFFFF"/>
                <w:sz w:val="22"/>
                <w:szCs w:val="22"/>
                <w:lang w:val="en-US"/>
              </w:rPr>
            </w:pPr>
            <w:r w:rsidRPr="00F569AE">
              <w:rPr>
                <w:rFonts w:ascii="Calibri" w:hAnsi="Calibri" w:cs="Calibri"/>
                <w:b/>
                <w:color w:val="FFFFFF"/>
                <w:sz w:val="22"/>
                <w:szCs w:val="22"/>
                <w:lang w:val="en-US"/>
              </w:rPr>
              <w:t>in application</w:t>
            </w:r>
          </w:p>
        </w:tc>
      </w:tr>
    </w:tbl>
    <w:p w14:paraId="5BD2DC83" w14:textId="77777777" w:rsidR="0019528E" w:rsidRPr="00F569AE" w:rsidRDefault="0019528E" w:rsidP="002A7FBF">
      <w:pPr>
        <w:rPr>
          <w:lang w:val="en-US"/>
        </w:rPr>
      </w:pPr>
    </w:p>
    <w:p w14:paraId="5A4FD37A" w14:textId="77777777" w:rsidR="002A7FBF" w:rsidRPr="00F569AE" w:rsidRDefault="002A7FBF" w:rsidP="002A7FBF">
      <w:pPr>
        <w:rPr>
          <w:lang w:val="en-US"/>
        </w:rPr>
      </w:pPr>
    </w:p>
    <w:p w14:paraId="3CC52958" w14:textId="77777777" w:rsidR="002A7FBF" w:rsidRDefault="002A7FBF" w:rsidP="002A7FBF">
      <w:pPr>
        <w:rPr>
          <w:lang w:val="en-US"/>
        </w:rPr>
      </w:pPr>
    </w:p>
    <w:p w14:paraId="3F229CA4" w14:textId="77777777" w:rsidR="00885FF3" w:rsidRDefault="00885FF3" w:rsidP="002A7FBF">
      <w:pPr>
        <w:rPr>
          <w:lang w:val="en-US"/>
        </w:rPr>
      </w:pPr>
    </w:p>
    <w:p w14:paraId="07814376" w14:textId="77777777" w:rsidR="00885FF3" w:rsidRDefault="00885FF3" w:rsidP="002A7FBF">
      <w:pPr>
        <w:rPr>
          <w:lang w:val="en-US"/>
        </w:rPr>
      </w:pPr>
    </w:p>
    <w:p w14:paraId="0AEFD0E4" w14:textId="77777777" w:rsidR="00885FF3" w:rsidRPr="00F569AE" w:rsidRDefault="00885FF3" w:rsidP="002A7FBF">
      <w:pPr>
        <w:rPr>
          <w:lang w:val="en-US"/>
        </w:rPr>
      </w:pPr>
    </w:p>
    <w:p w14:paraId="699A69C3" w14:textId="0C67E1DF" w:rsidR="007822F2" w:rsidRPr="00F569AE" w:rsidRDefault="00E26127" w:rsidP="007822F2">
      <w:pPr>
        <w:pStyle w:val="Heading2"/>
        <w:rPr>
          <w:rFonts w:ascii="Calibri" w:hAnsi="Calibri" w:cs="Calibri"/>
          <w:i/>
        </w:rPr>
      </w:pPr>
      <w:bookmarkStart w:id="213" w:name="_Toc210058539"/>
      <w:r w:rsidRPr="00F569AE">
        <w:rPr>
          <w:rFonts w:ascii="Calibri" w:hAnsi="Calibri" w:cs="Calibri"/>
          <w:i/>
        </w:rPr>
        <w:lastRenderedPageBreak/>
        <w:t xml:space="preserve">Annex </w:t>
      </w:r>
      <w:r w:rsidR="000C52E4" w:rsidRPr="00F569AE">
        <w:rPr>
          <w:rFonts w:ascii="Calibri" w:hAnsi="Calibri" w:cs="Calibri"/>
          <w:i/>
        </w:rPr>
        <w:t>4</w:t>
      </w:r>
      <w:r w:rsidRPr="00F569AE">
        <w:rPr>
          <w:rFonts w:ascii="Calibri" w:hAnsi="Calibri" w:cs="Calibri"/>
          <w:i/>
        </w:rPr>
        <w:t>:</w:t>
      </w:r>
      <w:r w:rsidRPr="00F569AE">
        <w:rPr>
          <w:rFonts w:ascii="Calibri" w:hAnsi="Calibri" w:cs="Calibri"/>
          <w:sz w:val="24"/>
          <w:szCs w:val="24"/>
        </w:rPr>
        <w:t xml:space="preserve"> </w:t>
      </w:r>
      <w:r w:rsidR="000245A8" w:rsidRPr="00F569AE">
        <w:rPr>
          <w:rFonts w:ascii="Calibri" w:hAnsi="Calibri" w:cs="Calibri"/>
          <w:i/>
        </w:rPr>
        <w:t xml:space="preserve"> </w:t>
      </w:r>
      <w:r w:rsidR="00E00488" w:rsidRPr="00F569AE">
        <w:rPr>
          <w:rFonts w:ascii="Calibri" w:hAnsi="Calibri" w:cs="Calibri"/>
          <w:i/>
        </w:rPr>
        <w:t>L</w:t>
      </w:r>
      <w:r w:rsidR="006172E4" w:rsidRPr="00F569AE">
        <w:rPr>
          <w:rFonts w:ascii="Calibri" w:hAnsi="Calibri" w:cs="Calibri"/>
          <w:i/>
        </w:rPr>
        <w:t xml:space="preserve">ist of </w:t>
      </w:r>
      <w:r w:rsidR="00E30EE7" w:rsidRPr="00F569AE">
        <w:rPr>
          <w:rFonts w:ascii="Calibri" w:hAnsi="Calibri" w:cs="Calibri"/>
          <w:i/>
        </w:rPr>
        <w:t xml:space="preserve">interviewed </w:t>
      </w:r>
      <w:r w:rsidR="006172E4" w:rsidRPr="00F569AE">
        <w:rPr>
          <w:rFonts w:ascii="Calibri" w:hAnsi="Calibri" w:cs="Calibri"/>
          <w:i/>
        </w:rPr>
        <w:t>stakeholders</w:t>
      </w:r>
      <w:bookmarkEnd w:id="213"/>
      <w:r w:rsidR="006172E4" w:rsidRPr="00F569AE">
        <w:rPr>
          <w:rFonts w:ascii="Calibri" w:hAnsi="Calibri" w:cs="Calibri"/>
          <w:i/>
        </w:rPr>
        <w:t xml:space="preserve"> </w:t>
      </w:r>
      <w:bookmarkEnd w:id="209"/>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600" w:firstRow="0" w:lastRow="0" w:firstColumn="0" w:lastColumn="0" w:noHBand="1" w:noVBand="1"/>
      </w:tblPr>
      <w:tblGrid>
        <w:gridCol w:w="982"/>
        <w:gridCol w:w="1278"/>
        <w:gridCol w:w="3915"/>
        <w:gridCol w:w="3604"/>
        <w:gridCol w:w="3330"/>
        <w:gridCol w:w="818"/>
      </w:tblGrid>
      <w:tr w:rsidR="00094D4C" w:rsidRPr="00F569AE" w14:paraId="1A9955E9" w14:textId="77777777" w:rsidTr="212A59DF">
        <w:trPr>
          <w:trHeight w:val="300"/>
        </w:trPr>
        <w:tc>
          <w:tcPr>
            <w:tcW w:w="0" w:type="auto"/>
            <w:tcBorders>
              <w:bottom w:val="single" w:sz="12" w:space="0" w:color="000000" w:themeColor="text1"/>
            </w:tcBorders>
            <w:shd w:val="clear" w:color="auto" w:fill="F2F2F2" w:themeFill="background1" w:themeFillShade="F2"/>
            <w:tcMar>
              <w:top w:w="0" w:type="dxa"/>
              <w:left w:w="40" w:type="dxa"/>
              <w:bottom w:w="0" w:type="dxa"/>
              <w:right w:w="40" w:type="dxa"/>
            </w:tcMar>
          </w:tcPr>
          <w:p w14:paraId="43AFD5F2" w14:textId="77777777" w:rsidR="00094D4C" w:rsidRPr="00457BCB" w:rsidRDefault="00094D4C" w:rsidP="00A5744A">
            <w:pPr>
              <w:widowControl w:val="0"/>
              <w:spacing w:line="276" w:lineRule="auto"/>
              <w:jc w:val="center"/>
              <w:rPr>
                <w:rFonts w:ascii="Calibri" w:hAnsi="Calibri" w:cs="Calibri"/>
                <w:lang w:val="en-US"/>
              </w:rPr>
            </w:pPr>
            <w:r w:rsidRPr="00457BCB">
              <w:rPr>
                <w:rFonts w:ascii="Calibri" w:hAnsi="Calibri" w:cs="Calibri"/>
                <w:b/>
                <w:lang w:val="en-US"/>
              </w:rPr>
              <w:t>Name</w:t>
            </w:r>
          </w:p>
        </w:tc>
        <w:tc>
          <w:tcPr>
            <w:tcW w:w="0" w:type="auto"/>
            <w:tcBorders>
              <w:bottom w:val="single" w:sz="12" w:space="0" w:color="000000" w:themeColor="text1"/>
            </w:tcBorders>
            <w:shd w:val="clear" w:color="auto" w:fill="F2F2F2" w:themeFill="background1" w:themeFillShade="F2"/>
            <w:tcMar>
              <w:top w:w="0" w:type="dxa"/>
              <w:left w:w="40" w:type="dxa"/>
              <w:bottom w:w="0" w:type="dxa"/>
              <w:right w:w="40" w:type="dxa"/>
            </w:tcMar>
          </w:tcPr>
          <w:p w14:paraId="4BAF7037" w14:textId="77777777" w:rsidR="00094D4C" w:rsidRPr="00457BCB" w:rsidRDefault="00094D4C" w:rsidP="00A5744A">
            <w:pPr>
              <w:widowControl w:val="0"/>
              <w:spacing w:line="276" w:lineRule="auto"/>
              <w:jc w:val="center"/>
              <w:rPr>
                <w:rFonts w:ascii="Calibri" w:hAnsi="Calibri" w:cs="Calibri"/>
                <w:lang w:val="en-US"/>
              </w:rPr>
            </w:pPr>
            <w:r w:rsidRPr="00457BCB">
              <w:rPr>
                <w:rFonts w:ascii="Calibri" w:hAnsi="Calibri" w:cs="Calibri"/>
                <w:b/>
                <w:lang w:val="en-US"/>
              </w:rPr>
              <w:t>Surname</w:t>
            </w:r>
          </w:p>
        </w:tc>
        <w:tc>
          <w:tcPr>
            <w:tcW w:w="0" w:type="auto"/>
            <w:tcBorders>
              <w:bottom w:val="single" w:sz="12" w:space="0" w:color="000000" w:themeColor="text1"/>
            </w:tcBorders>
            <w:shd w:val="clear" w:color="auto" w:fill="F2F2F2" w:themeFill="background1" w:themeFillShade="F2"/>
            <w:tcMar>
              <w:top w:w="0" w:type="dxa"/>
              <w:left w:w="40" w:type="dxa"/>
              <w:bottom w:w="0" w:type="dxa"/>
              <w:right w:w="40" w:type="dxa"/>
            </w:tcMar>
          </w:tcPr>
          <w:p w14:paraId="2470DCE0" w14:textId="77777777" w:rsidR="00094D4C" w:rsidRPr="00457BCB" w:rsidRDefault="00094D4C" w:rsidP="00A5744A">
            <w:pPr>
              <w:widowControl w:val="0"/>
              <w:spacing w:line="276" w:lineRule="auto"/>
              <w:jc w:val="center"/>
              <w:rPr>
                <w:rFonts w:ascii="Calibri" w:hAnsi="Calibri" w:cs="Calibri"/>
                <w:lang w:val="en-US"/>
              </w:rPr>
            </w:pPr>
            <w:r w:rsidRPr="00457BCB">
              <w:rPr>
                <w:rFonts w:ascii="Calibri" w:hAnsi="Calibri" w:cs="Calibri"/>
                <w:b/>
                <w:lang w:val="en-US"/>
              </w:rPr>
              <w:t>Position</w:t>
            </w:r>
          </w:p>
        </w:tc>
        <w:tc>
          <w:tcPr>
            <w:tcW w:w="3604" w:type="dxa"/>
            <w:tcBorders>
              <w:bottom w:val="single" w:sz="12" w:space="0" w:color="000000" w:themeColor="text1"/>
            </w:tcBorders>
            <w:shd w:val="clear" w:color="auto" w:fill="F2F2F2" w:themeFill="background1" w:themeFillShade="F2"/>
            <w:tcMar>
              <w:top w:w="0" w:type="dxa"/>
              <w:left w:w="40" w:type="dxa"/>
              <w:bottom w:w="0" w:type="dxa"/>
              <w:right w:w="40" w:type="dxa"/>
            </w:tcMar>
          </w:tcPr>
          <w:p w14:paraId="18D650A0" w14:textId="77777777" w:rsidR="00094D4C" w:rsidRPr="00457BCB" w:rsidRDefault="00094D4C" w:rsidP="00A5744A">
            <w:pPr>
              <w:widowControl w:val="0"/>
              <w:spacing w:line="276" w:lineRule="auto"/>
              <w:jc w:val="center"/>
              <w:rPr>
                <w:rFonts w:ascii="Calibri" w:hAnsi="Calibri" w:cs="Calibri"/>
                <w:lang w:val="en-US"/>
              </w:rPr>
            </w:pPr>
            <w:r w:rsidRPr="00457BCB">
              <w:rPr>
                <w:rFonts w:ascii="Calibri" w:hAnsi="Calibri" w:cs="Calibri"/>
                <w:b/>
                <w:lang w:val="en-US"/>
              </w:rPr>
              <w:t>Affiliation</w:t>
            </w:r>
          </w:p>
        </w:tc>
        <w:tc>
          <w:tcPr>
            <w:tcW w:w="3330" w:type="dxa"/>
            <w:tcBorders>
              <w:bottom w:val="single" w:sz="12" w:space="0" w:color="000000" w:themeColor="text1"/>
              <w:right w:val="single" w:sz="4" w:space="0" w:color="auto"/>
            </w:tcBorders>
            <w:shd w:val="clear" w:color="auto" w:fill="F2F2F2" w:themeFill="background1" w:themeFillShade="F2"/>
            <w:tcMar>
              <w:top w:w="0" w:type="dxa"/>
              <w:left w:w="40" w:type="dxa"/>
              <w:bottom w:w="0" w:type="dxa"/>
              <w:right w:w="40" w:type="dxa"/>
            </w:tcMar>
          </w:tcPr>
          <w:p w14:paraId="70DFB608" w14:textId="77777777" w:rsidR="00094D4C" w:rsidRPr="00457BCB" w:rsidRDefault="00094D4C" w:rsidP="00A5744A">
            <w:pPr>
              <w:widowControl w:val="0"/>
              <w:spacing w:line="276" w:lineRule="auto"/>
              <w:jc w:val="center"/>
              <w:rPr>
                <w:rFonts w:ascii="Calibri" w:hAnsi="Calibri" w:cs="Calibri"/>
                <w:lang w:val="en-US"/>
              </w:rPr>
            </w:pPr>
            <w:r w:rsidRPr="00457BCB">
              <w:rPr>
                <w:rFonts w:ascii="Calibri" w:hAnsi="Calibri" w:cs="Calibri"/>
                <w:b/>
                <w:lang w:val="en-US"/>
              </w:rPr>
              <w:t>Contacts</w:t>
            </w:r>
          </w:p>
        </w:tc>
        <w:tc>
          <w:tcPr>
            <w:tcW w:w="818" w:type="dxa"/>
            <w:tcBorders>
              <w:top w:val="single" w:sz="4" w:space="0" w:color="auto"/>
              <w:left w:val="single" w:sz="4" w:space="0" w:color="auto"/>
              <w:bottom w:val="single" w:sz="12" w:space="0" w:color="auto"/>
              <w:right w:val="single" w:sz="4" w:space="0" w:color="auto"/>
            </w:tcBorders>
            <w:shd w:val="clear" w:color="auto" w:fill="F2F2F2" w:themeFill="background1" w:themeFillShade="F2"/>
          </w:tcPr>
          <w:p w14:paraId="51573BAE" w14:textId="77777777" w:rsidR="00094D4C" w:rsidRPr="00457BCB" w:rsidRDefault="00094D4C" w:rsidP="00A5744A">
            <w:pPr>
              <w:widowControl w:val="0"/>
              <w:spacing w:line="276" w:lineRule="auto"/>
              <w:jc w:val="center"/>
              <w:rPr>
                <w:rFonts w:ascii="Calibri" w:hAnsi="Calibri" w:cs="Calibri"/>
                <w:b/>
                <w:lang w:val="en-US"/>
              </w:rPr>
            </w:pPr>
            <w:r w:rsidRPr="00457BCB">
              <w:rPr>
                <w:rFonts w:ascii="Calibri" w:hAnsi="Calibri" w:cs="Calibri"/>
                <w:b/>
                <w:lang w:val="en-US"/>
              </w:rPr>
              <w:t>M/F</w:t>
            </w:r>
          </w:p>
        </w:tc>
      </w:tr>
      <w:tr w:rsidR="00094D4C" w:rsidRPr="00F569AE" w14:paraId="175B7F3B" w14:textId="77777777" w:rsidTr="212A59DF">
        <w:trPr>
          <w:trHeight w:val="300"/>
        </w:trPr>
        <w:tc>
          <w:tcPr>
            <w:tcW w:w="13270" w:type="dxa"/>
            <w:gridSpan w:val="5"/>
            <w:tcBorders>
              <w:left w:val="single" w:sz="12" w:space="0" w:color="000000" w:themeColor="text1"/>
              <w:bottom w:val="single" w:sz="6" w:space="0" w:color="000000" w:themeColor="text1"/>
              <w:right w:val="single" w:sz="4" w:space="0" w:color="auto"/>
            </w:tcBorders>
            <w:shd w:val="clear" w:color="auto" w:fill="BDD6EE"/>
            <w:tcMar>
              <w:top w:w="0" w:type="dxa"/>
              <w:left w:w="40" w:type="dxa"/>
              <w:bottom w:w="0" w:type="dxa"/>
              <w:right w:w="40" w:type="dxa"/>
            </w:tcMar>
            <w:vAlign w:val="bottom"/>
          </w:tcPr>
          <w:p w14:paraId="07817B01" w14:textId="77777777" w:rsidR="00094D4C" w:rsidRPr="00457BCB" w:rsidRDefault="00094D4C" w:rsidP="00A5744A">
            <w:pPr>
              <w:widowControl w:val="0"/>
              <w:spacing w:line="276" w:lineRule="auto"/>
              <w:jc w:val="center"/>
              <w:rPr>
                <w:rFonts w:ascii="Calibri" w:hAnsi="Calibri" w:cs="Calibri"/>
                <w:lang w:val="en-US"/>
              </w:rPr>
            </w:pPr>
            <w:r w:rsidRPr="00457BCB">
              <w:rPr>
                <w:rFonts w:ascii="Calibri" w:hAnsi="Calibri" w:cs="Calibri"/>
                <w:b/>
                <w:lang w:val="en-US"/>
              </w:rPr>
              <w:t>BiH Level</w:t>
            </w:r>
          </w:p>
        </w:tc>
        <w:tc>
          <w:tcPr>
            <w:tcW w:w="818" w:type="dxa"/>
            <w:tcBorders>
              <w:top w:val="single" w:sz="12" w:space="0" w:color="auto"/>
              <w:left w:val="single" w:sz="4" w:space="0" w:color="auto"/>
              <w:bottom w:val="single" w:sz="4" w:space="0" w:color="auto"/>
              <w:right w:val="single" w:sz="4" w:space="0" w:color="auto"/>
            </w:tcBorders>
            <w:shd w:val="clear" w:color="auto" w:fill="BDD6EE"/>
          </w:tcPr>
          <w:p w14:paraId="0D58810D" w14:textId="77777777" w:rsidR="00094D4C" w:rsidRPr="00457BCB" w:rsidRDefault="00094D4C" w:rsidP="00A5744A">
            <w:pPr>
              <w:widowControl w:val="0"/>
              <w:spacing w:line="276" w:lineRule="auto"/>
              <w:jc w:val="center"/>
              <w:rPr>
                <w:rFonts w:ascii="Calibri" w:hAnsi="Calibri" w:cs="Calibri"/>
                <w:b/>
                <w:lang w:val="en-US"/>
              </w:rPr>
            </w:pPr>
          </w:p>
        </w:tc>
      </w:tr>
      <w:tr w:rsidR="00094D4C" w:rsidRPr="00F569AE" w14:paraId="21B308DA" w14:textId="77777777" w:rsidTr="212A59DF">
        <w:trPr>
          <w:trHeight w:val="300"/>
        </w:trPr>
        <w:tc>
          <w:tcPr>
            <w:tcW w:w="13270" w:type="dxa"/>
            <w:gridSpan w:val="5"/>
            <w:tcBorders>
              <w:left w:val="single" w:sz="12" w:space="0" w:color="000000" w:themeColor="text1"/>
              <w:bottom w:val="single" w:sz="6" w:space="0" w:color="000000" w:themeColor="text1"/>
              <w:right w:val="single" w:sz="4" w:space="0" w:color="auto"/>
            </w:tcBorders>
            <w:shd w:val="clear" w:color="auto" w:fill="DEEAF6"/>
            <w:tcMar>
              <w:top w:w="0" w:type="dxa"/>
              <w:left w:w="40" w:type="dxa"/>
              <w:bottom w:w="0" w:type="dxa"/>
              <w:right w:w="40" w:type="dxa"/>
            </w:tcMar>
            <w:vAlign w:val="bottom"/>
          </w:tcPr>
          <w:p w14:paraId="2C2CB40E" w14:textId="77777777" w:rsidR="00094D4C" w:rsidRPr="00457BCB" w:rsidRDefault="00094D4C" w:rsidP="00A5744A">
            <w:pPr>
              <w:widowControl w:val="0"/>
              <w:spacing w:line="276" w:lineRule="auto"/>
              <w:jc w:val="center"/>
              <w:rPr>
                <w:rFonts w:ascii="Calibri" w:hAnsi="Calibri" w:cs="Calibri"/>
                <w:lang w:val="en-US"/>
              </w:rPr>
            </w:pPr>
            <w:r w:rsidRPr="00457BCB">
              <w:rPr>
                <w:rFonts w:ascii="Calibri" w:hAnsi="Calibri" w:cs="Calibri"/>
                <w:b/>
                <w:lang w:val="en-US"/>
              </w:rPr>
              <w:t>UN and International development partners</w:t>
            </w:r>
          </w:p>
        </w:tc>
        <w:tc>
          <w:tcPr>
            <w:tcW w:w="818" w:type="dxa"/>
            <w:tcBorders>
              <w:top w:val="single" w:sz="4" w:space="0" w:color="auto"/>
              <w:left w:val="single" w:sz="4" w:space="0" w:color="auto"/>
              <w:bottom w:val="single" w:sz="4" w:space="0" w:color="auto"/>
              <w:right w:val="single" w:sz="4" w:space="0" w:color="auto"/>
            </w:tcBorders>
            <w:shd w:val="clear" w:color="auto" w:fill="DEEAF6"/>
          </w:tcPr>
          <w:p w14:paraId="4A044AB6" w14:textId="77777777" w:rsidR="00094D4C" w:rsidRPr="00457BCB" w:rsidRDefault="00094D4C" w:rsidP="00A5744A">
            <w:pPr>
              <w:widowControl w:val="0"/>
              <w:spacing w:line="276" w:lineRule="auto"/>
              <w:jc w:val="center"/>
              <w:rPr>
                <w:rFonts w:ascii="Calibri" w:hAnsi="Calibri" w:cs="Calibri"/>
                <w:b/>
                <w:lang w:val="en-US"/>
              </w:rPr>
            </w:pPr>
          </w:p>
        </w:tc>
      </w:tr>
      <w:tr w:rsidR="00094D4C" w:rsidRPr="00F569AE" w14:paraId="12FCEDCE"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6C6759C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Aida</w:t>
            </w:r>
          </w:p>
        </w:tc>
        <w:tc>
          <w:tcPr>
            <w:tcW w:w="0" w:type="auto"/>
            <w:tcMar>
              <w:top w:w="0" w:type="dxa"/>
              <w:left w:w="40" w:type="dxa"/>
              <w:bottom w:w="0" w:type="dxa"/>
              <w:right w:w="40" w:type="dxa"/>
            </w:tcMar>
            <w:vAlign w:val="bottom"/>
          </w:tcPr>
          <w:p w14:paraId="53EC052D"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Laković Hošo</w:t>
            </w:r>
          </w:p>
        </w:tc>
        <w:tc>
          <w:tcPr>
            <w:tcW w:w="0" w:type="auto"/>
            <w:tcMar>
              <w:top w:w="0" w:type="dxa"/>
              <w:left w:w="40" w:type="dxa"/>
              <w:bottom w:w="0" w:type="dxa"/>
              <w:right w:w="40" w:type="dxa"/>
            </w:tcMar>
            <w:vAlign w:val="bottom"/>
          </w:tcPr>
          <w:p w14:paraId="208F801E"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Good Governance Sector Leader</w:t>
            </w:r>
          </w:p>
        </w:tc>
        <w:tc>
          <w:tcPr>
            <w:tcW w:w="3604" w:type="dxa"/>
            <w:tcMar>
              <w:top w:w="0" w:type="dxa"/>
              <w:left w:w="40" w:type="dxa"/>
              <w:bottom w:w="0" w:type="dxa"/>
              <w:right w:w="40" w:type="dxa"/>
            </w:tcMar>
            <w:vAlign w:val="bottom"/>
          </w:tcPr>
          <w:p w14:paraId="3C32C089"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UNDP BiH</w:t>
            </w:r>
          </w:p>
        </w:tc>
        <w:tc>
          <w:tcPr>
            <w:tcW w:w="3330" w:type="dxa"/>
            <w:tcBorders>
              <w:right w:val="single" w:sz="4" w:space="0" w:color="auto"/>
            </w:tcBorders>
            <w:tcMar>
              <w:top w:w="0" w:type="dxa"/>
              <w:left w:w="40" w:type="dxa"/>
              <w:bottom w:w="0" w:type="dxa"/>
              <w:right w:w="40" w:type="dxa"/>
            </w:tcMar>
            <w:vAlign w:val="bottom"/>
          </w:tcPr>
          <w:p w14:paraId="0211261C" w14:textId="77777777" w:rsidR="00094D4C" w:rsidRPr="00457BCB" w:rsidRDefault="00094D4C" w:rsidP="00A5744A">
            <w:pPr>
              <w:widowControl w:val="0"/>
              <w:spacing w:line="276" w:lineRule="auto"/>
              <w:rPr>
                <w:rFonts w:ascii="Calibri" w:hAnsi="Calibri" w:cs="Calibri"/>
                <w:sz w:val="20"/>
                <w:szCs w:val="20"/>
                <w:lang w:val="en-US"/>
              </w:rPr>
            </w:pPr>
            <w:hyperlink r:id="rId79" w:history="1">
              <w:r w:rsidRPr="00457BCB">
                <w:rPr>
                  <w:rStyle w:val="Hyperlink"/>
                  <w:rFonts w:ascii="Calibri" w:hAnsi="Calibri" w:cs="Calibri"/>
                  <w:sz w:val="20"/>
                  <w:szCs w:val="20"/>
                  <w:lang w:val="en-US"/>
                </w:rPr>
                <w:t>aida.lakovic-hoso@undp.org</w:t>
              </w:r>
            </w:hyperlink>
          </w:p>
        </w:tc>
        <w:tc>
          <w:tcPr>
            <w:tcW w:w="818" w:type="dxa"/>
            <w:tcBorders>
              <w:top w:val="single" w:sz="4" w:space="0" w:color="auto"/>
              <w:left w:val="single" w:sz="4" w:space="0" w:color="auto"/>
              <w:bottom w:val="single" w:sz="4" w:space="0" w:color="auto"/>
              <w:right w:val="single" w:sz="4" w:space="0" w:color="auto"/>
            </w:tcBorders>
          </w:tcPr>
          <w:p w14:paraId="66EFA795"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408AB9CA"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0C3BA6D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Nera</w:t>
            </w:r>
          </w:p>
        </w:tc>
        <w:tc>
          <w:tcPr>
            <w:tcW w:w="0" w:type="auto"/>
            <w:tcMar>
              <w:top w:w="0" w:type="dxa"/>
              <w:left w:w="40" w:type="dxa"/>
              <w:bottom w:w="0" w:type="dxa"/>
              <w:right w:w="40" w:type="dxa"/>
            </w:tcMar>
            <w:vAlign w:val="bottom"/>
          </w:tcPr>
          <w:p w14:paraId="677B757E"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Monir Divan</w:t>
            </w:r>
          </w:p>
        </w:tc>
        <w:tc>
          <w:tcPr>
            <w:tcW w:w="0" w:type="auto"/>
            <w:tcMar>
              <w:top w:w="0" w:type="dxa"/>
              <w:left w:w="40" w:type="dxa"/>
              <w:bottom w:w="0" w:type="dxa"/>
              <w:right w:w="40" w:type="dxa"/>
            </w:tcMar>
            <w:vAlign w:val="bottom"/>
          </w:tcPr>
          <w:p w14:paraId="06574D4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Gender Specialist </w:t>
            </w:r>
          </w:p>
        </w:tc>
        <w:tc>
          <w:tcPr>
            <w:tcW w:w="3604" w:type="dxa"/>
            <w:tcMar>
              <w:top w:w="0" w:type="dxa"/>
              <w:left w:w="40" w:type="dxa"/>
              <w:bottom w:w="0" w:type="dxa"/>
              <w:right w:w="40" w:type="dxa"/>
            </w:tcMar>
            <w:vAlign w:val="bottom"/>
          </w:tcPr>
          <w:p w14:paraId="5E3B47FF"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UNDP BiH</w:t>
            </w:r>
          </w:p>
        </w:tc>
        <w:tc>
          <w:tcPr>
            <w:tcW w:w="3330" w:type="dxa"/>
            <w:tcBorders>
              <w:right w:val="single" w:sz="4" w:space="0" w:color="auto"/>
            </w:tcBorders>
            <w:tcMar>
              <w:top w:w="0" w:type="dxa"/>
              <w:left w:w="40" w:type="dxa"/>
              <w:bottom w:w="0" w:type="dxa"/>
              <w:right w:w="40" w:type="dxa"/>
            </w:tcMar>
            <w:vAlign w:val="bottom"/>
          </w:tcPr>
          <w:p w14:paraId="2345E0DF" w14:textId="77777777" w:rsidR="00094D4C" w:rsidRPr="00457BCB" w:rsidRDefault="00094D4C" w:rsidP="00A5744A">
            <w:pPr>
              <w:widowControl w:val="0"/>
              <w:spacing w:line="276" w:lineRule="auto"/>
              <w:rPr>
                <w:rFonts w:ascii="Calibri" w:hAnsi="Calibri"/>
                <w:sz w:val="20"/>
                <w:szCs w:val="20"/>
                <w:lang w:val="en-US"/>
              </w:rPr>
            </w:pPr>
            <w:hyperlink r:id="rId80" w:history="1">
              <w:r w:rsidRPr="00457BCB">
                <w:rPr>
                  <w:rStyle w:val="Hyperlink"/>
                  <w:rFonts w:ascii="Calibri" w:hAnsi="Calibri"/>
                  <w:sz w:val="20"/>
                  <w:szCs w:val="20"/>
                  <w:lang w:val="en-US"/>
                </w:rPr>
                <w:t>Nera.monir-divan@undp.org</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4AD09FAE"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132FBAC0"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2506639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Arijana </w:t>
            </w:r>
          </w:p>
        </w:tc>
        <w:tc>
          <w:tcPr>
            <w:tcW w:w="0" w:type="auto"/>
            <w:tcMar>
              <w:top w:w="0" w:type="dxa"/>
              <w:left w:w="40" w:type="dxa"/>
              <w:bottom w:w="0" w:type="dxa"/>
              <w:right w:w="40" w:type="dxa"/>
            </w:tcMar>
            <w:vAlign w:val="bottom"/>
          </w:tcPr>
          <w:p w14:paraId="012725DF"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Drinić</w:t>
            </w:r>
          </w:p>
        </w:tc>
        <w:tc>
          <w:tcPr>
            <w:tcW w:w="0" w:type="auto"/>
            <w:tcMar>
              <w:top w:w="0" w:type="dxa"/>
              <w:left w:w="40" w:type="dxa"/>
              <w:bottom w:w="0" w:type="dxa"/>
              <w:right w:w="40" w:type="dxa"/>
            </w:tcMar>
            <w:vAlign w:val="bottom"/>
          </w:tcPr>
          <w:p w14:paraId="55E48E3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Head of Exploration</w:t>
            </w:r>
          </w:p>
        </w:tc>
        <w:tc>
          <w:tcPr>
            <w:tcW w:w="3604" w:type="dxa"/>
            <w:tcMar>
              <w:top w:w="0" w:type="dxa"/>
              <w:left w:w="40" w:type="dxa"/>
              <w:bottom w:w="0" w:type="dxa"/>
              <w:right w:w="40" w:type="dxa"/>
            </w:tcMar>
            <w:vAlign w:val="bottom"/>
          </w:tcPr>
          <w:p w14:paraId="3C30A24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UNDP Accelerator Lab</w:t>
            </w:r>
          </w:p>
        </w:tc>
        <w:tc>
          <w:tcPr>
            <w:tcW w:w="3330" w:type="dxa"/>
            <w:tcBorders>
              <w:right w:val="single" w:sz="4" w:space="0" w:color="auto"/>
            </w:tcBorders>
            <w:tcMar>
              <w:top w:w="0" w:type="dxa"/>
              <w:left w:w="40" w:type="dxa"/>
              <w:bottom w:w="0" w:type="dxa"/>
              <w:right w:w="40" w:type="dxa"/>
            </w:tcMar>
            <w:vAlign w:val="bottom"/>
          </w:tcPr>
          <w:p w14:paraId="30CE8258" w14:textId="77777777" w:rsidR="00094D4C" w:rsidRPr="00457BCB" w:rsidRDefault="00094D4C" w:rsidP="00A5744A">
            <w:pPr>
              <w:widowControl w:val="0"/>
              <w:spacing w:line="276" w:lineRule="auto"/>
              <w:rPr>
                <w:rFonts w:ascii="Calibri" w:hAnsi="Calibri"/>
                <w:sz w:val="20"/>
                <w:szCs w:val="20"/>
                <w:lang w:val="en-US"/>
              </w:rPr>
            </w:pPr>
            <w:hyperlink r:id="rId81" w:history="1">
              <w:r w:rsidRPr="00457BCB">
                <w:rPr>
                  <w:rStyle w:val="Hyperlink"/>
                  <w:rFonts w:ascii="Calibri" w:hAnsi="Calibri"/>
                  <w:sz w:val="20"/>
                  <w:szCs w:val="20"/>
                  <w:lang w:val="en-US"/>
                </w:rPr>
                <w:t>Arijana.drinic@undp.org</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7D6B29CE"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68D755EA"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291C156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Goran </w:t>
            </w:r>
          </w:p>
        </w:tc>
        <w:tc>
          <w:tcPr>
            <w:tcW w:w="0" w:type="auto"/>
            <w:tcMar>
              <w:top w:w="0" w:type="dxa"/>
              <w:left w:w="40" w:type="dxa"/>
              <w:bottom w:w="0" w:type="dxa"/>
              <w:right w:w="40" w:type="dxa"/>
            </w:tcMar>
            <w:vAlign w:val="bottom"/>
          </w:tcPr>
          <w:p w14:paraId="356E702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Štefatić</w:t>
            </w:r>
          </w:p>
        </w:tc>
        <w:tc>
          <w:tcPr>
            <w:tcW w:w="0" w:type="auto"/>
            <w:tcMar>
              <w:top w:w="0" w:type="dxa"/>
              <w:left w:w="40" w:type="dxa"/>
              <w:bottom w:w="0" w:type="dxa"/>
              <w:right w:w="40" w:type="dxa"/>
            </w:tcMar>
            <w:vAlign w:val="bottom"/>
          </w:tcPr>
          <w:p w14:paraId="68D1708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Project Manager </w:t>
            </w:r>
          </w:p>
        </w:tc>
        <w:tc>
          <w:tcPr>
            <w:tcW w:w="3604" w:type="dxa"/>
            <w:tcMar>
              <w:top w:w="0" w:type="dxa"/>
              <w:left w:w="40" w:type="dxa"/>
              <w:bottom w:w="0" w:type="dxa"/>
              <w:right w:w="40" w:type="dxa"/>
            </w:tcMar>
            <w:vAlign w:val="bottom"/>
          </w:tcPr>
          <w:p w14:paraId="45D75F4F"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MEG UNDP BiH</w:t>
            </w:r>
          </w:p>
        </w:tc>
        <w:tc>
          <w:tcPr>
            <w:tcW w:w="3330" w:type="dxa"/>
            <w:tcBorders>
              <w:right w:val="single" w:sz="4" w:space="0" w:color="auto"/>
            </w:tcBorders>
            <w:tcMar>
              <w:top w:w="0" w:type="dxa"/>
              <w:left w:w="40" w:type="dxa"/>
              <w:bottom w:w="0" w:type="dxa"/>
              <w:right w:w="40" w:type="dxa"/>
            </w:tcMar>
            <w:vAlign w:val="bottom"/>
          </w:tcPr>
          <w:p w14:paraId="7270393B" w14:textId="77777777" w:rsidR="00094D4C" w:rsidRPr="00457BCB" w:rsidRDefault="00094D4C" w:rsidP="00A5744A">
            <w:pPr>
              <w:widowControl w:val="0"/>
              <w:spacing w:line="276" w:lineRule="auto"/>
              <w:rPr>
                <w:rFonts w:ascii="Calibri" w:hAnsi="Calibri"/>
                <w:sz w:val="20"/>
                <w:szCs w:val="20"/>
                <w:lang w:val="en-US"/>
              </w:rPr>
            </w:pPr>
            <w:hyperlink r:id="rId82" w:history="1">
              <w:r w:rsidRPr="00457BCB">
                <w:rPr>
                  <w:rStyle w:val="Hyperlink"/>
                  <w:rFonts w:ascii="Calibri" w:hAnsi="Calibri" w:cs="Calibri"/>
                  <w:sz w:val="20"/>
                  <w:szCs w:val="20"/>
                  <w:lang w:val="en-US"/>
                </w:rPr>
                <w:t>goran.stefatic@undp.org</w:t>
              </w:r>
            </w:hyperlink>
          </w:p>
        </w:tc>
        <w:tc>
          <w:tcPr>
            <w:tcW w:w="818" w:type="dxa"/>
            <w:tcBorders>
              <w:top w:val="single" w:sz="4" w:space="0" w:color="auto"/>
              <w:left w:val="single" w:sz="4" w:space="0" w:color="auto"/>
              <w:bottom w:val="single" w:sz="4" w:space="0" w:color="auto"/>
              <w:right w:val="single" w:sz="4" w:space="0" w:color="auto"/>
            </w:tcBorders>
          </w:tcPr>
          <w:p w14:paraId="56507CFA"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6B302330"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2807DCB5" w14:textId="77777777" w:rsidR="00094D4C" w:rsidRPr="00457BCB" w:rsidRDefault="00094D4C" w:rsidP="00A5744A">
            <w:pPr>
              <w:widowControl w:val="0"/>
              <w:spacing w:line="276" w:lineRule="auto"/>
              <w:rPr>
                <w:rFonts w:ascii="Calibri" w:hAnsi="Calibri" w:cs="Calibri"/>
                <w:sz w:val="20"/>
                <w:szCs w:val="20"/>
                <w:highlight w:val="yellow"/>
                <w:lang w:val="en-US"/>
              </w:rPr>
            </w:pPr>
            <w:r w:rsidRPr="00457BCB">
              <w:rPr>
                <w:rFonts w:ascii="Calibri" w:hAnsi="Calibri" w:cs="Calibri"/>
                <w:sz w:val="20"/>
                <w:szCs w:val="20"/>
                <w:lang w:val="en-US"/>
              </w:rPr>
              <w:t>Amra</w:t>
            </w:r>
          </w:p>
        </w:tc>
        <w:tc>
          <w:tcPr>
            <w:tcW w:w="0" w:type="auto"/>
            <w:tcMar>
              <w:top w:w="0" w:type="dxa"/>
              <w:left w:w="40" w:type="dxa"/>
              <w:bottom w:w="0" w:type="dxa"/>
              <w:right w:w="40" w:type="dxa"/>
            </w:tcMar>
            <w:vAlign w:val="bottom"/>
          </w:tcPr>
          <w:p w14:paraId="50AAD86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Zorlak </w:t>
            </w:r>
          </w:p>
        </w:tc>
        <w:tc>
          <w:tcPr>
            <w:tcW w:w="0" w:type="auto"/>
            <w:tcMar>
              <w:top w:w="0" w:type="dxa"/>
              <w:left w:w="40" w:type="dxa"/>
              <w:bottom w:w="0" w:type="dxa"/>
              <w:right w:w="40" w:type="dxa"/>
            </w:tcMar>
            <w:vAlign w:val="bottom"/>
          </w:tcPr>
          <w:p w14:paraId="453CE0A7"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M&amp;E Focal Point </w:t>
            </w:r>
          </w:p>
        </w:tc>
        <w:tc>
          <w:tcPr>
            <w:tcW w:w="3604" w:type="dxa"/>
            <w:tcMar>
              <w:top w:w="0" w:type="dxa"/>
              <w:left w:w="40" w:type="dxa"/>
              <w:bottom w:w="0" w:type="dxa"/>
              <w:right w:w="40" w:type="dxa"/>
            </w:tcMar>
            <w:vAlign w:val="bottom"/>
          </w:tcPr>
          <w:p w14:paraId="4B833C7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MEG UNDP BiH</w:t>
            </w:r>
          </w:p>
        </w:tc>
        <w:tc>
          <w:tcPr>
            <w:tcW w:w="3330" w:type="dxa"/>
            <w:tcBorders>
              <w:right w:val="single" w:sz="4" w:space="0" w:color="auto"/>
            </w:tcBorders>
            <w:tcMar>
              <w:top w:w="0" w:type="dxa"/>
              <w:left w:w="40" w:type="dxa"/>
              <w:bottom w:w="0" w:type="dxa"/>
              <w:right w:w="40" w:type="dxa"/>
            </w:tcMar>
            <w:vAlign w:val="bottom"/>
          </w:tcPr>
          <w:p w14:paraId="04B353E3" w14:textId="77777777" w:rsidR="00094D4C" w:rsidRPr="00457BCB" w:rsidRDefault="00094D4C" w:rsidP="00A5744A">
            <w:pPr>
              <w:widowControl w:val="0"/>
              <w:spacing w:line="276" w:lineRule="auto"/>
              <w:rPr>
                <w:rFonts w:ascii="Calibri" w:hAnsi="Calibri" w:cs="Calibri"/>
                <w:sz w:val="20"/>
                <w:szCs w:val="20"/>
                <w:lang w:val="en-US"/>
              </w:rPr>
            </w:pPr>
            <w:hyperlink r:id="rId83" w:history="1">
              <w:r w:rsidRPr="00457BCB">
                <w:rPr>
                  <w:rStyle w:val="Hyperlink"/>
                  <w:rFonts w:ascii="Calibri" w:hAnsi="Calibri" w:cs="Calibri"/>
                  <w:sz w:val="20"/>
                  <w:szCs w:val="20"/>
                  <w:lang w:val="en-US"/>
                </w:rPr>
                <w:t>amra.zorlak@undp.org</w:t>
              </w:r>
            </w:hyperlink>
          </w:p>
        </w:tc>
        <w:tc>
          <w:tcPr>
            <w:tcW w:w="818" w:type="dxa"/>
            <w:tcBorders>
              <w:top w:val="single" w:sz="4" w:space="0" w:color="auto"/>
              <w:left w:val="single" w:sz="4" w:space="0" w:color="auto"/>
              <w:bottom w:val="single" w:sz="4" w:space="0" w:color="auto"/>
              <w:right w:val="single" w:sz="4" w:space="0" w:color="auto"/>
            </w:tcBorders>
          </w:tcPr>
          <w:p w14:paraId="6EA5D6D9"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2A75A2BC"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30C2D8E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Alma </w:t>
            </w:r>
          </w:p>
        </w:tc>
        <w:tc>
          <w:tcPr>
            <w:tcW w:w="0" w:type="auto"/>
            <w:tcMar>
              <w:top w:w="0" w:type="dxa"/>
              <w:left w:w="40" w:type="dxa"/>
              <w:bottom w:w="0" w:type="dxa"/>
              <w:right w:w="40" w:type="dxa"/>
            </w:tcMar>
            <w:vAlign w:val="bottom"/>
          </w:tcPr>
          <w:p w14:paraId="3E08087C"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Kobašlija </w:t>
            </w:r>
          </w:p>
        </w:tc>
        <w:tc>
          <w:tcPr>
            <w:tcW w:w="0" w:type="auto"/>
            <w:tcMar>
              <w:top w:w="0" w:type="dxa"/>
              <w:left w:w="40" w:type="dxa"/>
              <w:bottom w:w="0" w:type="dxa"/>
              <w:right w:w="40" w:type="dxa"/>
            </w:tcMar>
            <w:vAlign w:val="bottom"/>
          </w:tcPr>
          <w:p w14:paraId="553A4C7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Component I Lead</w:t>
            </w:r>
          </w:p>
        </w:tc>
        <w:tc>
          <w:tcPr>
            <w:tcW w:w="3604" w:type="dxa"/>
            <w:tcMar>
              <w:top w:w="0" w:type="dxa"/>
              <w:left w:w="40" w:type="dxa"/>
              <w:bottom w:w="0" w:type="dxa"/>
              <w:right w:w="40" w:type="dxa"/>
            </w:tcMar>
            <w:vAlign w:val="bottom"/>
          </w:tcPr>
          <w:p w14:paraId="3894861D"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MEG UNDP BiH</w:t>
            </w:r>
          </w:p>
        </w:tc>
        <w:tc>
          <w:tcPr>
            <w:tcW w:w="3330" w:type="dxa"/>
            <w:tcBorders>
              <w:right w:val="single" w:sz="4" w:space="0" w:color="auto"/>
            </w:tcBorders>
            <w:tcMar>
              <w:top w:w="0" w:type="dxa"/>
              <w:left w:w="40" w:type="dxa"/>
              <w:bottom w:w="0" w:type="dxa"/>
              <w:right w:w="40" w:type="dxa"/>
            </w:tcMar>
            <w:vAlign w:val="bottom"/>
          </w:tcPr>
          <w:p w14:paraId="34E9DD4E" w14:textId="77777777" w:rsidR="00094D4C" w:rsidRPr="00457BCB" w:rsidRDefault="00094D4C" w:rsidP="00A5744A">
            <w:pPr>
              <w:rPr>
                <w:rFonts w:ascii="Calibri" w:hAnsi="Calibri"/>
                <w:color w:val="000000"/>
                <w:sz w:val="20"/>
                <w:szCs w:val="20"/>
                <w:lang w:val="en-US"/>
              </w:rPr>
            </w:pPr>
            <w:hyperlink r:id="rId84">
              <w:r w:rsidRPr="00457BCB">
                <w:rPr>
                  <w:rFonts w:ascii="Calibri" w:hAnsi="Calibri"/>
                  <w:color w:val="0563C1"/>
                  <w:sz w:val="20"/>
                  <w:szCs w:val="20"/>
                  <w:u w:val="single"/>
                  <w:lang w:val="en-US"/>
                </w:rPr>
                <w:t>Alma.kobaslija@undp.org</w:t>
              </w:r>
            </w:hyperlink>
            <w:r w:rsidRPr="00457BCB">
              <w:rPr>
                <w:rFonts w:ascii="Calibri" w:hAnsi="Calibri"/>
                <w:color w:val="000000"/>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0ADBB9DA" w14:textId="77777777" w:rsidR="00094D4C" w:rsidRPr="00457BCB" w:rsidRDefault="00094D4C" w:rsidP="00A5744A">
            <w:pPr>
              <w:rPr>
                <w:rFonts w:ascii="Calibri" w:hAnsi="Calibri"/>
                <w:lang w:val="en-US"/>
              </w:rPr>
            </w:pPr>
            <w:r w:rsidRPr="00457BCB">
              <w:rPr>
                <w:rFonts w:ascii="Calibri" w:hAnsi="Calibri"/>
                <w:lang w:val="en-US"/>
              </w:rPr>
              <w:t>F</w:t>
            </w:r>
          </w:p>
        </w:tc>
      </w:tr>
      <w:tr w:rsidR="00094D4C" w:rsidRPr="00F569AE" w14:paraId="6F76240E"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7DF0C529" w14:textId="77777777" w:rsidR="00094D4C" w:rsidRPr="00457BCB" w:rsidRDefault="00094D4C" w:rsidP="00A5744A">
            <w:pPr>
              <w:widowControl w:val="0"/>
              <w:spacing w:line="276" w:lineRule="auto"/>
              <w:rPr>
                <w:rFonts w:ascii="Calibri" w:hAnsi="Calibri" w:cs="Calibri"/>
                <w:sz w:val="20"/>
                <w:szCs w:val="20"/>
                <w:highlight w:val="yellow"/>
                <w:lang w:val="en-US"/>
              </w:rPr>
            </w:pPr>
            <w:r w:rsidRPr="00457BCB">
              <w:rPr>
                <w:rFonts w:ascii="Calibri" w:hAnsi="Calibri" w:cs="Calibri"/>
                <w:sz w:val="20"/>
                <w:szCs w:val="20"/>
                <w:lang w:val="en-US"/>
              </w:rPr>
              <w:t xml:space="preserve">Tanja </w:t>
            </w:r>
          </w:p>
        </w:tc>
        <w:tc>
          <w:tcPr>
            <w:tcW w:w="0" w:type="auto"/>
            <w:tcMar>
              <w:top w:w="0" w:type="dxa"/>
              <w:left w:w="40" w:type="dxa"/>
              <w:bottom w:w="0" w:type="dxa"/>
              <w:right w:w="40" w:type="dxa"/>
            </w:tcMar>
            <w:vAlign w:val="bottom"/>
          </w:tcPr>
          <w:p w14:paraId="18C89EF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Mihajlović</w:t>
            </w:r>
          </w:p>
        </w:tc>
        <w:tc>
          <w:tcPr>
            <w:tcW w:w="0" w:type="auto"/>
            <w:tcMar>
              <w:top w:w="0" w:type="dxa"/>
              <w:left w:w="40" w:type="dxa"/>
              <w:bottom w:w="0" w:type="dxa"/>
              <w:right w:w="40" w:type="dxa"/>
            </w:tcMar>
            <w:vAlign w:val="bottom"/>
          </w:tcPr>
          <w:p w14:paraId="638676B7"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Component II Lead</w:t>
            </w:r>
          </w:p>
        </w:tc>
        <w:tc>
          <w:tcPr>
            <w:tcW w:w="3604" w:type="dxa"/>
            <w:tcMar>
              <w:top w:w="0" w:type="dxa"/>
              <w:left w:w="40" w:type="dxa"/>
              <w:bottom w:w="0" w:type="dxa"/>
              <w:right w:w="40" w:type="dxa"/>
            </w:tcMar>
            <w:vAlign w:val="bottom"/>
          </w:tcPr>
          <w:p w14:paraId="38852B4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MEG UNDP BiH</w:t>
            </w:r>
          </w:p>
        </w:tc>
        <w:tc>
          <w:tcPr>
            <w:tcW w:w="3330" w:type="dxa"/>
            <w:tcBorders>
              <w:right w:val="single" w:sz="4" w:space="0" w:color="auto"/>
            </w:tcBorders>
            <w:tcMar>
              <w:top w:w="0" w:type="dxa"/>
              <w:left w:w="40" w:type="dxa"/>
              <w:bottom w:w="0" w:type="dxa"/>
              <w:right w:w="40" w:type="dxa"/>
            </w:tcMar>
            <w:vAlign w:val="bottom"/>
          </w:tcPr>
          <w:p w14:paraId="67DA836E" w14:textId="77777777" w:rsidR="00094D4C" w:rsidRPr="00457BCB" w:rsidRDefault="00094D4C" w:rsidP="00A5744A">
            <w:pPr>
              <w:rPr>
                <w:rFonts w:ascii="Calibri" w:hAnsi="Calibri"/>
                <w:color w:val="000000"/>
                <w:sz w:val="20"/>
                <w:szCs w:val="20"/>
                <w:lang w:val="en-US"/>
              </w:rPr>
            </w:pPr>
            <w:hyperlink r:id="rId85">
              <w:r w:rsidRPr="00457BCB">
                <w:rPr>
                  <w:rFonts w:ascii="Calibri" w:hAnsi="Calibri"/>
                  <w:color w:val="0563C1"/>
                  <w:sz w:val="20"/>
                  <w:szCs w:val="20"/>
                  <w:u w:val="single"/>
                  <w:lang w:val="en-US"/>
                </w:rPr>
                <w:t>tanja.mihajlovic@undp.org</w:t>
              </w:r>
            </w:hyperlink>
            <w:r w:rsidRPr="00457BCB">
              <w:rPr>
                <w:rFonts w:ascii="Calibri" w:hAnsi="Calibri"/>
                <w:color w:val="000000"/>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44F11317" w14:textId="77777777" w:rsidR="00094D4C" w:rsidRPr="00457BCB" w:rsidRDefault="00094D4C" w:rsidP="00A5744A">
            <w:pPr>
              <w:rPr>
                <w:rFonts w:ascii="Calibri" w:hAnsi="Calibri"/>
                <w:lang w:val="en-US"/>
              </w:rPr>
            </w:pPr>
            <w:r w:rsidRPr="00457BCB">
              <w:rPr>
                <w:rFonts w:ascii="Calibri" w:hAnsi="Calibri"/>
                <w:lang w:val="en-US"/>
              </w:rPr>
              <w:t>F</w:t>
            </w:r>
          </w:p>
        </w:tc>
      </w:tr>
      <w:tr w:rsidR="00094D4C" w:rsidRPr="00F569AE" w14:paraId="59105C0A"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225230F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Mirjana </w:t>
            </w:r>
          </w:p>
        </w:tc>
        <w:tc>
          <w:tcPr>
            <w:tcW w:w="0" w:type="auto"/>
            <w:tcMar>
              <w:top w:w="0" w:type="dxa"/>
              <w:left w:w="40" w:type="dxa"/>
              <w:bottom w:w="0" w:type="dxa"/>
              <w:right w:w="40" w:type="dxa"/>
            </w:tcMar>
            <w:vAlign w:val="bottom"/>
          </w:tcPr>
          <w:p w14:paraId="462D1B3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Grbešić Čavar</w:t>
            </w:r>
          </w:p>
        </w:tc>
        <w:tc>
          <w:tcPr>
            <w:tcW w:w="0" w:type="auto"/>
            <w:tcMar>
              <w:top w:w="0" w:type="dxa"/>
              <w:left w:w="40" w:type="dxa"/>
              <w:bottom w:w="0" w:type="dxa"/>
              <w:right w:w="40" w:type="dxa"/>
            </w:tcMar>
            <w:vAlign w:val="bottom"/>
          </w:tcPr>
          <w:p w14:paraId="4B7A029E"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Component II Lead</w:t>
            </w:r>
          </w:p>
        </w:tc>
        <w:tc>
          <w:tcPr>
            <w:tcW w:w="3604" w:type="dxa"/>
            <w:tcMar>
              <w:top w:w="0" w:type="dxa"/>
              <w:left w:w="40" w:type="dxa"/>
              <w:bottom w:w="0" w:type="dxa"/>
              <w:right w:w="40" w:type="dxa"/>
            </w:tcMar>
            <w:vAlign w:val="bottom"/>
          </w:tcPr>
          <w:p w14:paraId="22C347FC"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MEG UNDP BiH</w:t>
            </w:r>
          </w:p>
        </w:tc>
        <w:tc>
          <w:tcPr>
            <w:tcW w:w="3330" w:type="dxa"/>
            <w:tcBorders>
              <w:right w:val="single" w:sz="4" w:space="0" w:color="auto"/>
            </w:tcBorders>
            <w:tcMar>
              <w:top w:w="0" w:type="dxa"/>
              <w:left w:w="40" w:type="dxa"/>
              <w:bottom w:w="0" w:type="dxa"/>
              <w:right w:w="40" w:type="dxa"/>
            </w:tcMar>
            <w:vAlign w:val="bottom"/>
          </w:tcPr>
          <w:p w14:paraId="38AD4732" w14:textId="77777777" w:rsidR="00094D4C" w:rsidRPr="00457BCB" w:rsidRDefault="00094D4C" w:rsidP="00A5744A">
            <w:pPr>
              <w:rPr>
                <w:rFonts w:ascii="Calibri" w:hAnsi="Calibri"/>
                <w:sz w:val="20"/>
                <w:szCs w:val="20"/>
                <w:lang w:val="en-US"/>
              </w:rPr>
            </w:pPr>
            <w:hyperlink r:id="rId86" w:history="1">
              <w:r w:rsidRPr="00457BCB">
                <w:rPr>
                  <w:rStyle w:val="Hyperlink"/>
                  <w:rFonts w:ascii="Calibri" w:hAnsi="Calibri"/>
                  <w:sz w:val="20"/>
                  <w:szCs w:val="20"/>
                  <w:lang w:val="en-US"/>
                </w:rPr>
                <w:t>Mirjana.grbrsic-cavar@undpr.org</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6A9108ED" w14:textId="77777777" w:rsidR="00094D4C" w:rsidRPr="00457BCB" w:rsidRDefault="00094D4C" w:rsidP="00A5744A">
            <w:pPr>
              <w:rPr>
                <w:rFonts w:ascii="Calibri" w:hAnsi="Calibri"/>
                <w:lang w:val="en-US"/>
              </w:rPr>
            </w:pPr>
            <w:r w:rsidRPr="00457BCB">
              <w:rPr>
                <w:rFonts w:ascii="Calibri" w:hAnsi="Calibri"/>
                <w:lang w:val="en-US"/>
              </w:rPr>
              <w:t>F</w:t>
            </w:r>
          </w:p>
        </w:tc>
      </w:tr>
      <w:tr w:rsidR="00094D4C" w:rsidRPr="00F569AE" w14:paraId="14EB3E69"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63A7D3B5"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Alen </w:t>
            </w:r>
          </w:p>
        </w:tc>
        <w:tc>
          <w:tcPr>
            <w:tcW w:w="0" w:type="auto"/>
            <w:tcMar>
              <w:top w:w="0" w:type="dxa"/>
              <w:left w:w="40" w:type="dxa"/>
              <w:bottom w:w="0" w:type="dxa"/>
              <w:right w:w="40" w:type="dxa"/>
            </w:tcMar>
            <w:vAlign w:val="bottom"/>
          </w:tcPr>
          <w:p w14:paraId="3871AC0F"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Robović</w:t>
            </w:r>
          </w:p>
        </w:tc>
        <w:tc>
          <w:tcPr>
            <w:tcW w:w="0" w:type="auto"/>
            <w:tcMar>
              <w:top w:w="0" w:type="dxa"/>
              <w:left w:w="40" w:type="dxa"/>
              <w:bottom w:w="0" w:type="dxa"/>
              <w:right w:w="40" w:type="dxa"/>
            </w:tcMar>
            <w:vAlign w:val="bottom"/>
          </w:tcPr>
          <w:p w14:paraId="7BE2851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Component III Lead</w:t>
            </w:r>
          </w:p>
        </w:tc>
        <w:tc>
          <w:tcPr>
            <w:tcW w:w="3604" w:type="dxa"/>
            <w:tcMar>
              <w:top w:w="0" w:type="dxa"/>
              <w:left w:w="40" w:type="dxa"/>
              <w:bottom w:w="0" w:type="dxa"/>
              <w:right w:w="40" w:type="dxa"/>
            </w:tcMar>
            <w:vAlign w:val="bottom"/>
          </w:tcPr>
          <w:p w14:paraId="3C19257D"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MEG UNDP BiH</w:t>
            </w:r>
          </w:p>
        </w:tc>
        <w:tc>
          <w:tcPr>
            <w:tcW w:w="3330" w:type="dxa"/>
            <w:tcBorders>
              <w:right w:val="single" w:sz="4" w:space="0" w:color="auto"/>
            </w:tcBorders>
            <w:tcMar>
              <w:top w:w="0" w:type="dxa"/>
              <w:left w:w="40" w:type="dxa"/>
              <w:bottom w:w="0" w:type="dxa"/>
              <w:right w:w="40" w:type="dxa"/>
            </w:tcMar>
            <w:vAlign w:val="bottom"/>
          </w:tcPr>
          <w:p w14:paraId="2BC00D98" w14:textId="77777777" w:rsidR="00094D4C" w:rsidRPr="00457BCB" w:rsidRDefault="00094D4C" w:rsidP="00A5744A">
            <w:pPr>
              <w:widowControl w:val="0"/>
              <w:spacing w:line="276" w:lineRule="auto"/>
              <w:rPr>
                <w:rFonts w:ascii="Calibri" w:hAnsi="Calibri" w:cs="Calibri"/>
                <w:sz w:val="20"/>
                <w:szCs w:val="20"/>
                <w:lang w:val="en-US"/>
              </w:rPr>
            </w:pPr>
            <w:hyperlink r:id="rId87">
              <w:r w:rsidRPr="00457BCB">
                <w:rPr>
                  <w:rFonts w:ascii="Calibri" w:hAnsi="Calibri"/>
                  <w:color w:val="0563C1"/>
                  <w:sz w:val="20"/>
                  <w:szCs w:val="20"/>
                  <w:u w:val="single"/>
                  <w:lang w:val="en-US"/>
                </w:rPr>
                <w:t>Alen.robovic@undp.org</w:t>
              </w:r>
            </w:hyperlink>
          </w:p>
        </w:tc>
        <w:tc>
          <w:tcPr>
            <w:tcW w:w="818" w:type="dxa"/>
            <w:tcBorders>
              <w:top w:val="single" w:sz="4" w:space="0" w:color="auto"/>
              <w:left w:val="single" w:sz="4" w:space="0" w:color="auto"/>
              <w:bottom w:val="single" w:sz="4" w:space="0" w:color="auto"/>
              <w:right w:val="single" w:sz="4" w:space="0" w:color="auto"/>
            </w:tcBorders>
          </w:tcPr>
          <w:p w14:paraId="01D64A41"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501DE4CB"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1FC60EB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Igor </w:t>
            </w:r>
          </w:p>
        </w:tc>
        <w:tc>
          <w:tcPr>
            <w:tcW w:w="0" w:type="auto"/>
            <w:tcMar>
              <w:top w:w="0" w:type="dxa"/>
              <w:left w:w="40" w:type="dxa"/>
              <w:bottom w:w="0" w:type="dxa"/>
              <w:right w:w="40" w:type="dxa"/>
            </w:tcMar>
            <w:vAlign w:val="bottom"/>
          </w:tcPr>
          <w:p w14:paraId="0C2FB21E"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Palandžić</w:t>
            </w:r>
          </w:p>
        </w:tc>
        <w:tc>
          <w:tcPr>
            <w:tcW w:w="0" w:type="auto"/>
            <w:tcMar>
              <w:top w:w="0" w:type="dxa"/>
              <w:left w:w="40" w:type="dxa"/>
              <w:bottom w:w="0" w:type="dxa"/>
              <w:right w:w="40" w:type="dxa"/>
            </w:tcMar>
            <w:vAlign w:val="bottom"/>
          </w:tcPr>
          <w:p w14:paraId="1CD0D36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Senior Water Specialist/Project coordinator</w:t>
            </w:r>
          </w:p>
        </w:tc>
        <w:tc>
          <w:tcPr>
            <w:tcW w:w="3604" w:type="dxa"/>
            <w:tcMar>
              <w:top w:w="0" w:type="dxa"/>
              <w:left w:w="40" w:type="dxa"/>
              <w:bottom w:w="0" w:type="dxa"/>
              <w:right w:w="40" w:type="dxa"/>
            </w:tcMar>
            <w:vAlign w:val="bottom"/>
          </w:tcPr>
          <w:p w14:paraId="124A301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World Bank</w:t>
            </w:r>
          </w:p>
        </w:tc>
        <w:tc>
          <w:tcPr>
            <w:tcW w:w="3330" w:type="dxa"/>
            <w:tcBorders>
              <w:right w:val="single" w:sz="4" w:space="0" w:color="auto"/>
            </w:tcBorders>
            <w:tcMar>
              <w:top w:w="0" w:type="dxa"/>
              <w:left w:w="40" w:type="dxa"/>
              <w:bottom w:w="0" w:type="dxa"/>
              <w:right w:w="40" w:type="dxa"/>
            </w:tcMar>
            <w:vAlign w:val="bottom"/>
          </w:tcPr>
          <w:p w14:paraId="4322D15F" w14:textId="77777777" w:rsidR="00094D4C" w:rsidRPr="00457BCB" w:rsidRDefault="00094D4C" w:rsidP="00A5744A">
            <w:pPr>
              <w:widowControl w:val="0"/>
              <w:spacing w:line="276" w:lineRule="auto"/>
              <w:rPr>
                <w:rFonts w:ascii="Calibri" w:hAnsi="Calibri"/>
                <w:sz w:val="20"/>
                <w:szCs w:val="20"/>
                <w:lang w:val="en-US"/>
              </w:rPr>
            </w:pPr>
            <w:hyperlink r:id="rId88" w:history="1">
              <w:r w:rsidRPr="00457BCB">
                <w:rPr>
                  <w:rStyle w:val="Hyperlink"/>
                  <w:rFonts w:ascii="Calibri" w:hAnsi="Calibri"/>
                  <w:sz w:val="20"/>
                  <w:szCs w:val="20"/>
                  <w:lang w:val="en-US"/>
                </w:rPr>
                <w:t>ipalandzic@worldbank.org</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29C6F125"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0F23AF28"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25DF1D1C"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Victor </w:t>
            </w:r>
          </w:p>
        </w:tc>
        <w:tc>
          <w:tcPr>
            <w:tcW w:w="0" w:type="auto"/>
            <w:tcMar>
              <w:top w:w="0" w:type="dxa"/>
              <w:left w:w="40" w:type="dxa"/>
              <w:bottom w:w="0" w:type="dxa"/>
              <w:right w:w="40" w:type="dxa"/>
            </w:tcMar>
            <w:vAlign w:val="bottom"/>
          </w:tcPr>
          <w:p w14:paraId="7B6C7B15"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Munteanu</w:t>
            </w:r>
          </w:p>
        </w:tc>
        <w:tc>
          <w:tcPr>
            <w:tcW w:w="0" w:type="auto"/>
            <w:tcMar>
              <w:top w:w="0" w:type="dxa"/>
              <w:left w:w="40" w:type="dxa"/>
              <w:bottom w:w="0" w:type="dxa"/>
              <w:right w:w="40" w:type="dxa"/>
            </w:tcMar>
            <w:vAlign w:val="bottom"/>
          </w:tcPr>
          <w:p w14:paraId="0BBAD28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Deputy Resident Representative</w:t>
            </w:r>
          </w:p>
        </w:tc>
        <w:tc>
          <w:tcPr>
            <w:tcW w:w="3604" w:type="dxa"/>
            <w:tcMar>
              <w:top w:w="0" w:type="dxa"/>
              <w:left w:w="40" w:type="dxa"/>
              <w:bottom w:w="0" w:type="dxa"/>
              <w:right w:w="40" w:type="dxa"/>
            </w:tcMar>
            <w:vAlign w:val="bottom"/>
          </w:tcPr>
          <w:p w14:paraId="192AA51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UNDP BiH</w:t>
            </w:r>
          </w:p>
        </w:tc>
        <w:tc>
          <w:tcPr>
            <w:tcW w:w="3330" w:type="dxa"/>
            <w:tcBorders>
              <w:right w:val="single" w:sz="4" w:space="0" w:color="auto"/>
            </w:tcBorders>
            <w:tcMar>
              <w:top w:w="0" w:type="dxa"/>
              <w:left w:w="40" w:type="dxa"/>
              <w:bottom w:w="0" w:type="dxa"/>
              <w:right w:w="40" w:type="dxa"/>
            </w:tcMar>
            <w:vAlign w:val="bottom"/>
          </w:tcPr>
          <w:p w14:paraId="140B1681" w14:textId="77777777" w:rsidR="00094D4C" w:rsidRPr="00457BCB" w:rsidRDefault="00094D4C" w:rsidP="00A5744A">
            <w:pPr>
              <w:widowControl w:val="0"/>
              <w:spacing w:line="276" w:lineRule="auto"/>
              <w:rPr>
                <w:rFonts w:ascii="Calibri" w:hAnsi="Calibri" w:cs="Calibri"/>
                <w:sz w:val="20"/>
                <w:szCs w:val="20"/>
                <w:lang w:val="en-US"/>
              </w:rPr>
            </w:pPr>
            <w:hyperlink r:id="rId89" w:history="1">
              <w:r w:rsidRPr="00457BCB">
                <w:rPr>
                  <w:rStyle w:val="Hyperlink"/>
                  <w:rFonts w:ascii="Calibri" w:hAnsi="Calibri" w:cs="Calibri"/>
                  <w:sz w:val="20"/>
                  <w:szCs w:val="20"/>
                  <w:lang w:val="en-US"/>
                </w:rPr>
                <w:t>Victor.munteanu@undp.org</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086B157A"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7D3F7C4C"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6703501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Renaud</w:t>
            </w:r>
          </w:p>
        </w:tc>
        <w:tc>
          <w:tcPr>
            <w:tcW w:w="0" w:type="auto"/>
            <w:tcMar>
              <w:top w:w="0" w:type="dxa"/>
              <w:left w:w="40" w:type="dxa"/>
              <w:bottom w:w="0" w:type="dxa"/>
              <w:right w:w="40" w:type="dxa"/>
            </w:tcMar>
            <w:vAlign w:val="bottom"/>
          </w:tcPr>
          <w:p w14:paraId="05249C4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Meyer</w:t>
            </w:r>
          </w:p>
        </w:tc>
        <w:tc>
          <w:tcPr>
            <w:tcW w:w="0" w:type="auto"/>
            <w:tcMar>
              <w:top w:w="0" w:type="dxa"/>
              <w:left w:w="40" w:type="dxa"/>
              <w:bottom w:w="0" w:type="dxa"/>
              <w:right w:w="40" w:type="dxa"/>
            </w:tcMar>
            <w:vAlign w:val="bottom"/>
          </w:tcPr>
          <w:p w14:paraId="688B6D4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Resident representative</w:t>
            </w:r>
          </w:p>
        </w:tc>
        <w:tc>
          <w:tcPr>
            <w:tcW w:w="3604" w:type="dxa"/>
            <w:tcMar>
              <w:top w:w="0" w:type="dxa"/>
              <w:left w:w="40" w:type="dxa"/>
              <w:bottom w:w="0" w:type="dxa"/>
              <w:right w:w="40" w:type="dxa"/>
            </w:tcMar>
            <w:vAlign w:val="bottom"/>
          </w:tcPr>
          <w:p w14:paraId="47EB82A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UNDP BiH</w:t>
            </w:r>
          </w:p>
        </w:tc>
        <w:tc>
          <w:tcPr>
            <w:tcW w:w="3330" w:type="dxa"/>
            <w:tcBorders>
              <w:right w:val="single" w:sz="4" w:space="0" w:color="auto"/>
            </w:tcBorders>
            <w:tcMar>
              <w:top w:w="0" w:type="dxa"/>
              <w:left w:w="40" w:type="dxa"/>
              <w:bottom w:w="0" w:type="dxa"/>
              <w:right w:w="40" w:type="dxa"/>
            </w:tcMar>
            <w:vAlign w:val="bottom"/>
          </w:tcPr>
          <w:p w14:paraId="30FFF5F1" w14:textId="77777777" w:rsidR="00094D4C" w:rsidRPr="00457BCB" w:rsidRDefault="00094D4C" w:rsidP="00A5744A">
            <w:pPr>
              <w:widowControl w:val="0"/>
              <w:spacing w:line="276" w:lineRule="auto"/>
              <w:rPr>
                <w:rFonts w:ascii="Calibri" w:hAnsi="Calibri" w:cs="Calibri"/>
                <w:sz w:val="20"/>
                <w:szCs w:val="20"/>
                <w:lang w:val="en-US"/>
              </w:rPr>
            </w:pPr>
            <w:hyperlink r:id="rId90" w:history="1">
              <w:r w:rsidRPr="00457BCB">
                <w:rPr>
                  <w:rStyle w:val="Hyperlink"/>
                  <w:rFonts w:ascii="Calibri" w:hAnsi="Calibri" w:cs="Calibri"/>
                  <w:sz w:val="20"/>
                  <w:szCs w:val="20"/>
                  <w:lang w:val="en-US"/>
                </w:rPr>
                <w:t>renaud.meyer@undp.org</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668AFE02"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51586D03" w14:textId="77777777" w:rsidTr="212A59DF">
        <w:trPr>
          <w:trHeight w:val="300"/>
        </w:trPr>
        <w:tc>
          <w:tcPr>
            <w:tcW w:w="13270" w:type="dxa"/>
            <w:gridSpan w:val="5"/>
            <w:tcBorders>
              <w:left w:val="single" w:sz="12" w:space="0" w:color="000000" w:themeColor="text1"/>
              <w:bottom w:val="single" w:sz="6" w:space="0" w:color="000000" w:themeColor="text1"/>
              <w:right w:val="single" w:sz="4" w:space="0" w:color="auto"/>
            </w:tcBorders>
            <w:shd w:val="clear" w:color="auto" w:fill="DEEAF6"/>
            <w:tcMar>
              <w:top w:w="0" w:type="dxa"/>
              <w:left w:w="40" w:type="dxa"/>
              <w:bottom w:w="0" w:type="dxa"/>
              <w:right w:w="40" w:type="dxa"/>
            </w:tcMar>
            <w:vAlign w:val="bottom"/>
          </w:tcPr>
          <w:p w14:paraId="07906D31" w14:textId="77777777" w:rsidR="00094D4C" w:rsidRPr="00457BCB" w:rsidRDefault="00094D4C" w:rsidP="00A5744A">
            <w:pPr>
              <w:widowControl w:val="0"/>
              <w:spacing w:line="276" w:lineRule="auto"/>
              <w:jc w:val="center"/>
              <w:rPr>
                <w:rFonts w:ascii="Calibri" w:hAnsi="Calibri" w:cs="Calibri"/>
                <w:b/>
                <w:lang w:val="en-US"/>
              </w:rPr>
            </w:pPr>
            <w:r w:rsidRPr="00457BCB">
              <w:rPr>
                <w:rFonts w:ascii="Calibri" w:hAnsi="Calibri" w:cs="Calibri"/>
                <w:b/>
                <w:lang w:val="en-US"/>
              </w:rPr>
              <w:t>Institutions: Ministries and Associations</w:t>
            </w:r>
          </w:p>
        </w:tc>
        <w:tc>
          <w:tcPr>
            <w:tcW w:w="818" w:type="dxa"/>
            <w:tcBorders>
              <w:top w:val="single" w:sz="4" w:space="0" w:color="auto"/>
              <w:left w:val="single" w:sz="4" w:space="0" w:color="auto"/>
              <w:bottom w:val="single" w:sz="4" w:space="0" w:color="auto"/>
              <w:right w:val="single" w:sz="4" w:space="0" w:color="auto"/>
            </w:tcBorders>
            <w:shd w:val="clear" w:color="auto" w:fill="DEEAF6"/>
          </w:tcPr>
          <w:p w14:paraId="4AB9B4C3" w14:textId="77777777" w:rsidR="00094D4C" w:rsidRPr="00457BCB" w:rsidRDefault="00094D4C" w:rsidP="00A5744A">
            <w:pPr>
              <w:widowControl w:val="0"/>
              <w:spacing w:line="276" w:lineRule="auto"/>
              <w:jc w:val="center"/>
              <w:rPr>
                <w:rFonts w:ascii="Calibri" w:hAnsi="Calibri" w:cs="Calibri"/>
                <w:b/>
                <w:lang w:val="en-US"/>
              </w:rPr>
            </w:pPr>
          </w:p>
        </w:tc>
      </w:tr>
      <w:tr w:rsidR="00094D4C" w:rsidRPr="00F569AE" w14:paraId="487E7A52"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485AF391" w14:textId="77777777" w:rsidR="00094D4C" w:rsidRPr="00457BCB" w:rsidRDefault="00094D4C" w:rsidP="00A5744A">
            <w:pPr>
              <w:widowControl w:val="0"/>
              <w:pBdr>
                <w:top w:val="nil"/>
                <w:left w:val="nil"/>
                <w:bottom w:val="nil"/>
                <w:right w:val="nil"/>
                <w:between w:val="nil"/>
              </w:pBdr>
              <w:spacing w:line="276" w:lineRule="auto"/>
              <w:rPr>
                <w:rFonts w:ascii="Calibri" w:hAnsi="Calibri"/>
                <w:sz w:val="20"/>
                <w:szCs w:val="20"/>
                <w:lang w:val="en-US"/>
              </w:rPr>
            </w:pPr>
            <w:r w:rsidRPr="00457BCB">
              <w:rPr>
                <w:rFonts w:ascii="Calibri" w:hAnsi="Calibri"/>
                <w:sz w:val="20"/>
                <w:szCs w:val="20"/>
                <w:lang w:val="en-US"/>
              </w:rPr>
              <w:t>Đorđe</w:t>
            </w:r>
          </w:p>
        </w:tc>
        <w:tc>
          <w:tcPr>
            <w:tcW w:w="0" w:type="auto"/>
            <w:tcMar>
              <w:top w:w="0" w:type="dxa"/>
              <w:left w:w="40" w:type="dxa"/>
              <w:bottom w:w="0" w:type="dxa"/>
              <w:right w:w="40" w:type="dxa"/>
            </w:tcMar>
          </w:tcPr>
          <w:p w14:paraId="643ED598"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Papak</w:t>
            </w:r>
          </w:p>
        </w:tc>
        <w:tc>
          <w:tcPr>
            <w:tcW w:w="0" w:type="auto"/>
            <w:tcMar>
              <w:top w:w="0" w:type="dxa"/>
              <w:left w:w="40" w:type="dxa"/>
              <w:bottom w:w="0" w:type="dxa"/>
              <w:right w:w="40" w:type="dxa"/>
            </w:tcMar>
          </w:tcPr>
          <w:p w14:paraId="599512D7" w14:textId="77777777" w:rsidR="00094D4C" w:rsidRPr="00457BCB" w:rsidRDefault="00094D4C" w:rsidP="00A5744A">
            <w:pPr>
              <w:shd w:val="clear" w:color="auto" w:fill="FFFFFF"/>
              <w:rPr>
                <w:rFonts w:ascii="Calibri" w:hAnsi="Calibri"/>
                <w:color w:val="212121"/>
                <w:sz w:val="20"/>
                <w:szCs w:val="20"/>
                <w:lang w:val="en-US"/>
              </w:rPr>
            </w:pPr>
            <w:r w:rsidRPr="00457BCB">
              <w:rPr>
                <w:rFonts w:ascii="Calibri" w:hAnsi="Calibri"/>
                <w:sz w:val="20"/>
                <w:szCs w:val="20"/>
                <w:lang w:val="en-US"/>
              </w:rPr>
              <w:t>Assistant Minister, LG department</w:t>
            </w:r>
          </w:p>
        </w:tc>
        <w:tc>
          <w:tcPr>
            <w:tcW w:w="3604" w:type="dxa"/>
            <w:tcMar>
              <w:top w:w="0" w:type="dxa"/>
              <w:left w:w="40" w:type="dxa"/>
              <w:bottom w:w="0" w:type="dxa"/>
              <w:right w:w="40" w:type="dxa"/>
            </w:tcMar>
          </w:tcPr>
          <w:p w14:paraId="4700AE27" w14:textId="77777777" w:rsidR="00094D4C" w:rsidRPr="00457BCB" w:rsidRDefault="00094D4C" w:rsidP="00A5744A">
            <w:pPr>
              <w:rPr>
                <w:rFonts w:ascii="Calibri" w:hAnsi="Calibri"/>
                <w:color w:val="000000"/>
                <w:sz w:val="20"/>
                <w:szCs w:val="20"/>
                <w:lang w:val="en-US"/>
              </w:rPr>
            </w:pPr>
            <w:r w:rsidRPr="00457BCB">
              <w:rPr>
                <w:rFonts w:ascii="Calibri" w:hAnsi="Calibri"/>
                <w:sz w:val="20"/>
                <w:szCs w:val="20"/>
                <w:lang w:val="en-US"/>
              </w:rPr>
              <w:t xml:space="preserve">RS Ministry of Administration and Local Self-government </w:t>
            </w:r>
          </w:p>
        </w:tc>
        <w:tc>
          <w:tcPr>
            <w:tcW w:w="3330" w:type="dxa"/>
            <w:tcBorders>
              <w:right w:val="single" w:sz="4" w:space="0" w:color="auto"/>
            </w:tcBorders>
            <w:tcMar>
              <w:top w:w="0" w:type="dxa"/>
              <w:left w:w="40" w:type="dxa"/>
              <w:bottom w:w="0" w:type="dxa"/>
              <w:right w:w="40" w:type="dxa"/>
            </w:tcMar>
            <w:vAlign w:val="bottom"/>
          </w:tcPr>
          <w:p w14:paraId="0025E52A" w14:textId="77777777" w:rsidR="00094D4C" w:rsidRPr="00457BCB" w:rsidRDefault="00094D4C" w:rsidP="00A5744A">
            <w:pPr>
              <w:rPr>
                <w:rFonts w:ascii="Calibri" w:hAnsi="Calibri"/>
                <w:sz w:val="20"/>
                <w:szCs w:val="20"/>
                <w:lang w:val="en-US"/>
              </w:rPr>
            </w:pPr>
            <w:hyperlink r:id="rId91">
              <w:r w:rsidRPr="00457BCB">
                <w:rPr>
                  <w:rFonts w:ascii="Calibri" w:hAnsi="Calibri"/>
                  <w:color w:val="0563C1"/>
                  <w:sz w:val="20"/>
                  <w:szCs w:val="20"/>
                  <w:u w:val="single"/>
                  <w:lang w:val="en-US"/>
                </w:rPr>
                <w:t>dj.papak@muls.vladars.rs</w:t>
              </w:r>
            </w:hyperlink>
          </w:p>
          <w:p w14:paraId="48D52B50" w14:textId="77777777" w:rsidR="00094D4C" w:rsidRPr="00457BCB" w:rsidRDefault="00094D4C" w:rsidP="00A5744A">
            <w:pPr>
              <w:widowControl w:val="0"/>
              <w:spacing w:line="276" w:lineRule="auto"/>
              <w:rPr>
                <w:rFonts w:ascii="Calibri" w:hAnsi="Calibri"/>
                <w:sz w:val="20"/>
                <w:szCs w:val="20"/>
                <w:lang w:val="en-US"/>
              </w:rPr>
            </w:pPr>
          </w:p>
        </w:tc>
        <w:tc>
          <w:tcPr>
            <w:tcW w:w="818" w:type="dxa"/>
            <w:tcBorders>
              <w:top w:val="single" w:sz="4" w:space="0" w:color="auto"/>
              <w:left w:val="single" w:sz="4" w:space="0" w:color="auto"/>
              <w:bottom w:val="single" w:sz="4" w:space="0" w:color="auto"/>
              <w:right w:val="single" w:sz="4" w:space="0" w:color="auto"/>
            </w:tcBorders>
          </w:tcPr>
          <w:p w14:paraId="34EB789A" w14:textId="77777777" w:rsidR="00094D4C" w:rsidRPr="00457BCB" w:rsidRDefault="00094D4C" w:rsidP="00A5744A">
            <w:pPr>
              <w:rPr>
                <w:rFonts w:ascii="Calibri" w:hAnsi="Calibri"/>
                <w:lang w:val="en-US"/>
              </w:rPr>
            </w:pPr>
            <w:r w:rsidRPr="00457BCB">
              <w:rPr>
                <w:rFonts w:ascii="Calibri" w:hAnsi="Calibri"/>
                <w:lang w:val="en-US"/>
              </w:rPr>
              <w:t>M</w:t>
            </w:r>
          </w:p>
        </w:tc>
      </w:tr>
      <w:tr w:rsidR="00094D4C" w:rsidRPr="00F569AE" w14:paraId="140824DD"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3727757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Rada </w:t>
            </w:r>
          </w:p>
        </w:tc>
        <w:tc>
          <w:tcPr>
            <w:tcW w:w="0" w:type="auto"/>
            <w:tcMar>
              <w:top w:w="0" w:type="dxa"/>
              <w:left w:w="40" w:type="dxa"/>
              <w:bottom w:w="0" w:type="dxa"/>
              <w:right w:w="40" w:type="dxa"/>
            </w:tcMar>
            <w:vAlign w:val="bottom"/>
          </w:tcPr>
          <w:p w14:paraId="7FD2B36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Milisav</w:t>
            </w:r>
          </w:p>
        </w:tc>
        <w:tc>
          <w:tcPr>
            <w:tcW w:w="0" w:type="auto"/>
            <w:tcMar>
              <w:top w:w="0" w:type="dxa"/>
              <w:left w:w="40" w:type="dxa"/>
              <w:bottom w:w="0" w:type="dxa"/>
              <w:right w:w="40" w:type="dxa"/>
            </w:tcMar>
            <w:vAlign w:val="bottom"/>
          </w:tcPr>
          <w:p w14:paraId="5139F18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Minister’s Advisor</w:t>
            </w:r>
          </w:p>
        </w:tc>
        <w:tc>
          <w:tcPr>
            <w:tcW w:w="3604" w:type="dxa"/>
            <w:tcMar>
              <w:top w:w="0" w:type="dxa"/>
              <w:left w:w="40" w:type="dxa"/>
              <w:bottom w:w="0" w:type="dxa"/>
              <w:right w:w="40" w:type="dxa"/>
            </w:tcMar>
          </w:tcPr>
          <w:p w14:paraId="36F2AF6A"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Ministry of Foreign Trade and Economic Relations of Bosnia and Herzegovina(MOFTER)</w:t>
            </w:r>
          </w:p>
        </w:tc>
        <w:tc>
          <w:tcPr>
            <w:tcW w:w="3330" w:type="dxa"/>
            <w:tcBorders>
              <w:right w:val="single" w:sz="4" w:space="0" w:color="auto"/>
            </w:tcBorders>
            <w:tcMar>
              <w:top w:w="0" w:type="dxa"/>
              <w:left w:w="40" w:type="dxa"/>
              <w:bottom w:w="0" w:type="dxa"/>
              <w:right w:w="40" w:type="dxa"/>
            </w:tcMar>
            <w:vAlign w:val="bottom"/>
          </w:tcPr>
          <w:p w14:paraId="17404F46" w14:textId="77777777" w:rsidR="00094D4C" w:rsidRPr="00457BCB" w:rsidRDefault="00094D4C" w:rsidP="00A5744A">
            <w:pPr>
              <w:widowControl w:val="0"/>
              <w:spacing w:line="276" w:lineRule="auto"/>
              <w:rPr>
                <w:rFonts w:ascii="Calibri" w:hAnsi="Calibri"/>
                <w:sz w:val="20"/>
                <w:szCs w:val="20"/>
                <w:lang w:val="en-US"/>
              </w:rPr>
            </w:pPr>
            <w:hyperlink r:id="rId92" w:history="1">
              <w:r w:rsidRPr="00457BCB">
                <w:rPr>
                  <w:rStyle w:val="Hyperlink"/>
                  <w:rFonts w:ascii="Calibri" w:hAnsi="Calibri"/>
                  <w:sz w:val="20"/>
                  <w:szCs w:val="20"/>
                  <w:lang w:val="en-US"/>
                </w:rPr>
                <w:t>rada.milisav@mvteo.gov.ba</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192DFB23"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05F9F857"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177B0023"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Milan </w:t>
            </w:r>
          </w:p>
        </w:tc>
        <w:tc>
          <w:tcPr>
            <w:tcW w:w="0" w:type="auto"/>
            <w:tcMar>
              <w:top w:w="0" w:type="dxa"/>
              <w:left w:w="40" w:type="dxa"/>
              <w:bottom w:w="0" w:type="dxa"/>
              <w:right w:w="40" w:type="dxa"/>
            </w:tcMar>
          </w:tcPr>
          <w:p w14:paraId="64C10DFD" w14:textId="77777777" w:rsidR="00094D4C" w:rsidRPr="00457BCB" w:rsidRDefault="00094D4C" w:rsidP="00A5744A">
            <w:pPr>
              <w:spacing w:after="60"/>
              <w:jc w:val="both"/>
              <w:rPr>
                <w:rFonts w:ascii="Calibri" w:hAnsi="Calibri"/>
                <w:color w:val="000000"/>
                <w:sz w:val="20"/>
                <w:szCs w:val="20"/>
                <w:lang w:val="en-US"/>
              </w:rPr>
            </w:pPr>
            <w:r w:rsidRPr="00457BCB">
              <w:rPr>
                <w:rFonts w:ascii="Calibri" w:hAnsi="Calibri"/>
                <w:color w:val="000000"/>
                <w:sz w:val="20"/>
                <w:szCs w:val="20"/>
                <w:lang w:val="en-US"/>
              </w:rPr>
              <w:t>Gavrić</w:t>
            </w:r>
          </w:p>
        </w:tc>
        <w:tc>
          <w:tcPr>
            <w:tcW w:w="0" w:type="auto"/>
            <w:tcMar>
              <w:top w:w="0" w:type="dxa"/>
              <w:left w:w="40" w:type="dxa"/>
              <w:bottom w:w="0" w:type="dxa"/>
              <w:right w:w="40" w:type="dxa"/>
            </w:tcMar>
          </w:tcPr>
          <w:p w14:paraId="5D42837E" w14:textId="77777777" w:rsidR="00094D4C" w:rsidRPr="00457BCB" w:rsidRDefault="00094D4C" w:rsidP="00A5744A">
            <w:pPr>
              <w:rPr>
                <w:rFonts w:ascii="Calibri" w:hAnsi="Calibri"/>
                <w:sz w:val="20"/>
                <w:szCs w:val="20"/>
                <w:lang w:val="en-US"/>
              </w:rPr>
            </w:pPr>
            <w:r w:rsidRPr="00457BCB">
              <w:rPr>
                <w:rFonts w:ascii="Calibri" w:hAnsi="Calibri"/>
                <w:sz w:val="20"/>
                <w:szCs w:val="20"/>
                <w:lang w:val="en-US"/>
              </w:rPr>
              <w:t>Assistant Minister</w:t>
            </w:r>
          </w:p>
        </w:tc>
        <w:tc>
          <w:tcPr>
            <w:tcW w:w="3604" w:type="dxa"/>
            <w:tcMar>
              <w:top w:w="0" w:type="dxa"/>
              <w:left w:w="40" w:type="dxa"/>
              <w:bottom w:w="0" w:type="dxa"/>
              <w:right w:w="40" w:type="dxa"/>
            </w:tcMar>
          </w:tcPr>
          <w:p w14:paraId="5BBB57C8"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RS Ministry of Agriculture, Forestry and Water Management</w:t>
            </w:r>
          </w:p>
        </w:tc>
        <w:tc>
          <w:tcPr>
            <w:tcW w:w="3330" w:type="dxa"/>
            <w:tcBorders>
              <w:right w:val="single" w:sz="4" w:space="0" w:color="auto"/>
            </w:tcBorders>
            <w:tcMar>
              <w:top w:w="0" w:type="dxa"/>
              <w:left w:w="40" w:type="dxa"/>
              <w:bottom w:w="0" w:type="dxa"/>
              <w:right w:w="40" w:type="dxa"/>
            </w:tcMar>
          </w:tcPr>
          <w:p w14:paraId="3D2379C9" w14:textId="77777777" w:rsidR="00094D4C" w:rsidRPr="00457BCB" w:rsidRDefault="00094D4C" w:rsidP="00A5744A">
            <w:pPr>
              <w:rPr>
                <w:rFonts w:ascii="Calibri" w:hAnsi="Calibri"/>
                <w:color w:val="000000"/>
                <w:sz w:val="20"/>
                <w:szCs w:val="20"/>
                <w:lang w:val="en-US"/>
              </w:rPr>
            </w:pPr>
            <w:hyperlink r:id="rId93">
              <w:r w:rsidRPr="00457BCB">
                <w:rPr>
                  <w:rFonts w:ascii="Calibri" w:hAnsi="Calibri"/>
                  <w:color w:val="0563C1"/>
                  <w:sz w:val="20"/>
                  <w:szCs w:val="20"/>
                  <w:u w:val="single"/>
                  <w:lang w:val="en-US"/>
                </w:rPr>
                <w:t>m.vranic@mps.vladars.rs</w:t>
              </w:r>
            </w:hyperlink>
            <w:r w:rsidRPr="00457BCB">
              <w:rPr>
                <w:rFonts w:ascii="Calibri" w:hAnsi="Calibri"/>
                <w:color w:val="000000"/>
                <w:sz w:val="20"/>
                <w:szCs w:val="20"/>
                <w:lang w:val="en-US"/>
              </w:rPr>
              <w:t xml:space="preserve"> </w:t>
            </w:r>
          </w:p>
          <w:p w14:paraId="1503DD9A" w14:textId="77777777" w:rsidR="00094D4C" w:rsidRPr="00457BCB" w:rsidRDefault="00094D4C" w:rsidP="00A5744A">
            <w:pPr>
              <w:spacing w:after="60"/>
              <w:jc w:val="both"/>
              <w:rPr>
                <w:rFonts w:ascii="Calibri" w:hAnsi="Calibri"/>
                <w:color w:val="000000"/>
                <w:sz w:val="20"/>
                <w:szCs w:val="20"/>
                <w:lang w:val="en-US"/>
              </w:rPr>
            </w:pPr>
          </w:p>
        </w:tc>
        <w:tc>
          <w:tcPr>
            <w:tcW w:w="818" w:type="dxa"/>
            <w:tcBorders>
              <w:top w:val="single" w:sz="4" w:space="0" w:color="auto"/>
              <w:left w:val="single" w:sz="4" w:space="0" w:color="auto"/>
              <w:bottom w:val="single" w:sz="4" w:space="0" w:color="auto"/>
              <w:right w:val="single" w:sz="4" w:space="0" w:color="auto"/>
            </w:tcBorders>
          </w:tcPr>
          <w:p w14:paraId="50591EA8" w14:textId="77777777" w:rsidR="00094D4C" w:rsidRPr="00457BCB" w:rsidRDefault="00094D4C" w:rsidP="00A5744A">
            <w:pPr>
              <w:rPr>
                <w:rFonts w:ascii="Calibri" w:hAnsi="Calibri"/>
                <w:lang w:val="en-US"/>
              </w:rPr>
            </w:pPr>
            <w:r w:rsidRPr="00457BCB">
              <w:rPr>
                <w:rFonts w:ascii="Calibri" w:hAnsi="Calibri"/>
                <w:lang w:val="en-US"/>
              </w:rPr>
              <w:t>M</w:t>
            </w:r>
          </w:p>
        </w:tc>
      </w:tr>
      <w:tr w:rsidR="00094D4C" w:rsidRPr="00F569AE" w14:paraId="7A6AA5CD"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61B8C4E5"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Alma</w:t>
            </w:r>
          </w:p>
        </w:tc>
        <w:tc>
          <w:tcPr>
            <w:tcW w:w="0" w:type="auto"/>
            <w:tcMar>
              <w:top w:w="0" w:type="dxa"/>
              <w:left w:w="40" w:type="dxa"/>
              <w:bottom w:w="0" w:type="dxa"/>
              <w:right w:w="40" w:type="dxa"/>
            </w:tcMar>
          </w:tcPr>
          <w:p w14:paraId="0866743D" w14:textId="77777777" w:rsidR="00094D4C" w:rsidRPr="00457BCB" w:rsidRDefault="00094D4C" w:rsidP="00A5744A">
            <w:pPr>
              <w:spacing w:after="60"/>
              <w:jc w:val="both"/>
              <w:rPr>
                <w:rFonts w:ascii="Calibri" w:hAnsi="Calibri"/>
                <w:color w:val="000000"/>
                <w:sz w:val="20"/>
                <w:szCs w:val="20"/>
                <w:lang w:val="en-US"/>
              </w:rPr>
            </w:pPr>
            <w:r w:rsidRPr="00457BCB">
              <w:rPr>
                <w:rFonts w:ascii="Calibri" w:hAnsi="Calibri"/>
                <w:color w:val="000000"/>
                <w:sz w:val="20"/>
                <w:szCs w:val="20"/>
                <w:lang w:val="en-US"/>
              </w:rPr>
              <w:t>Imamović</w:t>
            </w:r>
          </w:p>
        </w:tc>
        <w:tc>
          <w:tcPr>
            <w:tcW w:w="0" w:type="auto"/>
            <w:tcMar>
              <w:top w:w="0" w:type="dxa"/>
              <w:left w:w="40" w:type="dxa"/>
              <w:bottom w:w="0" w:type="dxa"/>
              <w:right w:w="40" w:type="dxa"/>
            </w:tcMar>
          </w:tcPr>
          <w:p w14:paraId="5D8602FA" w14:textId="77777777" w:rsidR="00094D4C" w:rsidRPr="00457BCB" w:rsidRDefault="00094D4C" w:rsidP="00A5744A">
            <w:pPr>
              <w:rPr>
                <w:rFonts w:ascii="Calibri" w:hAnsi="Calibri"/>
                <w:sz w:val="20"/>
                <w:szCs w:val="20"/>
                <w:lang w:val="en-US"/>
              </w:rPr>
            </w:pPr>
            <w:r w:rsidRPr="00457BCB">
              <w:rPr>
                <w:rFonts w:ascii="Calibri" w:hAnsi="Calibri"/>
                <w:color w:val="000000"/>
                <w:sz w:val="20"/>
                <w:szCs w:val="20"/>
                <w:lang w:val="en-US"/>
              </w:rPr>
              <w:t>Assistant Minister, water sector</w:t>
            </w:r>
          </w:p>
        </w:tc>
        <w:tc>
          <w:tcPr>
            <w:tcW w:w="3604" w:type="dxa"/>
            <w:tcMar>
              <w:top w:w="0" w:type="dxa"/>
              <w:left w:w="40" w:type="dxa"/>
              <w:bottom w:w="0" w:type="dxa"/>
              <w:right w:w="40" w:type="dxa"/>
            </w:tcMar>
          </w:tcPr>
          <w:p w14:paraId="792D2136"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FBiH Ministry of Agriculture, Water Management, and Forestry </w:t>
            </w:r>
          </w:p>
        </w:tc>
        <w:tc>
          <w:tcPr>
            <w:tcW w:w="3330" w:type="dxa"/>
            <w:tcBorders>
              <w:right w:val="single" w:sz="4" w:space="0" w:color="auto"/>
            </w:tcBorders>
            <w:tcMar>
              <w:top w:w="0" w:type="dxa"/>
              <w:left w:w="40" w:type="dxa"/>
              <w:bottom w:w="0" w:type="dxa"/>
              <w:right w:w="40" w:type="dxa"/>
            </w:tcMar>
          </w:tcPr>
          <w:p w14:paraId="53600023" w14:textId="77777777" w:rsidR="00094D4C" w:rsidRPr="00457BCB" w:rsidRDefault="00094D4C" w:rsidP="00A5744A">
            <w:pPr>
              <w:spacing w:after="60"/>
              <w:jc w:val="both"/>
              <w:rPr>
                <w:rFonts w:ascii="Calibri" w:hAnsi="Calibri"/>
                <w:color w:val="000000"/>
                <w:sz w:val="20"/>
                <w:szCs w:val="20"/>
                <w:lang w:val="en-US"/>
              </w:rPr>
            </w:pPr>
            <w:hyperlink r:id="rId94">
              <w:r w:rsidRPr="00457BCB">
                <w:rPr>
                  <w:rFonts w:ascii="Calibri" w:hAnsi="Calibri"/>
                  <w:color w:val="0563C1"/>
                  <w:sz w:val="20"/>
                  <w:szCs w:val="20"/>
                  <w:u w:val="single"/>
                  <w:lang w:val="en-US"/>
                </w:rPr>
                <w:t>alma.imamovic@fmpvs.gov.ba</w:t>
              </w:r>
            </w:hyperlink>
          </w:p>
        </w:tc>
        <w:tc>
          <w:tcPr>
            <w:tcW w:w="818" w:type="dxa"/>
            <w:tcBorders>
              <w:top w:val="single" w:sz="4" w:space="0" w:color="auto"/>
              <w:left w:val="single" w:sz="4" w:space="0" w:color="auto"/>
              <w:bottom w:val="single" w:sz="4" w:space="0" w:color="auto"/>
              <w:right w:val="single" w:sz="4" w:space="0" w:color="auto"/>
            </w:tcBorders>
          </w:tcPr>
          <w:p w14:paraId="24F231BB" w14:textId="77777777" w:rsidR="00094D4C" w:rsidRPr="00457BCB" w:rsidRDefault="00094D4C" w:rsidP="00A5744A">
            <w:pPr>
              <w:spacing w:after="60"/>
              <w:jc w:val="both"/>
              <w:rPr>
                <w:rFonts w:ascii="Calibri" w:hAnsi="Calibri"/>
                <w:lang w:val="en-US"/>
              </w:rPr>
            </w:pPr>
            <w:r w:rsidRPr="00457BCB">
              <w:rPr>
                <w:rFonts w:ascii="Calibri" w:hAnsi="Calibri"/>
                <w:lang w:val="en-US"/>
              </w:rPr>
              <w:t>F</w:t>
            </w:r>
          </w:p>
        </w:tc>
      </w:tr>
      <w:tr w:rsidR="00094D4C" w:rsidRPr="00F569AE" w14:paraId="6CB5E4C7"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6867A5A0"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Kenan</w:t>
            </w:r>
          </w:p>
        </w:tc>
        <w:tc>
          <w:tcPr>
            <w:tcW w:w="0" w:type="auto"/>
            <w:tcMar>
              <w:top w:w="0" w:type="dxa"/>
              <w:left w:w="40" w:type="dxa"/>
              <w:bottom w:w="0" w:type="dxa"/>
              <w:right w:w="40" w:type="dxa"/>
            </w:tcMar>
          </w:tcPr>
          <w:p w14:paraId="6B49EA93" w14:textId="77777777" w:rsidR="00094D4C" w:rsidRPr="00457BCB" w:rsidRDefault="00094D4C" w:rsidP="00A5744A">
            <w:pPr>
              <w:spacing w:after="60"/>
              <w:jc w:val="both"/>
              <w:rPr>
                <w:rFonts w:ascii="Calibri" w:hAnsi="Calibri"/>
                <w:color w:val="000000"/>
                <w:sz w:val="20"/>
                <w:szCs w:val="20"/>
                <w:lang w:val="en-US"/>
              </w:rPr>
            </w:pPr>
            <w:r w:rsidRPr="00457BCB">
              <w:rPr>
                <w:rFonts w:ascii="Calibri" w:hAnsi="Calibri"/>
                <w:color w:val="000000"/>
                <w:sz w:val="20"/>
                <w:szCs w:val="20"/>
                <w:lang w:val="en-US"/>
              </w:rPr>
              <w:t>Avdagić</w:t>
            </w:r>
          </w:p>
        </w:tc>
        <w:tc>
          <w:tcPr>
            <w:tcW w:w="0" w:type="auto"/>
            <w:tcMar>
              <w:top w:w="0" w:type="dxa"/>
              <w:left w:w="40" w:type="dxa"/>
              <w:bottom w:w="0" w:type="dxa"/>
              <w:right w:w="40" w:type="dxa"/>
            </w:tcMar>
          </w:tcPr>
          <w:p w14:paraId="0DB9087C" w14:textId="77777777" w:rsidR="00094D4C" w:rsidRPr="00457BCB" w:rsidRDefault="00094D4C" w:rsidP="00A5744A">
            <w:pPr>
              <w:rPr>
                <w:rFonts w:ascii="Calibri" w:hAnsi="Calibri"/>
                <w:sz w:val="20"/>
                <w:szCs w:val="20"/>
                <w:lang w:val="en-US"/>
              </w:rPr>
            </w:pPr>
            <w:r w:rsidRPr="00457BCB">
              <w:rPr>
                <w:rFonts w:ascii="Calibri" w:hAnsi="Calibri"/>
                <w:color w:val="000000"/>
                <w:sz w:val="20"/>
                <w:szCs w:val="20"/>
                <w:lang w:val="en-US"/>
              </w:rPr>
              <w:t>Expert Adviser for Public Administration Reform</w:t>
            </w:r>
          </w:p>
        </w:tc>
        <w:tc>
          <w:tcPr>
            <w:tcW w:w="3604" w:type="dxa"/>
            <w:tcMar>
              <w:top w:w="0" w:type="dxa"/>
              <w:left w:w="40" w:type="dxa"/>
              <w:bottom w:w="0" w:type="dxa"/>
              <w:right w:w="40" w:type="dxa"/>
            </w:tcMar>
          </w:tcPr>
          <w:p w14:paraId="0E8732EC" w14:textId="77777777" w:rsidR="00094D4C" w:rsidRPr="00457BCB" w:rsidRDefault="00094D4C" w:rsidP="00A5744A">
            <w:pPr>
              <w:rPr>
                <w:rFonts w:ascii="Calibri" w:hAnsi="Calibri"/>
                <w:color w:val="000000"/>
                <w:sz w:val="20"/>
                <w:szCs w:val="20"/>
                <w:lang w:val="en-US"/>
              </w:rPr>
            </w:pPr>
            <w:r w:rsidRPr="00457BCB">
              <w:rPr>
                <w:rFonts w:ascii="Calibri" w:hAnsi="Calibri"/>
                <w:sz w:val="20"/>
                <w:szCs w:val="20"/>
                <w:lang w:val="en-US"/>
              </w:rPr>
              <w:t>BIH Public Administration Reform Coordinator’s Office (</w:t>
            </w:r>
            <w:r w:rsidRPr="00457BCB">
              <w:rPr>
                <w:rFonts w:ascii="Calibri" w:hAnsi="Calibri"/>
                <w:color w:val="000000"/>
                <w:sz w:val="20"/>
                <w:szCs w:val="20"/>
                <w:lang w:val="en-US"/>
              </w:rPr>
              <w:t xml:space="preserve">PARCO) </w:t>
            </w:r>
          </w:p>
        </w:tc>
        <w:tc>
          <w:tcPr>
            <w:tcW w:w="3330" w:type="dxa"/>
            <w:tcBorders>
              <w:right w:val="single" w:sz="4" w:space="0" w:color="auto"/>
            </w:tcBorders>
            <w:tcMar>
              <w:top w:w="0" w:type="dxa"/>
              <w:left w:w="40" w:type="dxa"/>
              <w:bottom w:w="0" w:type="dxa"/>
              <w:right w:w="40" w:type="dxa"/>
            </w:tcMar>
          </w:tcPr>
          <w:p w14:paraId="73B95236" w14:textId="77777777" w:rsidR="00094D4C" w:rsidRPr="00457BCB" w:rsidRDefault="00094D4C" w:rsidP="00A5744A">
            <w:pPr>
              <w:spacing w:after="60"/>
              <w:jc w:val="both"/>
              <w:rPr>
                <w:rFonts w:ascii="Calibri" w:hAnsi="Calibri"/>
                <w:color w:val="000000"/>
                <w:sz w:val="20"/>
                <w:szCs w:val="20"/>
                <w:lang w:val="en-US"/>
              </w:rPr>
            </w:pPr>
            <w:hyperlink r:id="rId95">
              <w:r w:rsidRPr="00457BCB">
                <w:rPr>
                  <w:rFonts w:ascii="Calibri" w:hAnsi="Calibri"/>
                  <w:color w:val="0563C1"/>
                  <w:sz w:val="20"/>
                  <w:szCs w:val="20"/>
                  <w:u w:val="single"/>
                  <w:lang w:val="en-US"/>
                </w:rPr>
                <w:t>kenan.avdagic@parco.gov.ba</w:t>
              </w:r>
            </w:hyperlink>
          </w:p>
        </w:tc>
        <w:tc>
          <w:tcPr>
            <w:tcW w:w="818" w:type="dxa"/>
            <w:tcBorders>
              <w:top w:val="single" w:sz="4" w:space="0" w:color="auto"/>
              <w:left w:val="single" w:sz="4" w:space="0" w:color="auto"/>
              <w:bottom w:val="single" w:sz="4" w:space="0" w:color="auto"/>
              <w:right w:val="single" w:sz="4" w:space="0" w:color="auto"/>
            </w:tcBorders>
          </w:tcPr>
          <w:p w14:paraId="2793D096" w14:textId="77777777" w:rsidR="00094D4C" w:rsidRPr="00457BCB" w:rsidRDefault="00094D4C" w:rsidP="00A5744A">
            <w:pPr>
              <w:spacing w:after="60"/>
              <w:jc w:val="both"/>
              <w:rPr>
                <w:rFonts w:ascii="Calibri" w:hAnsi="Calibri"/>
                <w:lang w:val="en-US"/>
              </w:rPr>
            </w:pPr>
            <w:r w:rsidRPr="00457BCB">
              <w:rPr>
                <w:rFonts w:ascii="Calibri" w:hAnsi="Calibri"/>
                <w:lang w:val="en-US"/>
              </w:rPr>
              <w:t>M</w:t>
            </w:r>
          </w:p>
        </w:tc>
      </w:tr>
      <w:tr w:rsidR="00F20327" w:rsidRPr="00F569AE" w14:paraId="1AA1B7DF"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2669419C" w14:textId="77777777" w:rsidR="00F20327" w:rsidRPr="00457BCB" w:rsidRDefault="00F20327" w:rsidP="00F20327">
            <w:pPr>
              <w:rPr>
                <w:rFonts w:ascii="Calibri" w:hAnsi="Calibri"/>
                <w:color w:val="000000"/>
                <w:sz w:val="20"/>
                <w:szCs w:val="20"/>
                <w:lang w:val="en-US"/>
              </w:rPr>
            </w:pPr>
            <w:r w:rsidRPr="00457BCB">
              <w:rPr>
                <w:rFonts w:ascii="Calibri" w:hAnsi="Calibri"/>
                <w:color w:val="000000"/>
                <w:sz w:val="20"/>
                <w:szCs w:val="20"/>
                <w:lang w:val="en-US"/>
              </w:rPr>
              <w:lastRenderedPageBreak/>
              <w:t xml:space="preserve">Dalibor </w:t>
            </w:r>
          </w:p>
          <w:p w14:paraId="0BD3CF22" w14:textId="77777777" w:rsidR="00F20327" w:rsidRPr="00457BCB" w:rsidRDefault="00F20327" w:rsidP="00A5744A">
            <w:pPr>
              <w:rPr>
                <w:rFonts w:ascii="Calibri" w:hAnsi="Calibri"/>
                <w:color w:val="000000"/>
                <w:sz w:val="20"/>
                <w:szCs w:val="20"/>
                <w:lang w:val="en-US"/>
              </w:rPr>
            </w:pPr>
          </w:p>
        </w:tc>
        <w:tc>
          <w:tcPr>
            <w:tcW w:w="0" w:type="auto"/>
            <w:tcMar>
              <w:top w:w="0" w:type="dxa"/>
              <w:left w:w="40" w:type="dxa"/>
              <w:bottom w:w="0" w:type="dxa"/>
              <w:right w:w="40" w:type="dxa"/>
            </w:tcMar>
          </w:tcPr>
          <w:p w14:paraId="75841285" w14:textId="77777777" w:rsidR="00F20327" w:rsidRPr="00457BCB" w:rsidRDefault="00F20327" w:rsidP="00F20327">
            <w:pPr>
              <w:rPr>
                <w:rFonts w:ascii="Calibri" w:hAnsi="Calibri"/>
                <w:sz w:val="20"/>
                <w:szCs w:val="20"/>
                <w:lang w:val="en-US"/>
              </w:rPr>
            </w:pPr>
            <w:r w:rsidRPr="00457BCB">
              <w:rPr>
                <w:rFonts w:ascii="Calibri" w:hAnsi="Calibri"/>
                <w:sz w:val="20"/>
                <w:szCs w:val="20"/>
                <w:lang w:val="en-US"/>
              </w:rPr>
              <w:t>Ćopić</w:t>
            </w:r>
          </w:p>
          <w:p w14:paraId="57BDF756" w14:textId="77777777" w:rsidR="00F20327" w:rsidRPr="00457BCB" w:rsidRDefault="00F20327" w:rsidP="00A5744A">
            <w:pPr>
              <w:spacing w:after="60"/>
              <w:jc w:val="both"/>
              <w:rPr>
                <w:rFonts w:ascii="Calibri" w:hAnsi="Calibri"/>
                <w:color w:val="000000"/>
                <w:sz w:val="20"/>
                <w:szCs w:val="20"/>
                <w:lang w:val="en-US"/>
              </w:rPr>
            </w:pPr>
          </w:p>
        </w:tc>
        <w:tc>
          <w:tcPr>
            <w:tcW w:w="0" w:type="auto"/>
            <w:tcMar>
              <w:top w:w="0" w:type="dxa"/>
              <w:left w:w="40" w:type="dxa"/>
              <w:bottom w:w="0" w:type="dxa"/>
              <w:right w:w="40" w:type="dxa"/>
            </w:tcMar>
          </w:tcPr>
          <w:p w14:paraId="2DC6751F" w14:textId="4318A21F" w:rsidR="00F20327" w:rsidRPr="00457BCB" w:rsidRDefault="00F20327" w:rsidP="00A5744A">
            <w:pPr>
              <w:rPr>
                <w:rFonts w:ascii="Calibri" w:hAnsi="Calibri"/>
                <w:color w:val="000000"/>
                <w:sz w:val="20"/>
                <w:szCs w:val="20"/>
                <w:lang w:val="en-US"/>
              </w:rPr>
            </w:pPr>
            <w:r w:rsidRPr="00457BCB">
              <w:rPr>
                <w:rFonts w:ascii="Calibri" w:hAnsi="Calibri"/>
                <w:color w:val="000000"/>
                <w:sz w:val="20"/>
                <w:szCs w:val="20"/>
                <w:lang w:val="en-US"/>
              </w:rPr>
              <w:t>Head of Department for training, administrative service improvement and analytics</w:t>
            </w:r>
          </w:p>
        </w:tc>
        <w:tc>
          <w:tcPr>
            <w:tcW w:w="3604" w:type="dxa"/>
            <w:tcMar>
              <w:top w:w="0" w:type="dxa"/>
              <w:left w:w="40" w:type="dxa"/>
              <w:bottom w:w="0" w:type="dxa"/>
              <w:right w:w="40" w:type="dxa"/>
            </w:tcMar>
          </w:tcPr>
          <w:p w14:paraId="31880473" w14:textId="01B27AFD" w:rsidR="00F20327" w:rsidRPr="00457BCB" w:rsidRDefault="00F20327" w:rsidP="00A5744A">
            <w:pPr>
              <w:rPr>
                <w:rFonts w:ascii="Calibri" w:hAnsi="Calibri"/>
                <w:sz w:val="20"/>
                <w:szCs w:val="20"/>
                <w:lang w:val="en-US"/>
              </w:rPr>
            </w:pPr>
            <w:r w:rsidRPr="00457BCB">
              <w:rPr>
                <w:rFonts w:ascii="Calibri" w:hAnsi="Calibri"/>
                <w:color w:val="000000"/>
                <w:sz w:val="20"/>
                <w:szCs w:val="20"/>
                <w:lang w:val="en-US"/>
              </w:rPr>
              <w:t>RS Agency for Public Administration</w:t>
            </w:r>
          </w:p>
        </w:tc>
        <w:tc>
          <w:tcPr>
            <w:tcW w:w="3330" w:type="dxa"/>
            <w:tcBorders>
              <w:right w:val="single" w:sz="4" w:space="0" w:color="auto"/>
            </w:tcBorders>
            <w:tcMar>
              <w:top w:w="0" w:type="dxa"/>
              <w:left w:w="40" w:type="dxa"/>
              <w:bottom w:w="0" w:type="dxa"/>
              <w:right w:w="40" w:type="dxa"/>
            </w:tcMar>
          </w:tcPr>
          <w:p w14:paraId="7B442C76" w14:textId="77777777" w:rsidR="00F20327" w:rsidRPr="00457BCB" w:rsidRDefault="00F20327" w:rsidP="00F20327">
            <w:pPr>
              <w:rPr>
                <w:rFonts w:ascii="Calibri" w:hAnsi="Calibri"/>
                <w:color w:val="000000"/>
                <w:sz w:val="20"/>
                <w:szCs w:val="20"/>
                <w:lang w:val="en-US"/>
              </w:rPr>
            </w:pPr>
            <w:hyperlink r:id="rId96">
              <w:r w:rsidRPr="00457BCB">
                <w:rPr>
                  <w:rFonts w:ascii="Calibri" w:hAnsi="Calibri"/>
                  <w:color w:val="0563C1"/>
                  <w:sz w:val="20"/>
                  <w:szCs w:val="20"/>
                  <w:u w:val="single"/>
                  <w:lang w:val="en-US"/>
                </w:rPr>
                <w:t>d.copic@adu.vladars.rs</w:t>
              </w:r>
            </w:hyperlink>
            <w:r w:rsidRPr="00457BCB">
              <w:rPr>
                <w:rFonts w:ascii="Calibri" w:hAnsi="Calibri"/>
                <w:color w:val="000000"/>
                <w:sz w:val="20"/>
                <w:szCs w:val="20"/>
                <w:lang w:val="en-US"/>
              </w:rPr>
              <w:t xml:space="preserve"> </w:t>
            </w:r>
          </w:p>
          <w:p w14:paraId="4A1F6F9E" w14:textId="77777777" w:rsidR="00F20327" w:rsidRPr="00457BCB" w:rsidRDefault="00F20327" w:rsidP="00A5744A">
            <w:pPr>
              <w:spacing w:after="60"/>
              <w:jc w:val="both"/>
              <w:rPr>
                <w:lang w:val="en-US"/>
              </w:rPr>
            </w:pPr>
          </w:p>
        </w:tc>
        <w:tc>
          <w:tcPr>
            <w:tcW w:w="818" w:type="dxa"/>
            <w:tcBorders>
              <w:top w:val="single" w:sz="4" w:space="0" w:color="auto"/>
              <w:left w:val="single" w:sz="4" w:space="0" w:color="auto"/>
              <w:bottom w:val="single" w:sz="4" w:space="0" w:color="auto"/>
              <w:right w:val="single" w:sz="4" w:space="0" w:color="auto"/>
            </w:tcBorders>
          </w:tcPr>
          <w:p w14:paraId="2CB999D8" w14:textId="77777777" w:rsidR="00F20327" w:rsidRPr="00457BCB" w:rsidRDefault="00F20327" w:rsidP="00F20327">
            <w:pPr>
              <w:rPr>
                <w:rFonts w:ascii="Calibri" w:hAnsi="Calibri"/>
                <w:sz w:val="20"/>
                <w:szCs w:val="20"/>
                <w:lang w:val="en-US"/>
              </w:rPr>
            </w:pPr>
            <w:r w:rsidRPr="00457BCB">
              <w:rPr>
                <w:rFonts w:ascii="Calibri" w:hAnsi="Calibri"/>
                <w:sz w:val="20"/>
                <w:szCs w:val="20"/>
                <w:lang w:val="en-US"/>
              </w:rPr>
              <w:t>M</w:t>
            </w:r>
          </w:p>
          <w:p w14:paraId="3309D0F3" w14:textId="77777777" w:rsidR="00F20327" w:rsidRPr="00457BCB" w:rsidRDefault="00F20327" w:rsidP="00A5744A">
            <w:pPr>
              <w:spacing w:after="60"/>
              <w:jc w:val="both"/>
              <w:rPr>
                <w:rFonts w:ascii="Calibri" w:hAnsi="Calibri"/>
                <w:lang w:val="en-US"/>
              </w:rPr>
            </w:pPr>
          </w:p>
        </w:tc>
      </w:tr>
      <w:tr w:rsidR="00094D4C" w:rsidRPr="00F569AE" w14:paraId="1403A46F"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14490FF6"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Sanja </w:t>
            </w:r>
          </w:p>
        </w:tc>
        <w:tc>
          <w:tcPr>
            <w:tcW w:w="0" w:type="auto"/>
            <w:tcMar>
              <w:top w:w="0" w:type="dxa"/>
              <w:left w:w="40" w:type="dxa"/>
              <w:bottom w:w="0" w:type="dxa"/>
              <w:right w:w="40" w:type="dxa"/>
            </w:tcMar>
          </w:tcPr>
          <w:p w14:paraId="6496F74E" w14:textId="77777777" w:rsidR="00094D4C" w:rsidRPr="00457BCB" w:rsidRDefault="00094D4C" w:rsidP="00A5744A">
            <w:pPr>
              <w:rPr>
                <w:rFonts w:ascii="Calibri" w:hAnsi="Calibri"/>
                <w:sz w:val="20"/>
                <w:szCs w:val="20"/>
                <w:lang w:val="en-US"/>
              </w:rPr>
            </w:pPr>
            <w:r w:rsidRPr="00457BCB">
              <w:rPr>
                <w:rFonts w:ascii="Calibri" w:hAnsi="Calibri"/>
                <w:sz w:val="20"/>
                <w:szCs w:val="20"/>
                <w:lang w:val="en-US"/>
              </w:rPr>
              <w:t>Taisić</w:t>
            </w:r>
          </w:p>
        </w:tc>
        <w:tc>
          <w:tcPr>
            <w:tcW w:w="0" w:type="auto"/>
            <w:tcMar>
              <w:top w:w="0" w:type="dxa"/>
              <w:left w:w="40" w:type="dxa"/>
              <w:bottom w:w="0" w:type="dxa"/>
              <w:right w:w="40" w:type="dxa"/>
            </w:tcMar>
          </w:tcPr>
          <w:p w14:paraId="0E9A5523"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Head of Department for training, administrative service improvement and analytics</w:t>
            </w:r>
          </w:p>
        </w:tc>
        <w:tc>
          <w:tcPr>
            <w:tcW w:w="3604" w:type="dxa"/>
            <w:tcMar>
              <w:top w:w="0" w:type="dxa"/>
              <w:left w:w="40" w:type="dxa"/>
              <w:bottom w:w="0" w:type="dxa"/>
              <w:right w:w="40" w:type="dxa"/>
            </w:tcMar>
          </w:tcPr>
          <w:p w14:paraId="51C0E579"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RS Agency for Public Administration </w:t>
            </w:r>
          </w:p>
        </w:tc>
        <w:tc>
          <w:tcPr>
            <w:tcW w:w="3330" w:type="dxa"/>
            <w:tcBorders>
              <w:right w:val="single" w:sz="4" w:space="0" w:color="auto"/>
            </w:tcBorders>
            <w:tcMar>
              <w:top w:w="0" w:type="dxa"/>
              <w:left w:w="40" w:type="dxa"/>
              <w:bottom w:w="0" w:type="dxa"/>
              <w:right w:w="40" w:type="dxa"/>
            </w:tcMar>
          </w:tcPr>
          <w:p w14:paraId="03D178AC" w14:textId="77777777" w:rsidR="00094D4C" w:rsidRPr="00457BCB" w:rsidRDefault="00094D4C" w:rsidP="00F20327">
            <w:pPr>
              <w:rPr>
                <w:rFonts w:ascii="Calibri" w:hAnsi="Calibri"/>
                <w:color w:val="000000"/>
                <w:sz w:val="20"/>
                <w:szCs w:val="20"/>
                <w:lang w:val="en-US"/>
              </w:rPr>
            </w:pPr>
          </w:p>
        </w:tc>
        <w:tc>
          <w:tcPr>
            <w:tcW w:w="818" w:type="dxa"/>
            <w:tcBorders>
              <w:top w:val="single" w:sz="4" w:space="0" w:color="auto"/>
              <w:left w:val="single" w:sz="4" w:space="0" w:color="auto"/>
              <w:bottom w:val="single" w:sz="4" w:space="0" w:color="auto"/>
              <w:right w:val="single" w:sz="4" w:space="0" w:color="auto"/>
            </w:tcBorders>
          </w:tcPr>
          <w:p w14:paraId="5BA9969B" w14:textId="77777777" w:rsidR="00094D4C" w:rsidRPr="00457BCB" w:rsidRDefault="00094D4C" w:rsidP="00A5744A">
            <w:pPr>
              <w:rPr>
                <w:rFonts w:ascii="Calibri" w:hAnsi="Calibri"/>
                <w:sz w:val="20"/>
                <w:szCs w:val="20"/>
                <w:lang w:val="en-US"/>
              </w:rPr>
            </w:pPr>
            <w:r w:rsidRPr="00457BCB">
              <w:rPr>
                <w:rFonts w:ascii="Calibri" w:hAnsi="Calibri"/>
                <w:sz w:val="20"/>
                <w:szCs w:val="20"/>
                <w:lang w:val="en-US"/>
              </w:rPr>
              <w:t>F</w:t>
            </w:r>
          </w:p>
        </w:tc>
      </w:tr>
      <w:tr w:rsidR="00094D4C" w:rsidRPr="00F569AE" w14:paraId="52E68D21"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6AC7EDEB"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Branislav </w:t>
            </w:r>
          </w:p>
        </w:tc>
        <w:tc>
          <w:tcPr>
            <w:tcW w:w="0" w:type="auto"/>
            <w:tcMar>
              <w:top w:w="0" w:type="dxa"/>
              <w:left w:w="40" w:type="dxa"/>
              <w:bottom w:w="0" w:type="dxa"/>
              <w:right w:w="40" w:type="dxa"/>
            </w:tcMar>
          </w:tcPr>
          <w:p w14:paraId="12FF4809" w14:textId="77777777" w:rsidR="00094D4C" w:rsidRPr="00457BCB" w:rsidRDefault="00094D4C" w:rsidP="00A5744A">
            <w:pPr>
              <w:spacing w:after="60"/>
              <w:jc w:val="both"/>
              <w:rPr>
                <w:rFonts w:ascii="Calibri" w:hAnsi="Calibri"/>
                <w:color w:val="000000"/>
                <w:sz w:val="20"/>
                <w:szCs w:val="20"/>
                <w:lang w:val="en-US"/>
              </w:rPr>
            </w:pPr>
            <w:r w:rsidRPr="00457BCB">
              <w:rPr>
                <w:rFonts w:ascii="Calibri" w:hAnsi="Calibri"/>
                <w:color w:val="000000"/>
                <w:sz w:val="20"/>
                <w:szCs w:val="20"/>
                <w:lang w:val="en-US"/>
              </w:rPr>
              <w:t>Samardžić</w:t>
            </w:r>
          </w:p>
        </w:tc>
        <w:tc>
          <w:tcPr>
            <w:tcW w:w="0" w:type="auto"/>
            <w:tcMar>
              <w:top w:w="0" w:type="dxa"/>
              <w:left w:w="40" w:type="dxa"/>
              <w:bottom w:w="0" w:type="dxa"/>
              <w:right w:w="40" w:type="dxa"/>
            </w:tcMar>
          </w:tcPr>
          <w:p w14:paraId="667B37E4"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Secretary General</w:t>
            </w:r>
          </w:p>
        </w:tc>
        <w:tc>
          <w:tcPr>
            <w:tcW w:w="3604" w:type="dxa"/>
            <w:tcMar>
              <w:top w:w="0" w:type="dxa"/>
              <w:left w:w="40" w:type="dxa"/>
              <w:bottom w:w="0" w:type="dxa"/>
              <w:right w:w="40" w:type="dxa"/>
            </w:tcMar>
          </w:tcPr>
          <w:p w14:paraId="201C0FA1"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Association of Municipalities and Cities RS</w:t>
            </w:r>
          </w:p>
        </w:tc>
        <w:tc>
          <w:tcPr>
            <w:tcW w:w="3330" w:type="dxa"/>
            <w:tcBorders>
              <w:right w:val="single" w:sz="4" w:space="0" w:color="auto"/>
            </w:tcBorders>
            <w:tcMar>
              <w:top w:w="0" w:type="dxa"/>
              <w:left w:w="40" w:type="dxa"/>
              <w:bottom w:w="0" w:type="dxa"/>
              <w:right w:w="40" w:type="dxa"/>
            </w:tcMar>
          </w:tcPr>
          <w:p w14:paraId="6F90593E" w14:textId="77777777" w:rsidR="00094D4C" w:rsidRPr="00457BCB" w:rsidRDefault="00094D4C" w:rsidP="00A5744A">
            <w:pPr>
              <w:spacing w:after="60"/>
              <w:jc w:val="both"/>
              <w:rPr>
                <w:rFonts w:ascii="Calibri" w:hAnsi="Calibri"/>
                <w:color w:val="000000"/>
                <w:sz w:val="20"/>
                <w:szCs w:val="20"/>
                <w:lang w:val="en-US"/>
              </w:rPr>
            </w:pPr>
            <w:hyperlink r:id="rId97" w:history="1">
              <w:r w:rsidRPr="00457BCB">
                <w:rPr>
                  <w:rStyle w:val="Hyperlink"/>
                  <w:rFonts w:ascii="Calibri" w:hAnsi="Calibri"/>
                  <w:sz w:val="20"/>
                  <w:szCs w:val="20"/>
                  <w:lang w:val="en-US"/>
                </w:rPr>
                <w:t>branislavs@alvrs.com</w:t>
              </w:r>
            </w:hyperlink>
            <w:r w:rsidRPr="00457BCB">
              <w:rPr>
                <w:rFonts w:ascii="Calibri" w:hAnsi="Calibri"/>
                <w:color w:val="000000"/>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0FBCA3DA" w14:textId="77777777" w:rsidR="00094D4C" w:rsidRPr="00457BCB" w:rsidRDefault="00094D4C" w:rsidP="00A5744A">
            <w:pPr>
              <w:spacing w:after="60"/>
              <w:jc w:val="both"/>
              <w:rPr>
                <w:rFonts w:ascii="Calibri" w:hAnsi="Calibri"/>
                <w:lang w:val="en-US"/>
              </w:rPr>
            </w:pPr>
            <w:r w:rsidRPr="00457BCB">
              <w:rPr>
                <w:rFonts w:ascii="Calibri" w:hAnsi="Calibri"/>
                <w:lang w:val="en-US"/>
              </w:rPr>
              <w:t>M</w:t>
            </w:r>
          </w:p>
        </w:tc>
      </w:tr>
      <w:tr w:rsidR="00094D4C" w:rsidRPr="00F569AE" w14:paraId="4AB05EA6"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71C107E6"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Amir</w:t>
            </w:r>
          </w:p>
        </w:tc>
        <w:tc>
          <w:tcPr>
            <w:tcW w:w="0" w:type="auto"/>
            <w:tcMar>
              <w:top w:w="0" w:type="dxa"/>
              <w:left w:w="40" w:type="dxa"/>
              <w:bottom w:w="0" w:type="dxa"/>
              <w:right w:w="40" w:type="dxa"/>
            </w:tcMar>
          </w:tcPr>
          <w:p w14:paraId="1558E563" w14:textId="77777777" w:rsidR="00094D4C" w:rsidRPr="00457BCB" w:rsidRDefault="00094D4C" w:rsidP="00A5744A">
            <w:pPr>
              <w:spacing w:after="60"/>
              <w:jc w:val="both"/>
              <w:rPr>
                <w:rFonts w:ascii="Calibri" w:hAnsi="Calibri"/>
                <w:color w:val="000000"/>
                <w:sz w:val="20"/>
                <w:szCs w:val="20"/>
                <w:lang w:val="en-US"/>
              </w:rPr>
            </w:pPr>
            <w:r w:rsidRPr="00457BCB">
              <w:rPr>
                <w:rFonts w:ascii="Calibri" w:hAnsi="Calibri"/>
                <w:color w:val="000000"/>
                <w:sz w:val="20"/>
                <w:szCs w:val="20"/>
                <w:lang w:val="en-US"/>
              </w:rPr>
              <w:t xml:space="preserve">Kupusija </w:t>
            </w:r>
          </w:p>
        </w:tc>
        <w:tc>
          <w:tcPr>
            <w:tcW w:w="0" w:type="auto"/>
            <w:tcMar>
              <w:top w:w="0" w:type="dxa"/>
              <w:left w:w="40" w:type="dxa"/>
              <w:bottom w:w="0" w:type="dxa"/>
              <w:right w:w="40" w:type="dxa"/>
            </w:tcMar>
          </w:tcPr>
          <w:p w14:paraId="0E64D0EC" w14:textId="77777777" w:rsidR="00094D4C" w:rsidRPr="00457BCB" w:rsidRDefault="00094D4C" w:rsidP="00A5744A">
            <w:pPr>
              <w:rPr>
                <w:rFonts w:ascii="Calibri" w:hAnsi="Calibri"/>
                <w:sz w:val="20"/>
                <w:szCs w:val="20"/>
                <w:lang w:val="en-US"/>
              </w:rPr>
            </w:pPr>
            <w:r w:rsidRPr="00457BCB">
              <w:rPr>
                <w:rFonts w:ascii="Calibri" w:hAnsi="Calibri"/>
                <w:color w:val="000000"/>
                <w:sz w:val="20"/>
                <w:szCs w:val="20"/>
                <w:lang w:val="en-US"/>
              </w:rPr>
              <w:t>Project Manager</w:t>
            </w:r>
          </w:p>
        </w:tc>
        <w:tc>
          <w:tcPr>
            <w:tcW w:w="3604" w:type="dxa"/>
            <w:tcMar>
              <w:top w:w="0" w:type="dxa"/>
              <w:left w:w="40" w:type="dxa"/>
              <w:bottom w:w="0" w:type="dxa"/>
              <w:right w:w="40" w:type="dxa"/>
            </w:tcMar>
          </w:tcPr>
          <w:p w14:paraId="4CAFABED"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Association of Municipalities and Cities FBiH</w:t>
            </w:r>
          </w:p>
        </w:tc>
        <w:tc>
          <w:tcPr>
            <w:tcW w:w="3330" w:type="dxa"/>
            <w:tcBorders>
              <w:right w:val="single" w:sz="4" w:space="0" w:color="auto"/>
            </w:tcBorders>
            <w:tcMar>
              <w:top w:w="0" w:type="dxa"/>
              <w:left w:w="40" w:type="dxa"/>
              <w:bottom w:w="0" w:type="dxa"/>
              <w:right w:w="40" w:type="dxa"/>
            </w:tcMar>
          </w:tcPr>
          <w:p w14:paraId="0A6373CD" w14:textId="77777777" w:rsidR="00094D4C" w:rsidRPr="00457BCB" w:rsidRDefault="00094D4C" w:rsidP="00A5744A">
            <w:pPr>
              <w:rPr>
                <w:rFonts w:ascii="Calibri" w:hAnsi="Calibri"/>
                <w:color w:val="000000"/>
                <w:sz w:val="20"/>
                <w:szCs w:val="20"/>
                <w:lang w:val="en-US"/>
              </w:rPr>
            </w:pPr>
            <w:hyperlink r:id="rId98" w:history="1">
              <w:r w:rsidRPr="00457BCB">
                <w:rPr>
                  <w:rStyle w:val="Hyperlink"/>
                  <w:rFonts w:ascii="Calibri" w:hAnsi="Calibri"/>
                  <w:sz w:val="20"/>
                  <w:szCs w:val="20"/>
                  <w:lang w:val="en-US"/>
                </w:rPr>
                <w:t>Amir@sogfbih.ba</w:t>
              </w:r>
            </w:hyperlink>
            <w:r w:rsidRPr="00457BCB">
              <w:rPr>
                <w:rFonts w:ascii="Calibri" w:hAnsi="Calibri"/>
                <w:color w:val="000000"/>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245E24A4" w14:textId="77777777" w:rsidR="00094D4C" w:rsidRPr="00457BCB" w:rsidRDefault="00094D4C" w:rsidP="00A5744A">
            <w:pPr>
              <w:rPr>
                <w:rFonts w:ascii="Calibri" w:hAnsi="Calibri"/>
                <w:lang w:val="en-US"/>
              </w:rPr>
            </w:pPr>
            <w:r w:rsidRPr="00457BCB">
              <w:rPr>
                <w:rFonts w:ascii="Calibri" w:hAnsi="Calibri"/>
                <w:lang w:val="en-US"/>
              </w:rPr>
              <w:t>M</w:t>
            </w:r>
          </w:p>
        </w:tc>
      </w:tr>
      <w:tr w:rsidR="00094D4C" w:rsidRPr="00F569AE" w14:paraId="45123B3B"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6B2BF38C"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Amila </w:t>
            </w:r>
          </w:p>
        </w:tc>
        <w:tc>
          <w:tcPr>
            <w:tcW w:w="0" w:type="auto"/>
            <w:tcMar>
              <w:top w:w="0" w:type="dxa"/>
              <w:left w:w="40" w:type="dxa"/>
              <w:bottom w:w="0" w:type="dxa"/>
              <w:right w:w="40" w:type="dxa"/>
            </w:tcMar>
          </w:tcPr>
          <w:p w14:paraId="102B3B9F" w14:textId="77777777" w:rsidR="00094D4C" w:rsidRPr="00457BCB" w:rsidRDefault="00094D4C" w:rsidP="00A5744A">
            <w:pPr>
              <w:spacing w:after="60"/>
              <w:jc w:val="both"/>
              <w:rPr>
                <w:rFonts w:ascii="Calibri" w:hAnsi="Calibri"/>
                <w:color w:val="000000"/>
                <w:sz w:val="20"/>
                <w:szCs w:val="20"/>
                <w:lang w:val="en-US"/>
              </w:rPr>
            </w:pPr>
            <w:r w:rsidRPr="00457BCB">
              <w:rPr>
                <w:rFonts w:ascii="Calibri" w:hAnsi="Calibri"/>
                <w:color w:val="000000"/>
                <w:sz w:val="20"/>
                <w:szCs w:val="20"/>
                <w:lang w:val="en-US"/>
              </w:rPr>
              <w:t xml:space="preserve">Ibrulj </w:t>
            </w:r>
          </w:p>
        </w:tc>
        <w:tc>
          <w:tcPr>
            <w:tcW w:w="0" w:type="auto"/>
            <w:tcMar>
              <w:top w:w="0" w:type="dxa"/>
              <w:left w:w="40" w:type="dxa"/>
              <w:bottom w:w="0" w:type="dxa"/>
              <w:right w:w="40" w:type="dxa"/>
            </w:tcMar>
          </w:tcPr>
          <w:p w14:paraId="659AFCAE"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Head of department of water use and protection</w:t>
            </w:r>
          </w:p>
        </w:tc>
        <w:tc>
          <w:tcPr>
            <w:tcW w:w="3604" w:type="dxa"/>
            <w:tcMar>
              <w:top w:w="0" w:type="dxa"/>
              <w:left w:w="40" w:type="dxa"/>
              <w:bottom w:w="0" w:type="dxa"/>
              <w:right w:w="40" w:type="dxa"/>
            </w:tcMar>
          </w:tcPr>
          <w:p w14:paraId="05DC88B7"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Sava River Water Area Agency </w:t>
            </w:r>
          </w:p>
        </w:tc>
        <w:tc>
          <w:tcPr>
            <w:tcW w:w="3330" w:type="dxa"/>
            <w:tcBorders>
              <w:right w:val="single" w:sz="4" w:space="0" w:color="auto"/>
            </w:tcBorders>
            <w:tcMar>
              <w:top w:w="0" w:type="dxa"/>
              <w:left w:w="40" w:type="dxa"/>
              <w:bottom w:w="0" w:type="dxa"/>
              <w:right w:w="40" w:type="dxa"/>
            </w:tcMar>
          </w:tcPr>
          <w:p w14:paraId="78757E5D" w14:textId="77777777" w:rsidR="00094D4C" w:rsidRPr="00457BCB" w:rsidRDefault="00094D4C" w:rsidP="00A5744A">
            <w:pPr>
              <w:rPr>
                <w:rFonts w:ascii="Calibri" w:hAnsi="Calibri"/>
                <w:sz w:val="20"/>
                <w:szCs w:val="20"/>
                <w:lang w:val="en-US"/>
              </w:rPr>
            </w:pPr>
            <w:hyperlink r:id="rId99" w:history="1">
              <w:r w:rsidRPr="00457BCB">
                <w:rPr>
                  <w:rStyle w:val="Hyperlink"/>
                  <w:rFonts w:ascii="Calibri" w:hAnsi="Calibri"/>
                  <w:sz w:val="20"/>
                  <w:szCs w:val="20"/>
                  <w:lang w:val="en-US"/>
                </w:rPr>
                <w:t>amila@voda.ba</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4E7DA43B" w14:textId="77777777" w:rsidR="00094D4C" w:rsidRPr="00457BCB" w:rsidRDefault="00094D4C" w:rsidP="00A5744A">
            <w:pPr>
              <w:rPr>
                <w:rFonts w:ascii="Calibri" w:hAnsi="Calibri"/>
                <w:lang w:val="en-US"/>
              </w:rPr>
            </w:pPr>
            <w:r w:rsidRPr="00457BCB">
              <w:rPr>
                <w:rFonts w:ascii="Calibri" w:hAnsi="Calibri"/>
                <w:lang w:val="en-US"/>
              </w:rPr>
              <w:t>F</w:t>
            </w:r>
          </w:p>
        </w:tc>
      </w:tr>
      <w:tr w:rsidR="00094D4C" w:rsidRPr="00F569AE" w14:paraId="1C674ACD" w14:textId="77777777" w:rsidTr="212A59DF">
        <w:trPr>
          <w:trHeight w:val="300"/>
        </w:trPr>
        <w:tc>
          <w:tcPr>
            <w:tcW w:w="13270" w:type="dxa"/>
            <w:gridSpan w:val="5"/>
            <w:tcBorders>
              <w:left w:val="single" w:sz="12" w:space="0" w:color="000000" w:themeColor="text1"/>
              <w:right w:val="single" w:sz="4" w:space="0" w:color="auto"/>
            </w:tcBorders>
            <w:shd w:val="clear" w:color="auto" w:fill="DAE9F7" w:themeFill="text2" w:themeFillTint="1A"/>
            <w:tcMar>
              <w:top w:w="0" w:type="dxa"/>
              <w:left w:w="40" w:type="dxa"/>
              <w:bottom w:w="0" w:type="dxa"/>
              <w:right w:w="40" w:type="dxa"/>
            </w:tcMar>
            <w:vAlign w:val="bottom"/>
          </w:tcPr>
          <w:p w14:paraId="6777316E" w14:textId="77777777" w:rsidR="00094D4C" w:rsidRPr="00457BCB" w:rsidRDefault="00094D4C" w:rsidP="00A5744A">
            <w:pPr>
              <w:widowControl w:val="0"/>
              <w:spacing w:line="276" w:lineRule="auto"/>
              <w:jc w:val="center"/>
              <w:rPr>
                <w:rFonts w:ascii="Calibri" w:hAnsi="Calibri" w:cs="Calibri"/>
                <w:b/>
                <w:sz w:val="20"/>
                <w:szCs w:val="20"/>
                <w:lang w:val="en-US"/>
              </w:rPr>
            </w:pPr>
            <w:r w:rsidRPr="00457BCB">
              <w:rPr>
                <w:rFonts w:ascii="Calibri" w:hAnsi="Calibri" w:cs="Calibri"/>
                <w:b/>
                <w:sz w:val="20"/>
                <w:szCs w:val="20"/>
                <w:lang w:val="en-US"/>
              </w:rPr>
              <w:t>Donors</w:t>
            </w:r>
          </w:p>
        </w:tc>
        <w:tc>
          <w:tcPr>
            <w:tcW w:w="818"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62B0317C" w14:textId="77777777" w:rsidR="00094D4C" w:rsidRPr="00457BCB" w:rsidRDefault="00094D4C" w:rsidP="00A5744A">
            <w:pPr>
              <w:widowControl w:val="0"/>
              <w:spacing w:line="276" w:lineRule="auto"/>
              <w:jc w:val="center"/>
              <w:rPr>
                <w:rFonts w:ascii="Calibri" w:hAnsi="Calibri" w:cs="Calibri"/>
                <w:b/>
                <w:lang w:val="en-US"/>
              </w:rPr>
            </w:pPr>
          </w:p>
        </w:tc>
      </w:tr>
      <w:tr w:rsidR="00094D4C" w:rsidRPr="00F569AE" w14:paraId="24A097F5"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41AD4B67"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Maja </w:t>
            </w:r>
          </w:p>
        </w:tc>
        <w:tc>
          <w:tcPr>
            <w:tcW w:w="0" w:type="auto"/>
            <w:tcMar>
              <w:top w:w="0" w:type="dxa"/>
              <w:left w:w="40" w:type="dxa"/>
              <w:bottom w:w="0" w:type="dxa"/>
              <w:right w:w="40" w:type="dxa"/>
            </w:tcMar>
            <w:vAlign w:val="bottom"/>
          </w:tcPr>
          <w:p w14:paraId="30327959"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Zaric</w:t>
            </w:r>
          </w:p>
        </w:tc>
        <w:tc>
          <w:tcPr>
            <w:tcW w:w="0" w:type="auto"/>
            <w:tcMar>
              <w:top w:w="0" w:type="dxa"/>
              <w:left w:w="40" w:type="dxa"/>
              <w:bottom w:w="0" w:type="dxa"/>
              <w:right w:w="40" w:type="dxa"/>
            </w:tcMar>
            <w:vAlign w:val="bottom"/>
          </w:tcPr>
          <w:p w14:paraId="1B66176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Head of Portfolio Local Governance and Municipal Services</w:t>
            </w:r>
          </w:p>
        </w:tc>
        <w:tc>
          <w:tcPr>
            <w:tcW w:w="3604" w:type="dxa"/>
            <w:tcMar>
              <w:top w:w="0" w:type="dxa"/>
              <w:left w:w="40" w:type="dxa"/>
              <w:bottom w:w="0" w:type="dxa"/>
              <w:right w:w="40" w:type="dxa"/>
            </w:tcMar>
            <w:vAlign w:val="bottom"/>
          </w:tcPr>
          <w:p w14:paraId="369BF274" w14:textId="77777777" w:rsidR="00094D4C" w:rsidRPr="00457BCB" w:rsidRDefault="00094D4C" w:rsidP="00A5744A">
            <w:pPr>
              <w:rPr>
                <w:rFonts w:ascii="Calibri" w:hAnsi="Calibri" w:cs="Calibri"/>
                <w:sz w:val="20"/>
                <w:szCs w:val="20"/>
                <w:lang w:val="en-US"/>
              </w:rPr>
            </w:pPr>
            <w:r w:rsidRPr="00457BCB">
              <w:rPr>
                <w:rFonts w:ascii="Calibri" w:hAnsi="Calibri" w:cs="Calibri"/>
                <w:sz w:val="20"/>
                <w:szCs w:val="20"/>
                <w:lang w:val="en-US"/>
              </w:rPr>
              <w:t>Government of Switzerland</w:t>
            </w:r>
          </w:p>
          <w:p w14:paraId="17B11C8B" w14:textId="77777777" w:rsidR="00094D4C" w:rsidRPr="00457BCB" w:rsidRDefault="00094D4C" w:rsidP="00A5744A">
            <w:pPr>
              <w:rPr>
                <w:rFonts w:ascii="Calibri" w:hAnsi="Calibri" w:cs="Calibri"/>
                <w:sz w:val="20"/>
                <w:szCs w:val="20"/>
                <w:lang w:val="en-US"/>
              </w:rPr>
            </w:pPr>
          </w:p>
        </w:tc>
        <w:tc>
          <w:tcPr>
            <w:tcW w:w="3330" w:type="dxa"/>
            <w:tcBorders>
              <w:right w:val="single" w:sz="4" w:space="0" w:color="auto"/>
            </w:tcBorders>
            <w:tcMar>
              <w:top w:w="0" w:type="dxa"/>
              <w:left w:w="40" w:type="dxa"/>
              <w:bottom w:w="0" w:type="dxa"/>
              <w:right w:w="40" w:type="dxa"/>
            </w:tcMar>
            <w:vAlign w:val="bottom"/>
          </w:tcPr>
          <w:p w14:paraId="00A0B028" w14:textId="77777777" w:rsidR="00094D4C" w:rsidRPr="00457BCB" w:rsidRDefault="00094D4C" w:rsidP="00A5744A">
            <w:pPr>
              <w:widowControl w:val="0"/>
              <w:spacing w:line="276" w:lineRule="auto"/>
              <w:rPr>
                <w:rFonts w:ascii="Calibri" w:hAnsi="Calibri" w:cs="Calibri"/>
                <w:sz w:val="20"/>
                <w:szCs w:val="20"/>
                <w:lang w:val="en-US"/>
              </w:rPr>
            </w:pPr>
            <w:hyperlink r:id="rId100" w:history="1">
              <w:r w:rsidRPr="00457BCB">
                <w:rPr>
                  <w:rStyle w:val="Hyperlink"/>
                  <w:rFonts w:ascii="Calibri" w:hAnsi="Calibri" w:cs="Calibri"/>
                  <w:sz w:val="20"/>
                  <w:szCs w:val="20"/>
                  <w:lang w:val="en-US"/>
                </w:rPr>
                <w:t>Maja.zaric@eda.admin.ch</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2F928FBA"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095F76B2" w14:textId="77777777" w:rsidTr="212A59DF">
        <w:trPr>
          <w:trHeight w:val="300"/>
        </w:trPr>
        <w:tc>
          <w:tcPr>
            <w:tcW w:w="0" w:type="auto"/>
            <w:tcBorders>
              <w:left w:val="single" w:sz="12" w:space="0" w:color="000000" w:themeColor="text1"/>
            </w:tcBorders>
            <w:tcMar>
              <w:top w:w="0" w:type="dxa"/>
              <w:left w:w="40" w:type="dxa"/>
              <w:bottom w:w="0" w:type="dxa"/>
              <w:right w:w="40" w:type="dxa"/>
            </w:tcMar>
            <w:vAlign w:val="bottom"/>
          </w:tcPr>
          <w:p w14:paraId="3FF258A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Boško</w:t>
            </w:r>
          </w:p>
        </w:tc>
        <w:tc>
          <w:tcPr>
            <w:tcW w:w="0" w:type="auto"/>
            <w:tcMar>
              <w:top w:w="0" w:type="dxa"/>
              <w:left w:w="40" w:type="dxa"/>
              <w:bottom w:w="0" w:type="dxa"/>
              <w:right w:w="40" w:type="dxa"/>
            </w:tcMar>
            <w:vAlign w:val="bottom"/>
          </w:tcPr>
          <w:p w14:paraId="4F3EC05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Kenjić</w:t>
            </w:r>
          </w:p>
        </w:tc>
        <w:tc>
          <w:tcPr>
            <w:tcW w:w="0" w:type="auto"/>
            <w:tcMar>
              <w:top w:w="0" w:type="dxa"/>
              <w:left w:w="40" w:type="dxa"/>
              <w:bottom w:w="0" w:type="dxa"/>
              <w:right w:w="40" w:type="dxa"/>
            </w:tcMar>
            <w:vAlign w:val="bottom"/>
          </w:tcPr>
          <w:p w14:paraId="3564988D"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Senior Program Officer</w:t>
            </w:r>
          </w:p>
        </w:tc>
        <w:tc>
          <w:tcPr>
            <w:tcW w:w="3604" w:type="dxa"/>
            <w:tcMar>
              <w:top w:w="0" w:type="dxa"/>
              <w:left w:w="40" w:type="dxa"/>
              <w:bottom w:w="0" w:type="dxa"/>
              <w:right w:w="40" w:type="dxa"/>
            </w:tcMar>
            <w:vAlign w:val="bottom"/>
          </w:tcPr>
          <w:p w14:paraId="6F3D2ABE" w14:textId="77777777" w:rsidR="00094D4C" w:rsidRPr="00457BCB" w:rsidRDefault="00094D4C" w:rsidP="00A5744A">
            <w:pPr>
              <w:rPr>
                <w:rFonts w:ascii="Calibri" w:hAnsi="Calibri" w:cs="Calibri"/>
                <w:sz w:val="20"/>
                <w:szCs w:val="20"/>
                <w:lang w:val="en-US"/>
              </w:rPr>
            </w:pPr>
            <w:r w:rsidRPr="00457BCB">
              <w:rPr>
                <w:rFonts w:ascii="Calibri" w:hAnsi="Calibri" w:cs="Calibri"/>
                <w:sz w:val="20"/>
                <w:szCs w:val="20"/>
                <w:lang w:val="en-US"/>
              </w:rPr>
              <w:t>Government of Switzerland</w:t>
            </w:r>
          </w:p>
          <w:p w14:paraId="189DACD8" w14:textId="77777777" w:rsidR="00094D4C" w:rsidRPr="00457BCB" w:rsidRDefault="00094D4C" w:rsidP="00A5744A">
            <w:pPr>
              <w:rPr>
                <w:rFonts w:ascii="Calibri" w:hAnsi="Calibri" w:cs="Calibri"/>
                <w:sz w:val="20"/>
                <w:szCs w:val="20"/>
                <w:lang w:val="en-US"/>
              </w:rPr>
            </w:pPr>
          </w:p>
        </w:tc>
        <w:tc>
          <w:tcPr>
            <w:tcW w:w="3330" w:type="dxa"/>
            <w:tcBorders>
              <w:right w:val="single" w:sz="4" w:space="0" w:color="auto"/>
            </w:tcBorders>
            <w:tcMar>
              <w:top w:w="0" w:type="dxa"/>
              <w:left w:w="40" w:type="dxa"/>
              <w:bottom w:w="0" w:type="dxa"/>
              <w:right w:w="40" w:type="dxa"/>
            </w:tcMar>
            <w:vAlign w:val="bottom"/>
          </w:tcPr>
          <w:p w14:paraId="73FC8AA5" w14:textId="77777777" w:rsidR="00094D4C" w:rsidRPr="00457BCB" w:rsidRDefault="00094D4C" w:rsidP="00A5744A">
            <w:pPr>
              <w:widowControl w:val="0"/>
              <w:spacing w:line="276" w:lineRule="auto"/>
              <w:rPr>
                <w:rFonts w:ascii="Calibri" w:hAnsi="Calibri" w:cs="Calibri"/>
                <w:sz w:val="20"/>
                <w:szCs w:val="20"/>
                <w:lang w:val="en-US"/>
              </w:rPr>
            </w:pPr>
            <w:hyperlink r:id="rId101" w:history="1">
              <w:r w:rsidRPr="00457BCB">
                <w:rPr>
                  <w:rStyle w:val="Hyperlink"/>
                  <w:rFonts w:ascii="Calibri" w:hAnsi="Calibri" w:cs="Calibri"/>
                  <w:sz w:val="20"/>
                  <w:szCs w:val="20"/>
                  <w:lang w:val="en-US"/>
                </w:rPr>
                <w:t>Bosko.kenjic@eda.admin.ch</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3A5FD447"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32D2ECD3"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2E594868"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Aiša </w:t>
            </w:r>
          </w:p>
        </w:tc>
        <w:tc>
          <w:tcPr>
            <w:tcW w:w="0" w:type="auto"/>
            <w:tcMar>
              <w:top w:w="0" w:type="dxa"/>
              <w:left w:w="40" w:type="dxa"/>
              <w:bottom w:w="0" w:type="dxa"/>
              <w:right w:w="40" w:type="dxa"/>
            </w:tcMar>
          </w:tcPr>
          <w:p w14:paraId="323B8B09" w14:textId="77777777" w:rsidR="00094D4C" w:rsidRPr="00457BCB" w:rsidRDefault="00094D4C" w:rsidP="00A5744A">
            <w:pPr>
              <w:rPr>
                <w:rFonts w:ascii="Calibri" w:hAnsi="Calibri"/>
                <w:sz w:val="20"/>
                <w:szCs w:val="20"/>
                <w:lang w:val="en-US"/>
              </w:rPr>
            </w:pPr>
            <w:r w:rsidRPr="00457BCB">
              <w:rPr>
                <w:rFonts w:ascii="Calibri" w:hAnsi="Calibri"/>
                <w:sz w:val="20"/>
                <w:szCs w:val="20"/>
                <w:lang w:val="en-US"/>
              </w:rPr>
              <w:t xml:space="preserve">Bijedić </w:t>
            </w:r>
          </w:p>
        </w:tc>
        <w:tc>
          <w:tcPr>
            <w:tcW w:w="0" w:type="auto"/>
            <w:tcMar>
              <w:top w:w="0" w:type="dxa"/>
              <w:left w:w="40" w:type="dxa"/>
              <w:bottom w:w="0" w:type="dxa"/>
              <w:right w:w="40" w:type="dxa"/>
            </w:tcMar>
          </w:tcPr>
          <w:p w14:paraId="31519629"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Programme Officer, Environment and Climate Change  </w:t>
            </w:r>
          </w:p>
        </w:tc>
        <w:tc>
          <w:tcPr>
            <w:tcW w:w="3604" w:type="dxa"/>
            <w:tcMar>
              <w:top w:w="0" w:type="dxa"/>
              <w:left w:w="40" w:type="dxa"/>
              <w:bottom w:w="0" w:type="dxa"/>
              <w:right w:w="40" w:type="dxa"/>
            </w:tcMar>
          </w:tcPr>
          <w:p w14:paraId="21FA7E16"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Embassy of Sweden</w:t>
            </w:r>
          </w:p>
        </w:tc>
        <w:tc>
          <w:tcPr>
            <w:tcW w:w="3330" w:type="dxa"/>
            <w:tcBorders>
              <w:right w:val="single" w:sz="4" w:space="0" w:color="auto"/>
            </w:tcBorders>
            <w:tcMar>
              <w:top w:w="0" w:type="dxa"/>
              <w:left w:w="40" w:type="dxa"/>
              <w:bottom w:w="0" w:type="dxa"/>
              <w:right w:w="40" w:type="dxa"/>
            </w:tcMar>
          </w:tcPr>
          <w:p w14:paraId="21C3C7A5" w14:textId="77777777" w:rsidR="00094D4C" w:rsidRPr="00457BCB" w:rsidRDefault="00094D4C" w:rsidP="00A5744A">
            <w:pPr>
              <w:rPr>
                <w:color w:val="0563C1"/>
                <w:sz w:val="20"/>
                <w:szCs w:val="20"/>
                <w:u w:val="single"/>
                <w:lang w:val="en-US"/>
              </w:rPr>
            </w:pPr>
            <w:r w:rsidRPr="00457BCB">
              <w:rPr>
                <w:lang w:val="en-US"/>
              </w:rPr>
              <w:t xml:space="preserve"> </w:t>
            </w:r>
            <w:hyperlink r:id="rId102">
              <w:r w:rsidRPr="00457BCB">
                <w:rPr>
                  <w:color w:val="0563C1"/>
                  <w:sz w:val="20"/>
                  <w:szCs w:val="20"/>
                  <w:u w:val="single"/>
                  <w:lang w:val="en-US"/>
                </w:rPr>
                <w:t>Aisa.bijedic@gov.se</w:t>
              </w:r>
            </w:hyperlink>
          </w:p>
          <w:p w14:paraId="6ECEBA83" w14:textId="77777777" w:rsidR="00094D4C" w:rsidRPr="00457BCB" w:rsidRDefault="00094D4C" w:rsidP="00A5744A">
            <w:pPr>
              <w:rPr>
                <w:lang w:val="en-US"/>
              </w:rPr>
            </w:pPr>
          </w:p>
        </w:tc>
        <w:tc>
          <w:tcPr>
            <w:tcW w:w="818" w:type="dxa"/>
            <w:tcBorders>
              <w:top w:val="single" w:sz="4" w:space="0" w:color="auto"/>
              <w:left w:val="single" w:sz="4" w:space="0" w:color="auto"/>
              <w:bottom w:val="single" w:sz="4" w:space="0" w:color="auto"/>
              <w:right w:val="single" w:sz="4" w:space="0" w:color="auto"/>
            </w:tcBorders>
          </w:tcPr>
          <w:p w14:paraId="0BD62EED" w14:textId="77777777" w:rsidR="00094D4C" w:rsidRPr="00457BCB" w:rsidRDefault="00094D4C" w:rsidP="00A5744A">
            <w:pPr>
              <w:rPr>
                <w:rFonts w:ascii="Calibri" w:hAnsi="Calibri"/>
                <w:lang w:val="en-US"/>
              </w:rPr>
            </w:pPr>
            <w:r w:rsidRPr="00457BCB">
              <w:rPr>
                <w:rFonts w:ascii="Calibri" w:hAnsi="Calibri"/>
                <w:lang w:val="en-US"/>
              </w:rPr>
              <w:t>F</w:t>
            </w:r>
          </w:p>
        </w:tc>
      </w:tr>
      <w:tr w:rsidR="00094D4C" w:rsidRPr="00F569AE" w14:paraId="0271463D"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60D4335E"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Štepan </w:t>
            </w:r>
          </w:p>
        </w:tc>
        <w:tc>
          <w:tcPr>
            <w:tcW w:w="0" w:type="auto"/>
            <w:tcMar>
              <w:top w:w="0" w:type="dxa"/>
              <w:left w:w="40" w:type="dxa"/>
              <w:bottom w:w="0" w:type="dxa"/>
              <w:right w:w="40" w:type="dxa"/>
            </w:tcMar>
          </w:tcPr>
          <w:p w14:paraId="47C37963" w14:textId="77777777" w:rsidR="00094D4C" w:rsidRPr="00457BCB" w:rsidRDefault="00094D4C" w:rsidP="00A5744A">
            <w:pPr>
              <w:rPr>
                <w:rFonts w:ascii="Calibri" w:hAnsi="Calibri"/>
                <w:sz w:val="20"/>
                <w:szCs w:val="20"/>
                <w:lang w:val="en-US"/>
              </w:rPr>
            </w:pPr>
            <w:r w:rsidRPr="00457BCB">
              <w:rPr>
                <w:rFonts w:ascii="Calibri" w:hAnsi="Calibri"/>
                <w:sz w:val="20"/>
                <w:szCs w:val="20"/>
                <w:lang w:val="en-US"/>
              </w:rPr>
              <w:t xml:space="preserve">Santrucek </w:t>
            </w:r>
          </w:p>
        </w:tc>
        <w:tc>
          <w:tcPr>
            <w:tcW w:w="0" w:type="auto"/>
            <w:tcMar>
              <w:top w:w="0" w:type="dxa"/>
              <w:left w:w="40" w:type="dxa"/>
              <w:bottom w:w="0" w:type="dxa"/>
              <w:right w:w="40" w:type="dxa"/>
            </w:tcMar>
          </w:tcPr>
          <w:p w14:paraId="31149572" w14:textId="77777777" w:rsidR="00094D4C" w:rsidRPr="00457BCB" w:rsidRDefault="00094D4C" w:rsidP="00A5744A">
            <w:pPr>
              <w:rPr>
                <w:rFonts w:ascii="Calibri" w:hAnsi="Calibri"/>
                <w:color w:val="000000"/>
                <w:sz w:val="20"/>
                <w:szCs w:val="20"/>
                <w:lang w:val="en-US"/>
              </w:rPr>
            </w:pPr>
            <w:r w:rsidRPr="00457BCB">
              <w:rPr>
                <w:rFonts w:ascii="Calibri" w:hAnsi="Calibri"/>
                <w:sz w:val="20"/>
                <w:szCs w:val="20"/>
                <w:lang w:val="en-US"/>
              </w:rPr>
              <w:t>Consul and Head of Development Cooperation</w:t>
            </w:r>
          </w:p>
        </w:tc>
        <w:tc>
          <w:tcPr>
            <w:tcW w:w="3604" w:type="dxa"/>
            <w:tcMar>
              <w:top w:w="0" w:type="dxa"/>
              <w:left w:w="40" w:type="dxa"/>
              <w:bottom w:w="0" w:type="dxa"/>
              <w:right w:w="40" w:type="dxa"/>
            </w:tcMar>
          </w:tcPr>
          <w:p w14:paraId="7DB5FF04"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Embassy of Czech Republic</w:t>
            </w:r>
          </w:p>
        </w:tc>
        <w:tc>
          <w:tcPr>
            <w:tcW w:w="3330" w:type="dxa"/>
            <w:tcBorders>
              <w:right w:val="single" w:sz="4" w:space="0" w:color="auto"/>
            </w:tcBorders>
            <w:tcMar>
              <w:top w:w="0" w:type="dxa"/>
              <w:left w:w="40" w:type="dxa"/>
              <w:bottom w:w="0" w:type="dxa"/>
              <w:right w:w="40" w:type="dxa"/>
            </w:tcMar>
          </w:tcPr>
          <w:p w14:paraId="4A053D08" w14:textId="77777777" w:rsidR="00094D4C" w:rsidRPr="00457BCB" w:rsidRDefault="00094D4C" w:rsidP="00A5744A">
            <w:pPr>
              <w:rPr>
                <w:rFonts w:ascii="Calibri" w:hAnsi="Calibri"/>
                <w:sz w:val="20"/>
                <w:szCs w:val="20"/>
                <w:lang w:val="en-US"/>
              </w:rPr>
            </w:pPr>
            <w:hyperlink r:id="rId103">
              <w:r w:rsidRPr="00457BCB">
                <w:rPr>
                  <w:rFonts w:ascii="Calibri" w:hAnsi="Calibri"/>
                  <w:color w:val="0563C1"/>
                  <w:sz w:val="20"/>
                  <w:szCs w:val="20"/>
                  <w:u w:val="single"/>
                  <w:lang w:val="en-US"/>
                </w:rPr>
                <w:t>stepan.santrucek@mzv.gov.cz</w:t>
              </w:r>
            </w:hyperlink>
          </w:p>
        </w:tc>
        <w:tc>
          <w:tcPr>
            <w:tcW w:w="818" w:type="dxa"/>
            <w:tcBorders>
              <w:top w:val="single" w:sz="4" w:space="0" w:color="auto"/>
              <w:left w:val="single" w:sz="4" w:space="0" w:color="auto"/>
              <w:bottom w:val="single" w:sz="4" w:space="0" w:color="auto"/>
              <w:right w:val="single" w:sz="4" w:space="0" w:color="auto"/>
            </w:tcBorders>
          </w:tcPr>
          <w:p w14:paraId="46032A0E" w14:textId="77777777" w:rsidR="00094D4C" w:rsidRPr="00457BCB" w:rsidRDefault="00094D4C" w:rsidP="00A5744A">
            <w:pPr>
              <w:rPr>
                <w:rFonts w:ascii="Calibri" w:hAnsi="Calibri"/>
                <w:lang w:val="en-US"/>
              </w:rPr>
            </w:pPr>
            <w:r w:rsidRPr="00457BCB">
              <w:rPr>
                <w:rFonts w:ascii="Calibri" w:hAnsi="Calibri"/>
                <w:lang w:val="en-US"/>
              </w:rPr>
              <w:t>M</w:t>
            </w:r>
          </w:p>
        </w:tc>
      </w:tr>
      <w:tr w:rsidR="00094D4C" w:rsidRPr="00F569AE" w14:paraId="63C27CEB" w14:textId="77777777" w:rsidTr="212A59DF">
        <w:trPr>
          <w:trHeight w:val="300"/>
        </w:trPr>
        <w:tc>
          <w:tcPr>
            <w:tcW w:w="0" w:type="auto"/>
            <w:tcBorders>
              <w:left w:val="single" w:sz="12" w:space="0" w:color="000000" w:themeColor="text1"/>
            </w:tcBorders>
            <w:tcMar>
              <w:top w:w="0" w:type="dxa"/>
              <w:left w:w="40" w:type="dxa"/>
              <w:bottom w:w="0" w:type="dxa"/>
              <w:right w:w="40" w:type="dxa"/>
            </w:tcMar>
          </w:tcPr>
          <w:p w14:paraId="4EA03BE5"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Renata </w:t>
            </w:r>
          </w:p>
        </w:tc>
        <w:tc>
          <w:tcPr>
            <w:tcW w:w="0" w:type="auto"/>
            <w:tcMar>
              <w:top w:w="0" w:type="dxa"/>
              <w:left w:w="40" w:type="dxa"/>
              <w:bottom w:w="0" w:type="dxa"/>
              <w:right w:w="40" w:type="dxa"/>
            </w:tcMar>
          </w:tcPr>
          <w:p w14:paraId="7426A0B3" w14:textId="77777777" w:rsidR="00094D4C" w:rsidRPr="00457BCB" w:rsidRDefault="00094D4C" w:rsidP="00A5744A">
            <w:pPr>
              <w:rPr>
                <w:rFonts w:ascii="Calibri" w:hAnsi="Calibri"/>
                <w:sz w:val="20"/>
                <w:szCs w:val="20"/>
                <w:lang w:val="en-US"/>
              </w:rPr>
            </w:pPr>
            <w:r w:rsidRPr="00457BCB">
              <w:rPr>
                <w:rFonts w:ascii="Calibri" w:hAnsi="Calibri"/>
                <w:sz w:val="20"/>
                <w:szCs w:val="20"/>
                <w:lang w:val="en-US"/>
              </w:rPr>
              <w:t>Abduzaimović</w:t>
            </w:r>
          </w:p>
        </w:tc>
        <w:tc>
          <w:tcPr>
            <w:tcW w:w="0" w:type="auto"/>
            <w:tcMar>
              <w:top w:w="0" w:type="dxa"/>
              <w:left w:w="40" w:type="dxa"/>
              <w:bottom w:w="0" w:type="dxa"/>
              <w:right w:w="40" w:type="dxa"/>
            </w:tcMar>
          </w:tcPr>
          <w:p w14:paraId="08EFE213"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Programme Manager, Environment &amp; Climate change</w:t>
            </w:r>
          </w:p>
        </w:tc>
        <w:tc>
          <w:tcPr>
            <w:tcW w:w="3604" w:type="dxa"/>
            <w:tcMar>
              <w:top w:w="0" w:type="dxa"/>
              <w:left w:w="40" w:type="dxa"/>
              <w:bottom w:w="0" w:type="dxa"/>
              <w:right w:w="40" w:type="dxa"/>
            </w:tcMar>
          </w:tcPr>
          <w:p w14:paraId="75C0ADB8"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EU Delegation</w:t>
            </w:r>
          </w:p>
        </w:tc>
        <w:tc>
          <w:tcPr>
            <w:tcW w:w="3330" w:type="dxa"/>
            <w:tcBorders>
              <w:right w:val="single" w:sz="4" w:space="0" w:color="auto"/>
            </w:tcBorders>
            <w:tcMar>
              <w:top w:w="0" w:type="dxa"/>
              <w:left w:w="40" w:type="dxa"/>
              <w:bottom w:w="0" w:type="dxa"/>
              <w:right w:w="40" w:type="dxa"/>
            </w:tcMar>
          </w:tcPr>
          <w:p w14:paraId="7BD55C3C" w14:textId="77777777" w:rsidR="00094D4C" w:rsidRPr="00457BCB" w:rsidRDefault="00094D4C" w:rsidP="00A5744A">
            <w:pPr>
              <w:rPr>
                <w:color w:val="000000"/>
                <w:sz w:val="20"/>
                <w:szCs w:val="20"/>
                <w:lang w:val="en-US"/>
              </w:rPr>
            </w:pPr>
            <w:hyperlink r:id="rId104">
              <w:r w:rsidRPr="00457BCB">
                <w:rPr>
                  <w:color w:val="0563C1"/>
                  <w:sz w:val="20"/>
                  <w:szCs w:val="20"/>
                  <w:u w:val="single"/>
                  <w:lang w:val="en-US"/>
                </w:rPr>
                <w:t>renata.abduzaimovic@eeas.europa.eu</w:t>
              </w:r>
            </w:hyperlink>
            <w:r w:rsidRPr="00457BCB">
              <w:rPr>
                <w:color w:val="000000"/>
                <w:sz w:val="20"/>
                <w:szCs w:val="20"/>
                <w:lang w:val="en-US"/>
              </w:rPr>
              <w:t xml:space="preserve"> </w:t>
            </w:r>
          </w:p>
          <w:p w14:paraId="43405552" w14:textId="77777777" w:rsidR="00094D4C" w:rsidRPr="00457BCB" w:rsidRDefault="00094D4C" w:rsidP="00A5744A">
            <w:pPr>
              <w:rPr>
                <w:rFonts w:ascii="Calibri" w:hAnsi="Calibri"/>
                <w:sz w:val="20"/>
                <w:szCs w:val="20"/>
                <w:lang w:val="en-US"/>
              </w:rPr>
            </w:pPr>
          </w:p>
        </w:tc>
        <w:tc>
          <w:tcPr>
            <w:tcW w:w="818" w:type="dxa"/>
            <w:tcBorders>
              <w:top w:val="single" w:sz="4" w:space="0" w:color="auto"/>
              <w:left w:val="single" w:sz="4" w:space="0" w:color="auto"/>
              <w:bottom w:val="single" w:sz="4" w:space="0" w:color="auto"/>
              <w:right w:val="single" w:sz="4" w:space="0" w:color="auto"/>
            </w:tcBorders>
          </w:tcPr>
          <w:p w14:paraId="1615F772" w14:textId="77777777" w:rsidR="00094D4C" w:rsidRPr="00457BCB" w:rsidRDefault="00094D4C" w:rsidP="00A5744A">
            <w:pPr>
              <w:rPr>
                <w:rFonts w:ascii="Calibri" w:hAnsi="Calibri"/>
                <w:lang w:val="en-US"/>
              </w:rPr>
            </w:pPr>
            <w:r w:rsidRPr="00457BCB">
              <w:rPr>
                <w:rFonts w:ascii="Calibri" w:hAnsi="Calibri"/>
                <w:lang w:val="en-US"/>
              </w:rPr>
              <w:t>F</w:t>
            </w:r>
          </w:p>
        </w:tc>
      </w:tr>
      <w:tr w:rsidR="00094D4C" w:rsidRPr="00F569AE" w14:paraId="3B447A86" w14:textId="77777777" w:rsidTr="212A59DF">
        <w:trPr>
          <w:trHeight w:val="315"/>
        </w:trPr>
        <w:tc>
          <w:tcPr>
            <w:tcW w:w="13270" w:type="dxa"/>
            <w:gridSpan w:val="5"/>
            <w:tcBorders>
              <w:left w:val="single" w:sz="12" w:space="0" w:color="000000" w:themeColor="text1"/>
              <w:bottom w:val="single" w:sz="6" w:space="0" w:color="000000" w:themeColor="text1"/>
              <w:right w:val="single" w:sz="4" w:space="0" w:color="auto"/>
            </w:tcBorders>
            <w:shd w:val="clear" w:color="auto" w:fill="DEEAF6"/>
            <w:tcMar>
              <w:top w:w="0" w:type="dxa"/>
              <w:left w:w="40" w:type="dxa"/>
              <w:bottom w:w="0" w:type="dxa"/>
              <w:right w:w="40" w:type="dxa"/>
            </w:tcMar>
            <w:vAlign w:val="bottom"/>
          </w:tcPr>
          <w:p w14:paraId="373F3F87" w14:textId="77777777" w:rsidR="00094D4C" w:rsidRPr="00457BCB" w:rsidRDefault="00094D4C" w:rsidP="00A5744A">
            <w:pPr>
              <w:widowControl w:val="0"/>
              <w:spacing w:line="276" w:lineRule="auto"/>
              <w:jc w:val="center"/>
              <w:rPr>
                <w:rFonts w:ascii="Calibri" w:hAnsi="Calibri" w:cs="Calibri"/>
                <w:b/>
                <w:lang w:val="en-US"/>
              </w:rPr>
            </w:pPr>
            <w:r w:rsidRPr="00457BCB">
              <w:rPr>
                <w:rFonts w:ascii="Calibri" w:hAnsi="Calibri" w:cs="Calibri"/>
                <w:b/>
                <w:lang w:val="en-US"/>
              </w:rPr>
              <w:t>Local Government Level</w:t>
            </w:r>
          </w:p>
          <w:p w14:paraId="1074F710" w14:textId="77777777" w:rsidR="00094D4C" w:rsidRPr="00457BCB" w:rsidRDefault="00094D4C" w:rsidP="00A5744A">
            <w:pPr>
              <w:widowControl w:val="0"/>
              <w:spacing w:line="276" w:lineRule="auto"/>
              <w:jc w:val="center"/>
              <w:rPr>
                <w:rFonts w:ascii="Calibri" w:hAnsi="Calibri" w:cs="Calibri"/>
                <w:lang w:val="en-US"/>
              </w:rPr>
            </w:pPr>
          </w:p>
        </w:tc>
        <w:tc>
          <w:tcPr>
            <w:tcW w:w="818" w:type="dxa"/>
            <w:tcBorders>
              <w:top w:val="single" w:sz="4" w:space="0" w:color="auto"/>
              <w:left w:val="single" w:sz="4" w:space="0" w:color="auto"/>
              <w:bottom w:val="single" w:sz="4" w:space="0" w:color="auto"/>
              <w:right w:val="single" w:sz="4" w:space="0" w:color="auto"/>
            </w:tcBorders>
            <w:shd w:val="clear" w:color="auto" w:fill="DEEAF6"/>
          </w:tcPr>
          <w:p w14:paraId="7236CC31" w14:textId="77777777" w:rsidR="00094D4C" w:rsidRPr="00457BCB" w:rsidRDefault="00094D4C" w:rsidP="00A5744A">
            <w:pPr>
              <w:widowControl w:val="0"/>
              <w:spacing w:line="276" w:lineRule="auto"/>
              <w:jc w:val="center"/>
              <w:rPr>
                <w:rFonts w:ascii="Calibri" w:hAnsi="Calibri" w:cs="Calibri"/>
                <w:b/>
                <w:lang w:val="en-US"/>
              </w:rPr>
            </w:pPr>
          </w:p>
        </w:tc>
      </w:tr>
      <w:tr w:rsidR="00094D4C" w:rsidRPr="00F569AE" w14:paraId="40E68943" w14:textId="77777777" w:rsidTr="212A59DF">
        <w:trPr>
          <w:trHeight w:val="315"/>
        </w:trPr>
        <w:tc>
          <w:tcPr>
            <w:tcW w:w="13270" w:type="dxa"/>
            <w:gridSpan w:val="5"/>
            <w:tcBorders>
              <w:left w:val="single" w:sz="12" w:space="0" w:color="000000" w:themeColor="text1"/>
              <w:bottom w:val="single" w:sz="6" w:space="0" w:color="000000" w:themeColor="text1"/>
              <w:right w:val="single" w:sz="4" w:space="0" w:color="auto"/>
            </w:tcBorders>
            <w:shd w:val="clear" w:color="auto" w:fill="DEEAF6"/>
            <w:tcMar>
              <w:top w:w="0" w:type="dxa"/>
              <w:left w:w="40" w:type="dxa"/>
              <w:bottom w:w="0" w:type="dxa"/>
              <w:right w:w="40" w:type="dxa"/>
            </w:tcMar>
            <w:vAlign w:val="bottom"/>
          </w:tcPr>
          <w:p w14:paraId="4D1D30C9" w14:textId="77777777" w:rsidR="00094D4C" w:rsidRPr="00457BCB" w:rsidRDefault="00094D4C" w:rsidP="00A5744A">
            <w:pPr>
              <w:widowControl w:val="0"/>
              <w:spacing w:line="276" w:lineRule="auto"/>
              <w:jc w:val="center"/>
              <w:rPr>
                <w:rFonts w:ascii="Calibri" w:hAnsi="Calibri" w:cs="Calibri"/>
                <w:b/>
                <w:lang w:val="en-US"/>
              </w:rPr>
            </w:pPr>
            <w:r w:rsidRPr="00457BCB">
              <w:rPr>
                <w:rFonts w:ascii="Calibri" w:hAnsi="Calibri" w:cs="Calibri"/>
                <w:b/>
                <w:lang w:val="en-US"/>
              </w:rPr>
              <w:t>Local Governments</w:t>
            </w:r>
          </w:p>
        </w:tc>
        <w:tc>
          <w:tcPr>
            <w:tcW w:w="818" w:type="dxa"/>
            <w:tcBorders>
              <w:top w:val="single" w:sz="4" w:space="0" w:color="auto"/>
              <w:left w:val="single" w:sz="4" w:space="0" w:color="auto"/>
              <w:bottom w:val="single" w:sz="4" w:space="0" w:color="auto"/>
              <w:right w:val="single" w:sz="4" w:space="0" w:color="auto"/>
            </w:tcBorders>
            <w:shd w:val="clear" w:color="auto" w:fill="DEEAF6"/>
          </w:tcPr>
          <w:p w14:paraId="73E55B25" w14:textId="77777777" w:rsidR="00094D4C" w:rsidRPr="00457BCB" w:rsidRDefault="00094D4C" w:rsidP="00A5744A">
            <w:pPr>
              <w:widowControl w:val="0"/>
              <w:spacing w:line="276" w:lineRule="auto"/>
              <w:jc w:val="center"/>
              <w:rPr>
                <w:rFonts w:ascii="Calibri" w:hAnsi="Calibri" w:cs="Calibri"/>
                <w:b/>
                <w:lang w:val="en-US"/>
              </w:rPr>
            </w:pPr>
          </w:p>
        </w:tc>
      </w:tr>
      <w:tr w:rsidR="00094D4C" w:rsidRPr="00F569AE" w14:paraId="0AF3D1F0"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672C9BB1"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Rajka </w:t>
            </w:r>
          </w:p>
        </w:tc>
        <w:tc>
          <w:tcPr>
            <w:tcW w:w="0" w:type="auto"/>
            <w:tcMar>
              <w:top w:w="0" w:type="dxa"/>
              <w:left w:w="40" w:type="dxa"/>
              <w:bottom w:w="0" w:type="dxa"/>
              <w:right w:w="40" w:type="dxa"/>
            </w:tcMar>
            <w:vAlign w:val="bottom"/>
          </w:tcPr>
          <w:p w14:paraId="355DB2A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Zdjelar</w:t>
            </w:r>
          </w:p>
        </w:tc>
        <w:tc>
          <w:tcPr>
            <w:tcW w:w="0" w:type="auto"/>
            <w:tcMar>
              <w:top w:w="0" w:type="dxa"/>
              <w:left w:w="40" w:type="dxa"/>
              <w:bottom w:w="0" w:type="dxa"/>
              <w:right w:w="40" w:type="dxa"/>
            </w:tcMar>
            <w:vAlign w:val="bottom"/>
          </w:tcPr>
          <w:p w14:paraId="669BE3A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olor w:val="000000"/>
                <w:sz w:val="20"/>
                <w:szCs w:val="20"/>
                <w:lang w:val="en-US"/>
              </w:rPr>
              <w:t>MEG Coordinator</w:t>
            </w:r>
          </w:p>
        </w:tc>
        <w:tc>
          <w:tcPr>
            <w:tcW w:w="3604" w:type="dxa"/>
            <w:tcMar>
              <w:top w:w="0" w:type="dxa"/>
              <w:left w:w="40" w:type="dxa"/>
              <w:bottom w:w="0" w:type="dxa"/>
              <w:right w:w="40" w:type="dxa"/>
            </w:tcMar>
            <w:vAlign w:val="bottom"/>
          </w:tcPr>
          <w:p w14:paraId="057A1501"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Prijedor </w:t>
            </w:r>
          </w:p>
        </w:tc>
        <w:tc>
          <w:tcPr>
            <w:tcW w:w="3330" w:type="dxa"/>
            <w:tcBorders>
              <w:right w:val="single" w:sz="4" w:space="0" w:color="auto"/>
            </w:tcBorders>
            <w:tcMar>
              <w:top w:w="0" w:type="dxa"/>
              <w:left w:w="40" w:type="dxa"/>
              <w:bottom w:w="0" w:type="dxa"/>
              <w:right w:w="40" w:type="dxa"/>
            </w:tcMar>
            <w:vAlign w:val="bottom"/>
          </w:tcPr>
          <w:p w14:paraId="378480D6" w14:textId="77777777" w:rsidR="00094D4C" w:rsidRPr="00457BCB" w:rsidRDefault="00094D4C" w:rsidP="00A5744A">
            <w:pPr>
              <w:widowControl w:val="0"/>
              <w:spacing w:line="276" w:lineRule="auto"/>
              <w:rPr>
                <w:rFonts w:ascii="Calibri" w:hAnsi="Calibri" w:cs="Calibri"/>
                <w:sz w:val="20"/>
                <w:szCs w:val="20"/>
                <w:u w:val="single"/>
                <w:lang w:val="en-US"/>
              </w:rPr>
            </w:pPr>
            <w:hyperlink r:id="rId105" w:history="1">
              <w:r w:rsidRPr="00457BCB">
                <w:rPr>
                  <w:rStyle w:val="Hyperlink"/>
                  <w:rFonts w:ascii="Calibri" w:hAnsi="Calibri" w:cs="Calibri"/>
                  <w:sz w:val="20"/>
                  <w:szCs w:val="20"/>
                  <w:lang w:val="en-US"/>
                </w:rPr>
                <w:t>rajka.zdjelar@prijedorgrad.org</w:t>
              </w:r>
            </w:hyperlink>
            <w:r w:rsidRPr="00457BCB">
              <w:rPr>
                <w:rFonts w:ascii="Calibri" w:hAnsi="Calibri" w:cs="Calibri"/>
                <w:sz w:val="20"/>
                <w:szCs w:val="20"/>
                <w:u w:val="single"/>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714F516E"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69FF9DD7"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46C9AA1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Svetozar </w:t>
            </w:r>
          </w:p>
        </w:tc>
        <w:tc>
          <w:tcPr>
            <w:tcW w:w="0" w:type="auto"/>
            <w:tcMar>
              <w:top w:w="0" w:type="dxa"/>
              <w:left w:w="40" w:type="dxa"/>
              <w:bottom w:w="0" w:type="dxa"/>
              <w:right w:w="40" w:type="dxa"/>
            </w:tcMar>
            <w:vAlign w:val="bottom"/>
          </w:tcPr>
          <w:p w14:paraId="418F469E"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Vučkovac</w:t>
            </w:r>
          </w:p>
        </w:tc>
        <w:tc>
          <w:tcPr>
            <w:tcW w:w="0" w:type="auto"/>
            <w:tcMar>
              <w:top w:w="0" w:type="dxa"/>
              <w:left w:w="40" w:type="dxa"/>
              <w:bottom w:w="0" w:type="dxa"/>
              <w:right w:w="40" w:type="dxa"/>
            </w:tcMar>
            <w:vAlign w:val="bottom"/>
          </w:tcPr>
          <w:p w14:paraId="3094E474"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MEG Coordinator </w:t>
            </w:r>
          </w:p>
        </w:tc>
        <w:tc>
          <w:tcPr>
            <w:tcW w:w="3604" w:type="dxa"/>
            <w:tcMar>
              <w:top w:w="0" w:type="dxa"/>
              <w:left w:w="40" w:type="dxa"/>
              <w:bottom w:w="0" w:type="dxa"/>
              <w:right w:w="40" w:type="dxa"/>
            </w:tcMar>
            <w:vAlign w:val="bottom"/>
          </w:tcPr>
          <w:p w14:paraId="5B0D13CD"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Prijedor </w:t>
            </w:r>
          </w:p>
        </w:tc>
        <w:tc>
          <w:tcPr>
            <w:tcW w:w="3330" w:type="dxa"/>
            <w:tcBorders>
              <w:right w:val="single" w:sz="4" w:space="0" w:color="auto"/>
            </w:tcBorders>
            <w:tcMar>
              <w:top w:w="0" w:type="dxa"/>
              <w:left w:w="40" w:type="dxa"/>
              <w:bottom w:w="0" w:type="dxa"/>
              <w:right w:w="40" w:type="dxa"/>
            </w:tcMar>
            <w:vAlign w:val="bottom"/>
          </w:tcPr>
          <w:p w14:paraId="1FBD7B43" w14:textId="77777777" w:rsidR="00094D4C" w:rsidRPr="00457BCB" w:rsidRDefault="00094D4C" w:rsidP="00A5744A">
            <w:pPr>
              <w:widowControl w:val="0"/>
              <w:spacing w:line="276" w:lineRule="auto"/>
              <w:rPr>
                <w:lang w:val="en-US"/>
              </w:rPr>
            </w:pPr>
            <w:hyperlink r:id="rId106">
              <w:r w:rsidRPr="00457BCB">
                <w:rPr>
                  <w:color w:val="0563C1"/>
                  <w:sz w:val="20"/>
                  <w:szCs w:val="20"/>
                  <w:u w:val="single"/>
                  <w:lang w:val="en-US"/>
                </w:rPr>
                <w:t>Svetozar.vuckovac@prijedorgrad.org</w:t>
              </w:r>
            </w:hyperlink>
            <w:r w:rsidRPr="00457BCB">
              <w:rPr>
                <w:color w:val="000000"/>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432E805F"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546CD519"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0E573F7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Branko </w:t>
            </w:r>
          </w:p>
        </w:tc>
        <w:tc>
          <w:tcPr>
            <w:tcW w:w="0" w:type="auto"/>
            <w:tcMar>
              <w:top w:w="0" w:type="dxa"/>
              <w:left w:w="40" w:type="dxa"/>
              <w:bottom w:w="0" w:type="dxa"/>
              <w:right w:w="40" w:type="dxa"/>
            </w:tcMar>
            <w:vAlign w:val="bottom"/>
          </w:tcPr>
          <w:p w14:paraId="4429689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Mudirnić</w:t>
            </w:r>
          </w:p>
        </w:tc>
        <w:tc>
          <w:tcPr>
            <w:tcW w:w="0" w:type="auto"/>
            <w:tcMar>
              <w:top w:w="0" w:type="dxa"/>
              <w:left w:w="40" w:type="dxa"/>
              <w:bottom w:w="0" w:type="dxa"/>
              <w:right w:w="40" w:type="dxa"/>
            </w:tcMar>
            <w:vAlign w:val="bottom"/>
          </w:tcPr>
          <w:p w14:paraId="039ECFA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Head of Mayor’s Office</w:t>
            </w:r>
          </w:p>
        </w:tc>
        <w:tc>
          <w:tcPr>
            <w:tcW w:w="3604" w:type="dxa"/>
            <w:tcMar>
              <w:top w:w="0" w:type="dxa"/>
              <w:left w:w="40" w:type="dxa"/>
              <w:bottom w:w="0" w:type="dxa"/>
              <w:right w:w="40" w:type="dxa"/>
            </w:tcMar>
            <w:vAlign w:val="bottom"/>
          </w:tcPr>
          <w:p w14:paraId="7E90651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Prijedor</w:t>
            </w:r>
          </w:p>
        </w:tc>
        <w:tc>
          <w:tcPr>
            <w:tcW w:w="3330" w:type="dxa"/>
            <w:tcBorders>
              <w:right w:val="single" w:sz="4" w:space="0" w:color="auto"/>
            </w:tcBorders>
            <w:tcMar>
              <w:top w:w="0" w:type="dxa"/>
              <w:left w:w="40" w:type="dxa"/>
              <w:bottom w:w="0" w:type="dxa"/>
              <w:right w:w="40" w:type="dxa"/>
            </w:tcMar>
            <w:vAlign w:val="bottom"/>
          </w:tcPr>
          <w:p w14:paraId="048260F9" w14:textId="77777777" w:rsidR="00094D4C" w:rsidRPr="00457BCB" w:rsidRDefault="00094D4C" w:rsidP="00A5744A">
            <w:pPr>
              <w:widowControl w:val="0"/>
              <w:spacing w:line="276" w:lineRule="auto"/>
              <w:rPr>
                <w:sz w:val="20"/>
                <w:szCs w:val="20"/>
                <w:lang w:val="en-US"/>
              </w:rPr>
            </w:pPr>
            <w:hyperlink r:id="rId107" w:history="1">
              <w:r w:rsidRPr="00457BCB">
                <w:rPr>
                  <w:rStyle w:val="Hyperlink"/>
                  <w:sz w:val="20"/>
                  <w:szCs w:val="20"/>
                  <w:lang w:val="en-US"/>
                </w:rPr>
                <w:t>Branko.mudirnic@prijedorgrad.org</w:t>
              </w:r>
            </w:hyperlink>
            <w:r w:rsidRPr="00457BCB">
              <w:rPr>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18CEE67C"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07339B11"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6E3806CE"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Igor </w:t>
            </w:r>
          </w:p>
        </w:tc>
        <w:tc>
          <w:tcPr>
            <w:tcW w:w="0" w:type="auto"/>
            <w:tcMar>
              <w:top w:w="0" w:type="dxa"/>
              <w:left w:w="40" w:type="dxa"/>
              <w:bottom w:w="0" w:type="dxa"/>
              <w:right w:w="40" w:type="dxa"/>
            </w:tcMar>
            <w:vAlign w:val="bottom"/>
          </w:tcPr>
          <w:p w14:paraId="766A0E29"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Kneginic</w:t>
            </w:r>
          </w:p>
        </w:tc>
        <w:tc>
          <w:tcPr>
            <w:tcW w:w="0" w:type="auto"/>
            <w:tcMar>
              <w:top w:w="0" w:type="dxa"/>
              <w:left w:w="40" w:type="dxa"/>
              <w:bottom w:w="0" w:type="dxa"/>
              <w:right w:w="40" w:type="dxa"/>
            </w:tcMar>
            <w:vAlign w:val="bottom"/>
          </w:tcPr>
          <w:p w14:paraId="5DAE285D"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President of the City Assembly </w:t>
            </w:r>
          </w:p>
        </w:tc>
        <w:tc>
          <w:tcPr>
            <w:tcW w:w="3604" w:type="dxa"/>
            <w:tcMar>
              <w:top w:w="0" w:type="dxa"/>
              <w:left w:w="40" w:type="dxa"/>
              <w:bottom w:w="0" w:type="dxa"/>
              <w:right w:w="40" w:type="dxa"/>
            </w:tcMar>
            <w:vAlign w:val="bottom"/>
          </w:tcPr>
          <w:p w14:paraId="7D4F602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Prijedor </w:t>
            </w:r>
          </w:p>
        </w:tc>
        <w:tc>
          <w:tcPr>
            <w:tcW w:w="3330" w:type="dxa"/>
            <w:tcBorders>
              <w:right w:val="single" w:sz="4" w:space="0" w:color="auto"/>
            </w:tcBorders>
            <w:tcMar>
              <w:top w:w="0" w:type="dxa"/>
              <w:left w:w="40" w:type="dxa"/>
              <w:bottom w:w="0" w:type="dxa"/>
              <w:right w:w="40" w:type="dxa"/>
            </w:tcMar>
            <w:vAlign w:val="bottom"/>
          </w:tcPr>
          <w:p w14:paraId="6928DFB5" w14:textId="77777777" w:rsidR="00094D4C" w:rsidRPr="00457BCB" w:rsidRDefault="00094D4C" w:rsidP="00A5744A">
            <w:pPr>
              <w:widowControl w:val="0"/>
              <w:spacing w:line="276" w:lineRule="auto"/>
              <w:rPr>
                <w:sz w:val="20"/>
                <w:szCs w:val="20"/>
                <w:lang w:val="en-US"/>
              </w:rPr>
            </w:pPr>
            <w:hyperlink r:id="rId108" w:history="1">
              <w:r w:rsidRPr="00457BCB">
                <w:rPr>
                  <w:rStyle w:val="Hyperlink"/>
                  <w:sz w:val="20"/>
                  <w:szCs w:val="20"/>
                  <w:lang w:val="en-US"/>
                </w:rPr>
                <w:t>ognjen.dragicevic@prijedorgrad.org</w:t>
              </w:r>
            </w:hyperlink>
            <w:r w:rsidRPr="00457BCB">
              <w:rPr>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601B0249"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1892F887"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61D087E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Zijad</w:t>
            </w:r>
          </w:p>
        </w:tc>
        <w:tc>
          <w:tcPr>
            <w:tcW w:w="0" w:type="auto"/>
            <w:tcMar>
              <w:top w:w="0" w:type="dxa"/>
              <w:left w:w="40" w:type="dxa"/>
              <w:bottom w:w="0" w:type="dxa"/>
              <w:right w:w="40" w:type="dxa"/>
            </w:tcMar>
            <w:vAlign w:val="bottom"/>
          </w:tcPr>
          <w:p w14:paraId="17FAB9F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Canic</w:t>
            </w:r>
          </w:p>
        </w:tc>
        <w:tc>
          <w:tcPr>
            <w:tcW w:w="0" w:type="auto"/>
            <w:tcMar>
              <w:top w:w="0" w:type="dxa"/>
              <w:left w:w="40" w:type="dxa"/>
              <w:bottom w:w="0" w:type="dxa"/>
              <w:right w:w="40" w:type="dxa"/>
            </w:tcMar>
            <w:vAlign w:val="bottom"/>
          </w:tcPr>
          <w:p w14:paraId="08BD9ED7"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Vice President of the City Assembly</w:t>
            </w:r>
          </w:p>
        </w:tc>
        <w:tc>
          <w:tcPr>
            <w:tcW w:w="3604" w:type="dxa"/>
            <w:tcMar>
              <w:top w:w="0" w:type="dxa"/>
              <w:left w:w="40" w:type="dxa"/>
              <w:bottom w:w="0" w:type="dxa"/>
              <w:right w:w="40" w:type="dxa"/>
            </w:tcMar>
            <w:vAlign w:val="bottom"/>
          </w:tcPr>
          <w:p w14:paraId="6D834A9C"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Prijedor</w:t>
            </w:r>
          </w:p>
        </w:tc>
        <w:tc>
          <w:tcPr>
            <w:tcW w:w="3330" w:type="dxa"/>
            <w:tcBorders>
              <w:right w:val="single" w:sz="4" w:space="0" w:color="auto"/>
            </w:tcBorders>
            <w:tcMar>
              <w:top w:w="0" w:type="dxa"/>
              <w:left w:w="40" w:type="dxa"/>
              <w:bottom w:w="0" w:type="dxa"/>
              <w:right w:w="40" w:type="dxa"/>
            </w:tcMar>
            <w:vAlign w:val="bottom"/>
          </w:tcPr>
          <w:p w14:paraId="60D23ED4" w14:textId="77777777" w:rsidR="00094D4C" w:rsidRPr="00457BCB" w:rsidRDefault="00094D4C" w:rsidP="00A5744A">
            <w:pPr>
              <w:widowControl w:val="0"/>
              <w:spacing w:line="276" w:lineRule="auto"/>
              <w:rPr>
                <w:sz w:val="20"/>
                <w:szCs w:val="20"/>
                <w:lang w:val="en-US"/>
              </w:rPr>
            </w:pPr>
            <w:hyperlink r:id="rId109" w:history="1">
              <w:r w:rsidRPr="00457BCB">
                <w:rPr>
                  <w:rStyle w:val="Hyperlink"/>
                  <w:sz w:val="20"/>
                  <w:szCs w:val="20"/>
                  <w:lang w:val="en-US"/>
                </w:rPr>
                <w:t>ognjen.dragicevic@prijedorgrad.org</w:t>
              </w:r>
            </w:hyperlink>
            <w:r w:rsidRPr="00457BCB">
              <w:rPr>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7CC1241A"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3C1DC02D"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595508E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Hamzalija </w:t>
            </w:r>
          </w:p>
        </w:tc>
        <w:tc>
          <w:tcPr>
            <w:tcW w:w="0" w:type="auto"/>
            <w:tcMar>
              <w:top w:w="0" w:type="dxa"/>
              <w:left w:w="40" w:type="dxa"/>
              <w:bottom w:w="0" w:type="dxa"/>
              <w:right w:w="40" w:type="dxa"/>
            </w:tcMar>
            <w:vAlign w:val="bottom"/>
          </w:tcPr>
          <w:p w14:paraId="2E43E9D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Hojkurić </w:t>
            </w:r>
          </w:p>
        </w:tc>
        <w:tc>
          <w:tcPr>
            <w:tcW w:w="0" w:type="auto"/>
            <w:tcMar>
              <w:top w:w="0" w:type="dxa"/>
              <w:left w:w="40" w:type="dxa"/>
              <w:bottom w:w="0" w:type="dxa"/>
              <w:right w:w="40" w:type="dxa"/>
            </w:tcMar>
            <w:vAlign w:val="bottom"/>
          </w:tcPr>
          <w:p w14:paraId="7E6F18CC"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MEG Coordinator</w:t>
            </w:r>
          </w:p>
        </w:tc>
        <w:tc>
          <w:tcPr>
            <w:tcW w:w="3604" w:type="dxa"/>
            <w:tcMar>
              <w:top w:w="0" w:type="dxa"/>
              <w:left w:w="40" w:type="dxa"/>
              <w:bottom w:w="0" w:type="dxa"/>
              <w:right w:w="40" w:type="dxa"/>
            </w:tcMar>
            <w:vAlign w:val="bottom"/>
          </w:tcPr>
          <w:p w14:paraId="07174AB1"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Tešanj</w:t>
            </w:r>
          </w:p>
        </w:tc>
        <w:tc>
          <w:tcPr>
            <w:tcW w:w="3330" w:type="dxa"/>
            <w:tcBorders>
              <w:right w:val="single" w:sz="4" w:space="0" w:color="auto"/>
            </w:tcBorders>
            <w:tcMar>
              <w:top w:w="0" w:type="dxa"/>
              <w:left w:w="40" w:type="dxa"/>
              <w:bottom w:w="0" w:type="dxa"/>
              <w:right w:w="40" w:type="dxa"/>
            </w:tcMar>
            <w:vAlign w:val="bottom"/>
          </w:tcPr>
          <w:p w14:paraId="23991017" w14:textId="77777777" w:rsidR="00094D4C" w:rsidRPr="00457BCB" w:rsidRDefault="00094D4C" w:rsidP="00A5744A">
            <w:pPr>
              <w:widowControl w:val="0"/>
              <w:spacing w:line="276" w:lineRule="auto"/>
              <w:rPr>
                <w:rFonts w:ascii="Calibri" w:hAnsi="Calibri" w:cs="Calibri"/>
                <w:sz w:val="20"/>
                <w:szCs w:val="20"/>
                <w:u w:val="single"/>
                <w:lang w:val="en-US"/>
              </w:rPr>
            </w:pPr>
            <w:hyperlink r:id="rId110" w:history="1">
              <w:r w:rsidRPr="00457BCB">
                <w:rPr>
                  <w:rStyle w:val="Hyperlink"/>
                  <w:rFonts w:ascii="Calibri" w:hAnsi="Calibri" w:cs="Calibri"/>
                  <w:sz w:val="20"/>
                  <w:szCs w:val="20"/>
                  <w:lang w:val="en-US"/>
                </w:rPr>
                <w:t>Hamzalija.hojkuric@opcina-tesanj.ba</w:t>
              </w:r>
            </w:hyperlink>
            <w:r w:rsidRPr="00457BCB">
              <w:rPr>
                <w:rFonts w:ascii="Calibri" w:hAnsi="Calibri" w:cs="Calibri"/>
                <w:sz w:val="20"/>
                <w:szCs w:val="20"/>
                <w:u w:val="single"/>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420B0724"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743B72AD"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5C625ED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lastRenderedPageBreak/>
              <w:t xml:space="preserve">Selma </w:t>
            </w:r>
          </w:p>
        </w:tc>
        <w:tc>
          <w:tcPr>
            <w:tcW w:w="0" w:type="auto"/>
            <w:tcMar>
              <w:top w:w="0" w:type="dxa"/>
              <w:left w:w="40" w:type="dxa"/>
              <w:bottom w:w="0" w:type="dxa"/>
              <w:right w:w="40" w:type="dxa"/>
            </w:tcMar>
            <w:vAlign w:val="bottom"/>
          </w:tcPr>
          <w:p w14:paraId="44DDCF99"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Ramić</w:t>
            </w:r>
          </w:p>
        </w:tc>
        <w:tc>
          <w:tcPr>
            <w:tcW w:w="0" w:type="auto"/>
            <w:tcMar>
              <w:top w:w="0" w:type="dxa"/>
              <w:left w:w="40" w:type="dxa"/>
              <w:bottom w:w="0" w:type="dxa"/>
              <w:right w:w="40" w:type="dxa"/>
            </w:tcMar>
            <w:vAlign w:val="bottom"/>
          </w:tcPr>
          <w:p w14:paraId="0C720AD5"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Municipal Coordinator for Infrastructural Porjects</w:t>
            </w:r>
          </w:p>
        </w:tc>
        <w:tc>
          <w:tcPr>
            <w:tcW w:w="3604" w:type="dxa"/>
            <w:tcMar>
              <w:top w:w="0" w:type="dxa"/>
              <w:left w:w="40" w:type="dxa"/>
              <w:bottom w:w="0" w:type="dxa"/>
              <w:right w:w="40" w:type="dxa"/>
            </w:tcMar>
            <w:vAlign w:val="bottom"/>
          </w:tcPr>
          <w:p w14:paraId="0E16569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Tešanj</w:t>
            </w:r>
          </w:p>
        </w:tc>
        <w:tc>
          <w:tcPr>
            <w:tcW w:w="3330" w:type="dxa"/>
            <w:tcBorders>
              <w:right w:val="single" w:sz="4" w:space="0" w:color="auto"/>
            </w:tcBorders>
            <w:tcMar>
              <w:top w:w="0" w:type="dxa"/>
              <w:left w:w="40" w:type="dxa"/>
              <w:bottom w:w="0" w:type="dxa"/>
              <w:right w:w="40" w:type="dxa"/>
            </w:tcMar>
            <w:vAlign w:val="bottom"/>
          </w:tcPr>
          <w:p w14:paraId="0A047DBB" w14:textId="77777777" w:rsidR="00094D4C" w:rsidRPr="00457BCB" w:rsidRDefault="00094D4C" w:rsidP="00A5744A">
            <w:pPr>
              <w:widowControl w:val="0"/>
              <w:spacing w:line="276" w:lineRule="auto"/>
              <w:rPr>
                <w:sz w:val="20"/>
                <w:szCs w:val="20"/>
                <w:lang w:val="en-US"/>
              </w:rPr>
            </w:pPr>
            <w:hyperlink r:id="rId111" w:history="1">
              <w:r w:rsidRPr="00457BCB">
                <w:rPr>
                  <w:rStyle w:val="Hyperlink"/>
                  <w:sz w:val="20"/>
                  <w:szCs w:val="20"/>
                  <w:lang w:val="en-US"/>
                </w:rPr>
                <w:t>Selma.ramic@opcina-tesanj.ba</w:t>
              </w:r>
            </w:hyperlink>
            <w:r w:rsidRPr="00457BCB">
              <w:rPr>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69581C1D"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02ECDC5A"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27AB578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Amir</w:t>
            </w:r>
          </w:p>
        </w:tc>
        <w:tc>
          <w:tcPr>
            <w:tcW w:w="0" w:type="auto"/>
            <w:tcMar>
              <w:top w:w="0" w:type="dxa"/>
              <w:left w:w="40" w:type="dxa"/>
              <w:bottom w:w="0" w:type="dxa"/>
              <w:right w:w="40" w:type="dxa"/>
            </w:tcMar>
            <w:vAlign w:val="bottom"/>
          </w:tcPr>
          <w:p w14:paraId="73489EB1"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Kurtic</w:t>
            </w:r>
          </w:p>
        </w:tc>
        <w:tc>
          <w:tcPr>
            <w:tcW w:w="0" w:type="auto"/>
            <w:tcMar>
              <w:top w:w="0" w:type="dxa"/>
              <w:left w:w="40" w:type="dxa"/>
              <w:bottom w:w="0" w:type="dxa"/>
              <w:right w:w="40" w:type="dxa"/>
            </w:tcMar>
            <w:vAlign w:val="bottom"/>
          </w:tcPr>
          <w:p w14:paraId="43FCDA4C"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President of the City Council</w:t>
            </w:r>
          </w:p>
        </w:tc>
        <w:tc>
          <w:tcPr>
            <w:tcW w:w="3604" w:type="dxa"/>
            <w:tcMar>
              <w:top w:w="0" w:type="dxa"/>
              <w:left w:w="40" w:type="dxa"/>
              <w:bottom w:w="0" w:type="dxa"/>
              <w:right w:w="40" w:type="dxa"/>
            </w:tcMar>
            <w:vAlign w:val="bottom"/>
          </w:tcPr>
          <w:p w14:paraId="564F61F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Tešanj</w:t>
            </w:r>
          </w:p>
        </w:tc>
        <w:tc>
          <w:tcPr>
            <w:tcW w:w="3330" w:type="dxa"/>
            <w:tcBorders>
              <w:right w:val="single" w:sz="4" w:space="0" w:color="auto"/>
            </w:tcBorders>
            <w:tcMar>
              <w:top w:w="0" w:type="dxa"/>
              <w:left w:w="40" w:type="dxa"/>
              <w:bottom w:w="0" w:type="dxa"/>
              <w:right w:w="40" w:type="dxa"/>
            </w:tcMar>
            <w:vAlign w:val="bottom"/>
          </w:tcPr>
          <w:p w14:paraId="3E6DF7BA" w14:textId="77777777" w:rsidR="00094D4C" w:rsidRPr="00457BCB" w:rsidRDefault="00094D4C" w:rsidP="00A5744A">
            <w:pPr>
              <w:widowControl w:val="0"/>
              <w:spacing w:line="276" w:lineRule="auto"/>
              <w:rPr>
                <w:lang w:val="en-US"/>
              </w:rPr>
            </w:pPr>
            <w:hyperlink r:id="rId112" w:history="1">
              <w:r w:rsidRPr="00457BCB">
                <w:rPr>
                  <w:rStyle w:val="Hyperlink"/>
                  <w:rFonts w:ascii="Arial" w:hAnsi="Arial" w:cs="Arial"/>
                  <w:sz w:val="16"/>
                  <w:szCs w:val="16"/>
                  <w:shd w:val="clear" w:color="auto" w:fill="FFFFFF"/>
                  <w:lang w:val="en-US"/>
                </w:rPr>
                <w:t>amir.kurtic@opcina-tesanj.ba</w:t>
              </w:r>
            </w:hyperlink>
            <w:r w:rsidRPr="00457BCB">
              <w:rPr>
                <w:rFonts w:ascii="Arial" w:hAnsi="Arial" w:cs="Arial"/>
                <w:color w:val="474747"/>
                <w:sz w:val="16"/>
                <w:szCs w:val="16"/>
                <w:shd w:val="clear" w:color="auto" w:fill="FFFFFF"/>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1BC580DA"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6E11DB2E"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53CE222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Merima</w:t>
            </w:r>
          </w:p>
        </w:tc>
        <w:tc>
          <w:tcPr>
            <w:tcW w:w="0" w:type="auto"/>
            <w:tcMar>
              <w:top w:w="0" w:type="dxa"/>
              <w:left w:w="40" w:type="dxa"/>
              <w:bottom w:w="0" w:type="dxa"/>
              <w:right w:w="40" w:type="dxa"/>
            </w:tcMar>
            <w:vAlign w:val="bottom"/>
          </w:tcPr>
          <w:p w14:paraId="26018B5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Osmanović</w:t>
            </w:r>
          </w:p>
        </w:tc>
        <w:tc>
          <w:tcPr>
            <w:tcW w:w="0" w:type="auto"/>
            <w:tcMar>
              <w:top w:w="0" w:type="dxa"/>
              <w:left w:w="40" w:type="dxa"/>
              <w:bottom w:w="0" w:type="dxa"/>
              <w:right w:w="40" w:type="dxa"/>
            </w:tcMar>
            <w:vAlign w:val="bottom"/>
          </w:tcPr>
          <w:p w14:paraId="244A55AE" w14:textId="77777777" w:rsidR="00094D4C" w:rsidRPr="00457BCB" w:rsidRDefault="00094D4C" w:rsidP="00A5744A">
            <w:pPr>
              <w:rPr>
                <w:rFonts w:ascii="Calibri" w:hAnsi="Calibri"/>
                <w:color w:val="000000"/>
                <w:sz w:val="20"/>
                <w:szCs w:val="20"/>
                <w:lang w:val="en-US"/>
              </w:rPr>
            </w:pPr>
            <w:r w:rsidRPr="00457BCB">
              <w:rPr>
                <w:rFonts w:ascii="Calibri" w:hAnsi="Calibri"/>
                <w:color w:val="000000"/>
                <w:sz w:val="20"/>
                <w:szCs w:val="20"/>
                <w:lang w:val="en-US"/>
              </w:rPr>
              <w:t xml:space="preserve">MEG Coordinator </w:t>
            </w:r>
          </w:p>
        </w:tc>
        <w:tc>
          <w:tcPr>
            <w:tcW w:w="3604" w:type="dxa"/>
            <w:tcMar>
              <w:top w:w="0" w:type="dxa"/>
              <w:left w:w="40" w:type="dxa"/>
              <w:bottom w:w="0" w:type="dxa"/>
              <w:right w:w="40" w:type="dxa"/>
            </w:tcMar>
            <w:vAlign w:val="bottom"/>
          </w:tcPr>
          <w:p w14:paraId="52C5B0F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Ilijaš </w:t>
            </w:r>
          </w:p>
        </w:tc>
        <w:tc>
          <w:tcPr>
            <w:tcW w:w="3330" w:type="dxa"/>
            <w:tcBorders>
              <w:right w:val="single" w:sz="4" w:space="0" w:color="auto"/>
            </w:tcBorders>
            <w:tcMar>
              <w:top w:w="0" w:type="dxa"/>
              <w:left w:w="40" w:type="dxa"/>
              <w:bottom w:w="0" w:type="dxa"/>
              <w:right w:w="40" w:type="dxa"/>
            </w:tcMar>
            <w:vAlign w:val="bottom"/>
          </w:tcPr>
          <w:p w14:paraId="05234C94" w14:textId="77777777" w:rsidR="00094D4C" w:rsidRPr="00457BCB" w:rsidRDefault="00094D4C" w:rsidP="00A5744A">
            <w:pPr>
              <w:widowControl w:val="0"/>
              <w:spacing w:line="276" w:lineRule="auto"/>
              <w:rPr>
                <w:sz w:val="20"/>
                <w:szCs w:val="20"/>
                <w:lang w:val="en-US"/>
              </w:rPr>
            </w:pPr>
            <w:hyperlink r:id="rId113" w:history="1">
              <w:r w:rsidRPr="00457BCB">
                <w:rPr>
                  <w:rStyle w:val="Hyperlink"/>
                  <w:sz w:val="20"/>
                  <w:szCs w:val="20"/>
                  <w:lang w:val="en-US"/>
                </w:rPr>
                <w:t>Merima.osmanovic@ilijas.ba</w:t>
              </w:r>
            </w:hyperlink>
            <w:r w:rsidRPr="00457BCB">
              <w:rPr>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363D7081"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13A681B2"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3E125724"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Valdimir</w:t>
            </w:r>
          </w:p>
        </w:tc>
        <w:tc>
          <w:tcPr>
            <w:tcW w:w="0" w:type="auto"/>
            <w:tcMar>
              <w:top w:w="0" w:type="dxa"/>
              <w:left w:w="40" w:type="dxa"/>
              <w:bottom w:w="0" w:type="dxa"/>
              <w:right w:w="40" w:type="dxa"/>
            </w:tcMar>
            <w:vAlign w:val="bottom"/>
          </w:tcPr>
          <w:p w14:paraId="60A5DB6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Gužvić</w:t>
            </w:r>
          </w:p>
        </w:tc>
        <w:tc>
          <w:tcPr>
            <w:tcW w:w="0" w:type="auto"/>
            <w:tcMar>
              <w:top w:w="0" w:type="dxa"/>
              <w:left w:w="40" w:type="dxa"/>
              <w:bottom w:w="0" w:type="dxa"/>
              <w:right w:w="40" w:type="dxa"/>
            </w:tcMar>
            <w:vAlign w:val="bottom"/>
          </w:tcPr>
          <w:p w14:paraId="55DF5B75"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MEG Coordinator </w:t>
            </w:r>
          </w:p>
        </w:tc>
        <w:tc>
          <w:tcPr>
            <w:tcW w:w="3604" w:type="dxa"/>
            <w:tcMar>
              <w:top w:w="0" w:type="dxa"/>
              <w:left w:w="40" w:type="dxa"/>
              <w:bottom w:w="0" w:type="dxa"/>
              <w:right w:w="40" w:type="dxa"/>
            </w:tcMar>
            <w:vAlign w:val="bottom"/>
          </w:tcPr>
          <w:p w14:paraId="74C46B3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Srbac</w:t>
            </w:r>
          </w:p>
        </w:tc>
        <w:tc>
          <w:tcPr>
            <w:tcW w:w="3330" w:type="dxa"/>
            <w:tcBorders>
              <w:right w:val="single" w:sz="4" w:space="0" w:color="auto"/>
            </w:tcBorders>
            <w:tcMar>
              <w:top w:w="0" w:type="dxa"/>
              <w:left w:w="40" w:type="dxa"/>
              <w:bottom w:w="0" w:type="dxa"/>
              <w:right w:w="40" w:type="dxa"/>
            </w:tcMar>
            <w:vAlign w:val="bottom"/>
          </w:tcPr>
          <w:p w14:paraId="2E51593F" w14:textId="77777777" w:rsidR="00094D4C" w:rsidRPr="00457BCB" w:rsidRDefault="00094D4C" w:rsidP="00A5744A">
            <w:pPr>
              <w:widowControl w:val="0"/>
              <w:spacing w:line="276" w:lineRule="auto"/>
              <w:rPr>
                <w:rFonts w:ascii="Calibri" w:hAnsi="Calibri" w:cs="Calibri"/>
                <w:sz w:val="20"/>
                <w:szCs w:val="20"/>
                <w:u w:val="single"/>
                <w:lang w:val="en-US"/>
              </w:rPr>
            </w:pPr>
            <w:hyperlink r:id="rId114" w:history="1">
              <w:r w:rsidRPr="00457BCB">
                <w:rPr>
                  <w:rStyle w:val="Hyperlink"/>
                  <w:rFonts w:ascii="Calibri" w:hAnsi="Calibri" w:cs="Calibri"/>
                  <w:sz w:val="20"/>
                  <w:szCs w:val="20"/>
                  <w:lang w:val="en-US"/>
                </w:rPr>
                <w:t>vladimir.guzvic@gmail.com</w:t>
              </w:r>
            </w:hyperlink>
            <w:r w:rsidRPr="00457BCB">
              <w:rPr>
                <w:rFonts w:ascii="Calibri" w:hAnsi="Calibri" w:cs="Calibri"/>
                <w:sz w:val="20"/>
                <w:szCs w:val="20"/>
                <w:u w:val="single"/>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01D997F0"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3B293147"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75CA4349"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Zorica</w:t>
            </w:r>
          </w:p>
        </w:tc>
        <w:tc>
          <w:tcPr>
            <w:tcW w:w="0" w:type="auto"/>
            <w:tcMar>
              <w:top w:w="0" w:type="dxa"/>
              <w:left w:w="40" w:type="dxa"/>
              <w:bottom w:w="0" w:type="dxa"/>
              <w:right w:w="40" w:type="dxa"/>
            </w:tcMar>
            <w:vAlign w:val="bottom"/>
          </w:tcPr>
          <w:p w14:paraId="6B842C25"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Suvajac</w:t>
            </w:r>
          </w:p>
        </w:tc>
        <w:tc>
          <w:tcPr>
            <w:tcW w:w="0" w:type="auto"/>
            <w:tcMar>
              <w:top w:w="0" w:type="dxa"/>
              <w:left w:w="40" w:type="dxa"/>
              <w:bottom w:w="0" w:type="dxa"/>
              <w:right w:w="40" w:type="dxa"/>
            </w:tcMar>
            <w:vAlign w:val="bottom"/>
          </w:tcPr>
          <w:p w14:paraId="489E858C"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MEG Coordinator </w:t>
            </w:r>
          </w:p>
        </w:tc>
        <w:tc>
          <w:tcPr>
            <w:tcW w:w="3604" w:type="dxa"/>
            <w:tcMar>
              <w:top w:w="0" w:type="dxa"/>
              <w:left w:w="40" w:type="dxa"/>
              <w:bottom w:w="0" w:type="dxa"/>
              <w:right w:w="40" w:type="dxa"/>
            </w:tcMar>
            <w:vAlign w:val="bottom"/>
          </w:tcPr>
          <w:p w14:paraId="04761A5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Prnjavor</w:t>
            </w:r>
          </w:p>
        </w:tc>
        <w:tc>
          <w:tcPr>
            <w:tcW w:w="3330" w:type="dxa"/>
            <w:tcBorders>
              <w:right w:val="single" w:sz="4" w:space="0" w:color="auto"/>
            </w:tcBorders>
            <w:tcMar>
              <w:top w:w="0" w:type="dxa"/>
              <w:left w:w="40" w:type="dxa"/>
              <w:bottom w:w="0" w:type="dxa"/>
              <w:right w:w="40" w:type="dxa"/>
            </w:tcMar>
            <w:vAlign w:val="bottom"/>
          </w:tcPr>
          <w:p w14:paraId="41DC295B" w14:textId="77777777" w:rsidR="00094D4C" w:rsidRPr="00457BCB" w:rsidRDefault="00094D4C" w:rsidP="00A5744A">
            <w:pPr>
              <w:widowControl w:val="0"/>
              <w:spacing w:line="276" w:lineRule="auto"/>
              <w:rPr>
                <w:rFonts w:ascii="Calibri" w:hAnsi="Calibri" w:cs="Calibri"/>
                <w:sz w:val="20"/>
                <w:szCs w:val="20"/>
                <w:u w:val="single"/>
                <w:lang w:val="en-US"/>
              </w:rPr>
            </w:pPr>
            <w:hyperlink r:id="rId115" w:history="1">
              <w:r w:rsidRPr="00457BCB">
                <w:rPr>
                  <w:rStyle w:val="Hyperlink"/>
                  <w:rFonts w:ascii="Calibri" w:hAnsi="Calibri" w:cs="Calibri"/>
                  <w:sz w:val="20"/>
                  <w:szCs w:val="20"/>
                  <w:lang w:val="en-US"/>
                </w:rPr>
                <w:t>Zorica.suvajac@opstinaprnjavor.net</w:t>
              </w:r>
            </w:hyperlink>
            <w:r w:rsidRPr="00457BCB">
              <w:rPr>
                <w:rFonts w:ascii="Calibri" w:hAnsi="Calibri" w:cs="Calibri"/>
                <w:sz w:val="20"/>
                <w:szCs w:val="20"/>
                <w:u w:val="single"/>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362B6E09"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67ACD152"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36543AC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Valdimir </w:t>
            </w:r>
          </w:p>
        </w:tc>
        <w:tc>
          <w:tcPr>
            <w:tcW w:w="0" w:type="auto"/>
            <w:tcMar>
              <w:top w:w="0" w:type="dxa"/>
              <w:left w:w="40" w:type="dxa"/>
              <w:bottom w:w="0" w:type="dxa"/>
              <w:right w:w="40" w:type="dxa"/>
            </w:tcMar>
            <w:vAlign w:val="bottom"/>
          </w:tcPr>
          <w:p w14:paraId="585E95F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Rupa</w:t>
            </w:r>
          </w:p>
        </w:tc>
        <w:tc>
          <w:tcPr>
            <w:tcW w:w="0" w:type="auto"/>
            <w:tcMar>
              <w:top w:w="0" w:type="dxa"/>
              <w:left w:w="40" w:type="dxa"/>
              <w:bottom w:w="0" w:type="dxa"/>
              <w:right w:w="40" w:type="dxa"/>
            </w:tcMar>
            <w:vAlign w:val="bottom"/>
          </w:tcPr>
          <w:p w14:paraId="3FAB0F4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Civil Engineer</w:t>
            </w:r>
          </w:p>
        </w:tc>
        <w:tc>
          <w:tcPr>
            <w:tcW w:w="3604" w:type="dxa"/>
            <w:tcMar>
              <w:top w:w="0" w:type="dxa"/>
              <w:left w:w="40" w:type="dxa"/>
              <w:bottom w:w="0" w:type="dxa"/>
              <w:right w:w="40" w:type="dxa"/>
            </w:tcMar>
            <w:vAlign w:val="bottom"/>
          </w:tcPr>
          <w:p w14:paraId="2074D5C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Prnjavor</w:t>
            </w:r>
          </w:p>
        </w:tc>
        <w:tc>
          <w:tcPr>
            <w:tcW w:w="3330" w:type="dxa"/>
            <w:tcBorders>
              <w:right w:val="single" w:sz="4" w:space="0" w:color="auto"/>
            </w:tcBorders>
            <w:tcMar>
              <w:top w:w="0" w:type="dxa"/>
              <w:left w:w="40" w:type="dxa"/>
              <w:bottom w:w="0" w:type="dxa"/>
              <w:right w:w="40" w:type="dxa"/>
            </w:tcMar>
            <w:vAlign w:val="bottom"/>
          </w:tcPr>
          <w:p w14:paraId="3D3A10BB" w14:textId="77777777" w:rsidR="00094D4C" w:rsidRPr="00457BCB" w:rsidRDefault="00094D4C" w:rsidP="00A5744A">
            <w:pPr>
              <w:widowControl w:val="0"/>
              <w:spacing w:line="276" w:lineRule="auto"/>
              <w:rPr>
                <w:rFonts w:ascii="Calibri" w:hAnsi="Calibri" w:cs="Calibri"/>
                <w:sz w:val="20"/>
                <w:szCs w:val="20"/>
                <w:u w:val="single"/>
                <w:lang w:val="en-US"/>
              </w:rPr>
            </w:pPr>
            <w:hyperlink r:id="rId116" w:history="1">
              <w:r w:rsidRPr="00457BCB">
                <w:rPr>
                  <w:rStyle w:val="Hyperlink"/>
                  <w:rFonts w:ascii="Calibri" w:hAnsi="Calibri" w:cs="Calibri"/>
                  <w:sz w:val="20"/>
                  <w:szCs w:val="20"/>
                  <w:lang w:val="en-US"/>
                </w:rPr>
                <w:t>Vladimir.rupa@opstinaprnjavor.net</w:t>
              </w:r>
            </w:hyperlink>
            <w:r w:rsidRPr="00457BCB">
              <w:rPr>
                <w:rFonts w:ascii="Calibri" w:hAnsi="Calibri" w:cs="Calibri"/>
                <w:sz w:val="20"/>
                <w:szCs w:val="20"/>
                <w:u w:val="single"/>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77A09CD0"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3B840541"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6BE7171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Lidija</w:t>
            </w:r>
          </w:p>
        </w:tc>
        <w:tc>
          <w:tcPr>
            <w:tcW w:w="0" w:type="auto"/>
            <w:tcMar>
              <w:top w:w="0" w:type="dxa"/>
              <w:left w:w="40" w:type="dxa"/>
              <w:bottom w:w="0" w:type="dxa"/>
              <w:right w:w="40" w:type="dxa"/>
            </w:tcMar>
            <w:vAlign w:val="bottom"/>
          </w:tcPr>
          <w:p w14:paraId="1B6CF70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Kalenjuk Milijaš</w:t>
            </w:r>
          </w:p>
        </w:tc>
        <w:tc>
          <w:tcPr>
            <w:tcW w:w="0" w:type="auto"/>
            <w:tcMar>
              <w:top w:w="0" w:type="dxa"/>
              <w:left w:w="40" w:type="dxa"/>
              <w:bottom w:w="0" w:type="dxa"/>
              <w:right w:w="40" w:type="dxa"/>
            </w:tcMar>
            <w:vAlign w:val="bottom"/>
          </w:tcPr>
          <w:p w14:paraId="3E4E0AE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Representative of the City Assembly </w:t>
            </w:r>
          </w:p>
        </w:tc>
        <w:tc>
          <w:tcPr>
            <w:tcW w:w="3604" w:type="dxa"/>
            <w:tcMar>
              <w:top w:w="0" w:type="dxa"/>
              <w:left w:w="40" w:type="dxa"/>
              <w:bottom w:w="0" w:type="dxa"/>
              <w:right w:w="40" w:type="dxa"/>
            </w:tcMar>
            <w:vAlign w:val="bottom"/>
          </w:tcPr>
          <w:p w14:paraId="5304482F"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Prnjavor</w:t>
            </w:r>
          </w:p>
        </w:tc>
        <w:tc>
          <w:tcPr>
            <w:tcW w:w="3330" w:type="dxa"/>
            <w:tcBorders>
              <w:right w:val="single" w:sz="4" w:space="0" w:color="auto"/>
            </w:tcBorders>
            <w:tcMar>
              <w:top w:w="0" w:type="dxa"/>
              <w:left w:w="40" w:type="dxa"/>
              <w:bottom w:w="0" w:type="dxa"/>
              <w:right w:w="40" w:type="dxa"/>
            </w:tcMar>
            <w:vAlign w:val="bottom"/>
          </w:tcPr>
          <w:p w14:paraId="665202DF" w14:textId="77777777" w:rsidR="00094D4C" w:rsidRPr="00457BCB" w:rsidRDefault="00094D4C" w:rsidP="00A5744A">
            <w:pPr>
              <w:widowControl w:val="0"/>
              <w:spacing w:line="276" w:lineRule="auto"/>
              <w:rPr>
                <w:rFonts w:ascii="Calibri" w:hAnsi="Calibri" w:cs="Calibri"/>
                <w:sz w:val="20"/>
                <w:szCs w:val="20"/>
                <w:u w:val="single"/>
                <w:lang w:val="en-US"/>
              </w:rPr>
            </w:pPr>
            <w:hyperlink r:id="rId117" w:history="1">
              <w:r w:rsidRPr="00457BCB">
                <w:rPr>
                  <w:rStyle w:val="Hyperlink"/>
                  <w:rFonts w:ascii="Segoe UI" w:hAnsi="Segoe UI" w:cs="Segoe UI"/>
                  <w:sz w:val="18"/>
                  <w:szCs w:val="18"/>
                  <w:shd w:val="clear" w:color="auto" w:fill="FFFFFF"/>
                  <w:lang w:val="en-US"/>
                </w:rPr>
                <w:t>portparol@prnjavor.ba</w:t>
              </w:r>
            </w:hyperlink>
            <w:r w:rsidRPr="00457BCB">
              <w:rPr>
                <w:rFonts w:ascii="Segoe UI" w:hAnsi="Segoe UI" w:cs="Segoe UI"/>
                <w:color w:val="212529"/>
                <w:sz w:val="18"/>
                <w:szCs w:val="18"/>
                <w:shd w:val="clear" w:color="auto" w:fill="FFFFFF"/>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73451002"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696F4B62"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52CA511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Milovan </w:t>
            </w:r>
          </w:p>
        </w:tc>
        <w:tc>
          <w:tcPr>
            <w:tcW w:w="0" w:type="auto"/>
            <w:tcMar>
              <w:top w:w="0" w:type="dxa"/>
              <w:left w:w="40" w:type="dxa"/>
              <w:bottom w:w="0" w:type="dxa"/>
              <w:right w:w="40" w:type="dxa"/>
            </w:tcMar>
            <w:vAlign w:val="bottom"/>
          </w:tcPr>
          <w:p w14:paraId="3695242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Ćosić</w:t>
            </w:r>
          </w:p>
        </w:tc>
        <w:tc>
          <w:tcPr>
            <w:tcW w:w="0" w:type="auto"/>
            <w:tcMar>
              <w:top w:w="0" w:type="dxa"/>
              <w:left w:w="40" w:type="dxa"/>
              <w:bottom w:w="0" w:type="dxa"/>
              <w:right w:w="40" w:type="dxa"/>
            </w:tcMar>
            <w:vAlign w:val="bottom"/>
          </w:tcPr>
          <w:p w14:paraId="12992611"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MEG Coordinator</w:t>
            </w:r>
          </w:p>
        </w:tc>
        <w:tc>
          <w:tcPr>
            <w:tcW w:w="3604" w:type="dxa"/>
            <w:tcMar>
              <w:top w:w="0" w:type="dxa"/>
              <w:left w:w="40" w:type="dxa"/>
              <w:bottom w:w="0" w:type="dxa"/>
              <w:right w:w="40" w:type="dxa"/>
            </w:tcMar>
            <w:vAlign w:val="bottom"/>
          </w:tcPr>
          <w:p w14:paraId="1856269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Čelinac</w:t>
            </w:r>
          </w:p>
        </w:tc>
        <w:tc>
          <w:tcPr>
            <w:tcW w:w="3330" w:type="dxa"/>
            <w:tcBorders>
              <w:right w:val="single" w:sz="4" w:space="0" w:color="auto"/>
            </w:tcBorders>
            <w:tcMar>
              <w:top w:w="0" w:type="dxa"/>
              <w:left w:w="40" w:type="dxa"/>
              <w:bottom w:w="0" w:type="dxa"/>
              <w:right w:w="40" w:type="dxa"/>
            </w:tcMar>
            <w:vAlign w:val="bottom"/>
          </w:tcPr>
          <w:p w14:paraId="3C13C646" w14:textId="77777777" w:rsidR="00094D4C" w:rsidRPr="00457BCB" w:rsidRDefault="00094D4C" w:rsidP="00A5744A">
            <w:pPr>
              <w:widowControl w:val="0"/>
              <w:spacing w:line="276" w:lineRule="auto"/>
              <w:rPr>
                <w:rFonts w:ascii="Calibri" w:hAnsi="Calibri" w:cs="Calibri"/>
                <w:sz w:val="20"/>
                <w:szCs w:val="20"/>
                <w:u w:val="single"/>
                <w:lang w:val="en-US"/>
              </w:rPr>
            </w:pPr>
            <w:hyperlink r:id="rId118" w:history="1">
              <w:r w:rsidRPr="00457BCB">
                <w:rPr>
                  <w:rStyle w:val="Hyperlink"/>
                  <w:rFonts w:ascii="Calibri" w:hAnsi="Calibri" w:cs="Calibri"/>
                  <w:sz w:val="20"/>
                  <w:szCs w:val="20"/>
                  <w:lang w:val="en-US"/>
                </w:rPr>
                <w:t>Milovan.cosic@opstina-celinac.com</w:t>
              </w:r>
            </w:hyperlink>
            <w:r w:rsidRPr="00457BCB">
              <w:rPr>
                <w:rFonts w:ascii="Calibri" w:hAnsi="Calibri" w:cs="Calibri"/>
                <w:sz w:val="20"/>
                <w:szCs w:val="20"/>
                <w:u w:val="single"/>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5DAA4D96"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0AC45807"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6DABCAE9"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Mirela </w:t>
            </w:r>
          </w:p>
        </w:tc>
        <w:tc>
          <w:tcPr>
            <w:tcW w:w="0" w:type="auto"/>
            <w:tcMar>
              <w:top w:w="0" w:type="dxa"/>
              <w:left w:w="40" w:type="dxa"/>
              <w:bottom w:w="0" w:type="dxa"/>
              <w:right w:w="40" w:type="dxa"/>
            </w:tcMar>
            <w:vAlign w:val="bottom"/>
          </w:tcPr>
          <w:p w14:paraId="72944474"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Tešnjak</w:t>
            </w:r>
          </w:p>
        </w:tc>
        <w:tc>
          <w:tcPr>
            <w:tcW w:w="0" w:type="auto"/>
            <w:tcMar>
              <w:top w:w="0" w:type="dxa"/>
              <w:left w:w="40" w:type="dxa"/>
              <w:bottom w:w="0" w:type="dxa"/>
              <w:right w:w="40" w:type="dxa"/>
            </w:tcMar>
            <w:vAlign w:val="bottom"/>
          </w:tcPr>
          <w:p w14:paraId="3D13011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MEG Coordinator </w:t>
            </w:r>
          </w:p>
        </w:tc>
        <w:tc>
          <w:tcPr>
            <w:tcW w:w="3604" w:type="dxa"/>
            <w:tcMar>
              <w:top w:w="0" w:type="dxa"/>
              <w:left w:w="40" w:type="dxa"/>
              <w:bottom w:w="0" w:type="dxa"/>
              <w:right w:w="40" w:type="dxa"/>
            </w:tcMar>
            <w:vAlign w:val="bottom"/>
          </w:tcPr>
          <w:p w14:paraId="1D1CA47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Bosanski Petrovac</w:t>
            </w:r>
          </w:p>
        </w:tc>
        <w:tc>
          <w:tcPr>
            <w:tcW w:w="3330" w:type="dxa"/>
            <w:tcBorders>
              <w:right w:val="single" w:sz="4" w:space="0" w:color="auto"/>
            </w:tcBorders>
            <w:tcMar>
              <w:top w:w="0" w:type="dxa"/>
              <w:left w:w="40" w:type="dxa"/>
              <w:bottom w:w="0" w:type="dxa"/>
              <w:right w:w="40" w:type="dxa"/>
            </w:tcMar>
            <w:vAlign w:val="bottom"/>
          </w:tcPr>
          <w:p w14:paraId="6EDD76E3" w14:textId="77777777" w:rsidR="00094D4C" w:rsidRPr="00457BCB" w:rsidRDefault="00094D4C" w:rsidP="00A5744A">
            <w:pPr>
              <w:widowControl w:val="0"/>
              <w:spacing w:line="276" w:lineRule="auto"/>
              <w:rPr>
                <w:rFonts w:ascii="Calibri" w:hAnsi="Calibri" w:cs="Calibri"/>
                <w:sz w:val="20"/>
                <w:szCs w:val="20"/>
                <w:u w:val="single"/>
                <w:lang w:val="en-US"/>
              </w:rPr>
            </w:pPr>
            <w:hyperlink r:id="rId119" w:history="1">
              <w:r w:rsidRPr="00457BCB">
                <w:rPr>
                  <w:rStyle w:val="Hyperlink"/>
                  <w:rFonts w:ascii="Calibri" w:hAnsi="Calibri" w:cs="Calibri"/>
                  <w:sz w:val="20"/>
                  <w:szCs w:val="20"/>
                  <w:lang w:val="en-US"/>
                </w:rPr>
                <w:t>opcinabp@bih.net.ba</w:t>
              </w:r>
            </w:hyperlink>
            <w:r w:rsidRPr="00457BCB">
              <w:rPr>
                <w:rFonts w:ascii="Calibri" w:hAnsi="Calibri" w:cs="Calibri"/>
                <w:sz w:val="20"/>
                <w:szCs w:val="20"/>
                <w:u w:val="single"/>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4126DBA0"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1225E5E6"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2971C249"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Saša</w:t>
            </w:r>
          </w:p>
        </w:tc>
        <w:tc>
          <w:tcPr>
            <w:tcW w:w="0" w:type="auto"/>
            <w:tcMar>
              <w:top w:w="0" w:type="dxa"/>
              <w:left w:w="40" w:type="dxa"/>
              <w:bottom w:w="0" w:type="dxa"/>
              <w:right w:w="40" w:type="dxa"/>
            </w:tcMar>
            <w:vAlign w:val="bottom"/>
          </w:tcPr>
          <w:p w14:paraId="0C3737C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Slijepčević</w:t>
            </w:r>
          </w:p>
        </w:tc>
        <w:tc>
          <w:tcPr>
            <w:tcW w:w="0" w:type="auto"/>
            <w:tcMar>
              <w:top w:w="0" w:type="dxa"/>
              <w:left w:w="40" w:type="dxa"/>
              <w:bottom w:w="0" w:type="dxa"/>
              <w:right w:w="40" w:type="dxa"/>
            </w:tcMar>
            <w:vAlign w:val="bottom"/>
          </w:tcPr>
          <w:p w14:paraId="3D6364D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MEG Coordnator</w:t>
            </w:r>
          </w:p>
        </w:tc>
        <w:tc>
          <w:tcPr>
            <w:tcW w:w="3604" w:type="dxa"/>
            <w:tcMar>
              <w:top w:w="0" w:type="dxa"/>
              <w:left w:w="40" w:type="dxa"/>
              <w:bottom w:w="0" w:type="dxa"/>
              <w:right w:w="40" w:type="dxa"/>
            </w:tcMar>
            <w:vAlign w:val="bottom"/>
          </w:tcPr>
          <w:p w14:paraId="291FA77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Gacko</w:t>
            </w:r>
          </w:p>
        </w:tc>
        <w:tc>
          <w:tcPr>
            <w:tcW w:w="3330" w:type="dxa"/>
            <w:tcBorders>
              <w:right w:val="single" w:sz="4" w:space="0" w:color="auto"/>
            </w:tcBorders>
            <w:tcMar>
              <w:top w:w="0" w:type="dxa"/>
              <w:left w:w="40" w:type="dxa"/>
              <w:bottom w:w="0" w:type="dxa"/>
              <w:right w:w="40" w:type="dxa"/>
            </w:tcMar>
            <w:vAlign w:val="bottom"/>
          </w:tcPr>
          <w:p w14:paraId="3E68CF55" w14:textId="77777777" w:rsidR="00094D4C" w:rsidRPr="00457BCB" w:rsidRDefault="00094D4C" w:rsidP="00A5744A">
            <w:pPr>
              <w:widowControl w:val="0"/>
              <w:spacing w:line="276" w:lineRule="auto"/>
              <w:rPr>
                <w:rFonts w:ascii="Calibri" w:hAnsi="Calibri" w:cs="Calibri"/>
                <w:sz w:val="20"/>
                <w:szCs w:val="20"/>
                <w:lang w:val="en-US"/>
              </w:rPr>
            </w:pPr>
            <w:hyperlink r:id="rId120" w:history="1">
              <w:r w:rsidRPr="00457BCB">
                <w:rPr>
                  <w:rStyle w:val="Hyperlink"/>
                  <w:rFonts w:ascii="Calibri" w:hAnsi="Calibri" w:cs="Calibri"/>
                  <w:sz w:val="20"/>
                  <w:szCs w:val="20"/>
                  <w:lang w:val="en-US"/>
                </w:rPr>
                <w:t>sslijepcevic@yahoo.com</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55E6CBD1"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4184037C"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52F15B4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Vildana </w:t>
            </w:r>
          </w:p>
        </w:tc>
        <w:tc>
          <w:tcPr>
            <w:tcW w:w="0" w:type="auto"/>
            <w:tcMar>
              <w:top w:w="0" w:type="dxa"/>
              <w:left w:w="40" w:type="dxa"/>
              <w:bottom w:w="0" w:type="dxa"/>
              <w:right w:w="40" w:type="dxa"/>
            </w:tcMar>
            <w:vAlign w:val="bottom"/>
          </w:tcPr>
          <w:p w14:paraId="1047B1E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Zulic</w:t>
            </w:r>
          </w:p>
        </w:tc>
        <w:tc>
          <w:tcPr>
            <w:tcW w:w="0" w:type="auto"/>
            <w:tcMar>
              <w:top w:w="0" w:type="dxa"/>
              <w:left w:w="40" w:type="dxa"/>
              <w:bottom w:w="0" w:type="dxa"/>
              <w:right w:w="40" w:type="dxa"/>
            </w:tcMar>
            <w:vAlign w:val="bottom"/>
          </w:tcPr>
          <w:p w14:paraId="297F944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MEG Coordinator</w:t>
            </w:r>
          </w:p>
        </w:tc>
        <w:tc>
          <w:tcPr>
            <w:tcW w:w="3604" w:type="dxa"/>
            <w:tcMar>
              <w:top w:w="0" w:type="dxa"/>
              <w:left w:w="40" w:type="dxa"/>
              <w:bottom w:w="0" w:type="dxa"/>
              <w:right w:w="40" w:type="dxa"/>
            </w:tcMar>
            <w:vAlign w:val="bottom"/>
          </w:tcPr>
          <w:p w14:paraId="1E6725B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Bihac</w:t>
            </w:r>
          </w:p>
        </w:tc>
        <w:tc>
          <w:tcPr>
            <w:tcW w:w="3330" w:type="dxa"/>
            <w:tcBorders>
              <w:right w:val="single" w:sz="4" w:space="0" w:color="auto"/>
            </w:tcBorders>
            <w:tcMar>
              <w:top w:w="0" w:type="dxa"/>
              <w:left w:w="40" w:type="dxa"/>
              <w:bottom w:w="0" w:type="dxa"/>
              <w:right w:w="40" w:type="dxa"/>
            </w:tcMar>
            <w:vAlign w:val="bottom"/>
          </w:tcPr>
          <w:p w14:paraId="761F3F89" w14:textId="77777777" w:rsidR="00094D4C" w:rsidRPr="00457BCB" w:rsidRDefault="00094D4C" w:rsidP="00A5744A">
            <w:pPr>
              <w:widowControl w:val="0"/>
              <w:spacing w:line="276" w:lineRule="auto"/>
              <w:rPr>
                <w:rFonts w:ascii="Calibri" w:hAnsi="Calibri"/>
                <w:sz w:val="20"/>
                <w:szCs w:val="20"/>
                <w:lang w:val="en-US"/>
              </w:rPr>
            </w:pPr>
            <w:hyperlink r:id="rId121" w:history="1">
              <w:r w:rsidRPr="00457BCB">
                <w:rPr>
                  <w:rStyle w:val="Hyperlink"/>
                  <w:rFonts w:ascii="Calibri" w:hAnsi="Calibri"/>
                  <w:sz w:val="20"/>
                  <w:szCs w:val="20"/>
                  <w:lang w:val="en-US"/>
                </w:rPr>
                <w:t>Vildana.zulic@bihac.org</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27D56B59"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57828F09"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008670D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Ibrahim</w:t>
            </w:r>
          </w:p>
        </w:tc>
        <w:tc>
          <w:tcPr>
            <w:tcW w:w="0" w:type="auto"/>
            <w:tcMar>
              <w:top w:w="0" w:type="dxa"/>
              <w:left w:w="40" w:type="dxa"/>
              <w:bottom w:w="0" w:type="dxa"/>
              <w:right w:w="40" w:type="dxa"/>
            </w:tcMar>
            <w:vAlign w:val="bottom"/>
          </w:tcPr>
          <w:p w14:paraId="40A36B7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Begić</w:t>
            </w:r>
          </w:p>
        </w:tc>
        <w:tc>
          <w:tcPr>
            <w:tcW w:w="0" w:type="auto"/>
            <w:tcMar>
              <w:top w:w="0" w:type="dxa"/>
              <w:left w:w="40" w:type="dxa"/>
              <w:bottom w:w="0" w:type="dxa"/>
              <w:right w:w="40" w:type="dxa"/>
            </w:tcMar>
            <w:vAlign w:val="bottom"/>
          </w:tcPr>
          <w:p w14:paraId="585F07D4"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Secretary of the city assembly</w:t>
            </w:r>
          </w:p>
        </w:tc>
        <w:tc>
          <w:tcPr>
            <w:tcW w:w="3604" w:type="dxa"/>
            <w:tcMar>
              <w:top w:w="0" w:type="dxa"/>
              <w:left w:w="40" w:type="dxa"/>
              <w:bottom w:w="0" w:type="dxa"/>
              <w:right w:w="40" w:type="dxa"/>
            </w:tcMar>
            <w:vAlign w:val="bottom"/>
          </w:tcPr>
          <w:p w14:paraId="50BC3385"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Bihać</w:t>
            </w:r>
          </w:p>
        </w:tc>
        <w:tc>
          <w:tcPr>
            <w:tcW w:w="3330" w:type="dxa"/>
            <w:tcBorders>
              <w:right w:val="single" w:sz="4" w:space="0" w:color="auto"/>
            </w:tcBorders>
            <w:tcMar>
              <w:top w:w="0" w:type="dxa"/>
              <w:left w:w="40" w:type="dxa"/>
              <w:bottom w:w="0" w:type="dxa"/>
              <w:right w:w="40" w:type="dxa"/>
            </w:tcMar>
            <w:vAlign w:val="bottom"/>
          </w:tcPr>
          <w:p w14:paraId="5F11578C" w14:textId="77777777" w:rsidR="00094D4C" w:rsidRPr="00457BCB" w:rsidRDefault="00094D4C" w:rsidP="00A5744A">
            <w:pPr>
              <w:widowControl w:val="0"/>
              <w:spacing w:line="276" w:lineRule="auto"/>
              <w:rPr>
                <w:rFonts w:ascii="Calibri" w:hAnsi="Calibri"/>
                <w:sz w:val="20"/>
                <w:szCs w:val="20"/>
                <w:lang w:val="en-US"/>
              </w:rPr>
            </w:pPr>
            <w:hyperlink r:id="rId122" w:history="1">
              <w:r w:rsidRPr="00457BCB">
                <w:rPr>
                  <w:rStyle w:val="Hyperlink"/>
                  <w:rFonts w:ascii="Calibri" w:hAnsi="Calibri"/>
                  <w:sz w:val="20"/>
                  <w:szCs w:val="20"/>
                  <w:lang w:val="en-US"/>
                </w:rPr>
                <w:t>vijece@bihac.org</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375874B8"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3D733074"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46B61E17"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Aida</w:t>
            </w:r>
          </w:p>
        </w:tc>
        <w:tc>
          <w:tcPr>
            <w:tcW w:w="0" w:type="auto"/>
            <w:tcMar>
              <w:top w:w="0" w:type="dxa"/>
              <w:left w:w="40" w:type="dxa"/>
              <w:bottom w:w="0" w:type="dxa"/>
              <w:right w:w="40" w:type="dxa"/>
            </w:tcMar>
            <w:vAlign w:val="bottom"/>
          </w:tcPr>
          <w:p w14:paraId="53AD3FAE"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Hidžić</w:t>
            </w:r>
          </w:p>
        </w:tc>
        <w:tc>
          <w:tcPr>
            <w:tcW w:w="0" w:type="auto"/>
            <w:tcMar>
              <w:top w:w="0" w:type="dxa"/>
              <w:left w:w="40" w:type="dxa"/>
              <w:bottom w:w="0" w:type="dxa"/>
              <w:right w:w="40" w:type="dxa"/>
            </w:tcMar>
            <w:vAlign w:val="bottom"/>
          </w:tcPr>
          <w:p w14:paraId="3870E28F"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MEG Coordinator </w:t>
            </w:r>
          </w:p>
        </w:tc>
        <w:tc>
          <w:tcPr>
            <w:tcW w:w="3604" w:type="dxa"/>
            <w:tcMar>
              <w:top w:w="0" w:type="dxa"/>
              <w:left w:w="40" w:type="dxa"/>
              <w:bottom w:w="0" w:type="dxa"/>
              <w:right w:w="40" w:type="dxa"/>
            </w:tcMar>
            <w:vAlign w:val="bottom"/>
          </w:tcPr>
          <w:p w14:paraId="5DB0547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Gračanica</w:t>
            </w:r>
          </w:p>
        </w:tc>
        <w:tc>
          <w:tcPr>
            <w:tcW w:w="3330" w:type="dxa"/>
            <w:tcBorders>
              <w:right w:val="single" w:sz="4" w:space="0" w:color="auto"/>
            </w:tcBorders>
            <w:tcMar>
              <w:top w:w="0" w:type="dxa"/>
              <w:left w:w="40" w:type="dxa"/>
              <w:bottom w:w="0" w:type="dxa"/>
              <w:right w:w="40" w:type="dxa"/>
            </w:tcMar>
            <w:vAlign w:val="bottom"/>
          </w:tcPr>
          <w:p w14:paraId="50A4AB13" w14:textId="77777777" w:rsidR="00094D4C" w:rsidRPr="00457BCB" w:rsidRDefault="00094D4C" w:rsidP="00A5744A">
            <w:pPr>
              <w:widowControl w:val="0"/>
              <w:spacing w:line="276" w:lineRule="auto"/>
              <w:rPr>
                <w:rFonts w:ascii="Calibri" w:hAnsi="Calibri" w:cs="Calibri"/>
                <w:sz w:val="20"/>
                <w:szCs w:val="20"/>
                <w:u w:val="single"/>
                <w:lang w:val="en-US"/>
              </w:rPr>
            </w:pPr>
            <w:hyperlink r:id="rId123" w:history="1">
              <w:r w:rsidRPr="00457BCB">
                <w:rPr>
                  <w:rStyle w:val="Hyperlink"/>
                  <w:rFonts w:ascii="Calibri" w:hAnsi="Calibri" w:cs="Calibri"/>
                  <w:sz w:val="20"/>
                  <w:szCs w:val="20"/>
                  <w:lang w:val="en-US"/>
                </w:rPr>
                <w:t>a.hodzic@gracanica.gov.ba</w:t>
              </w:r>
            </w:hyperlink>
            <w:r w:rsidRPr="00457BCB">
              <w:rPr>
                <w:rFonts w:ascii="Calibri" w:hAnsi="Calibri" w:cs="Calibri"/>
                <w:sz w:val="20"/>
                <w:szCs w:val="20"/>
                <w:u w:val="single"/>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5843D5F0"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6B0A4198"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0716AAEF"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Igor </w:t>
            </w:r>
          </w:p>
        </w:tc>
        <w:tc>
          <w:tcPr>
            <w:tcW w:w="0" w:type="auto"/>
            <w:tcMar>
              <w:top w:w="0" w:type="dxa"/>
              <w:left w:w="40" w:type="dxa"/>
              <w:bottom w:w="0" w:type="dxa"/>
              <w:right w:w="40" w:type="dxa"/>
            </w:tcMar>
            <w:vAlign w:val="bottom"/>
          </w:tcPr>
          <w:p w14:paraId="0BA84FA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Djokanovic</w:t>
            </w:r>
          </w:p>
        </w:tc>
        <w:tc>
          <w:tcPr>
            <w:tcW w:w="0" w:type="auto"/>
            <w:tcMar>
              <w:top w:w="0" w:type="dxa"/>
              <w:left w:w="40" w:type="dxa"/>
              <w:bottom w:w="0" w:type="dxa"/>
              <w:right w:w="40" w:type="dxa"/>
            </w:tcMar>
            <w:vAlign w:val="bottom"/>
          </w:tcPr>
          <w:p w14:paraId="5305197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MEG Coordinator</w:t>
            </w:r>
          </w:p>
        </w:tc>
        <w:tc>
          <w:tcPr>
            <w:tcW w:w="3604" w:type="dxa"/>
            <w:tcMar>
              <w:top w:w="0" w:type="dxa"/>
              <w:left w:w="40" w:type="dxa"/>
              <w:bottom w:w="0" w:type="dxa"/>
              <w:right w:w="40" w:type="dxa"/>
            </w:tcMar>
            <w:vAlign w:val="bottom"/>
          </w:tcPr>
          <w:p w14:paraId="05AF4CA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Istocno Novo Sarajevo</w:t>
            </w:r>
          </w:p>
        </w:tc>
        <w:tc>
          <w:tcPr>
            <w:tcW w:w="3330" w:type="dxa"/>
            <w:tcBorders>
              <w:right w:val="single" w:sz="4" w:space="0" w:color="auto"/>
            </w:tcBorders>
            <w:tcMar>
              <w:top w:w="0" w:type="dxa"/>
              <w:left w:w="40" w:type="dxa"/>
              <w:bottom w:w="0" w:type="dxa"/>
              <w:right w:w="40" w:type="dxa"/>
            </w:tcMar>
            <w:vAlign w:val="bottom"/>
          </w:tcPr>
          <w:p w14:paraId="311CEC73" w14:textId="77777777" w:rsidR="00094D4C" w:rsidRPr="00457BCB" w:rsidRDefault="00094D4C" w:rsidP="00A5744A">
            <w:pPr>
              <w:widowControl w:val="0"/>
              <w:spacing w:line="276" w:lineRule="auto"/>
              <w:rPr>
                <w:rFonts w:ascii="Calibri" w:hAnsi="Calibri"/>
                <w:sz w:val="20"/>
                <w:szCs w:val="20"/>
                <w:lang w:val="en-US"/>
              </w:rPr>
            </w:pPr>
            <w:hyperlink r:id="rId124" w:history="1">
              <w:r w:rsidRPr="00457BCB">
                <w:rPr>
                  <w:rStyle w:val="Hyperlink"/>
                  <w:rFonts w:ascii="Calibri" w:hAnsi="Calibri"/>
                  <w:sz w:val="20"/>
                  <w:szCs w:val="20"/>
                  <w:lang w:val="en-US"/>
                </w:rPr>
                <w:t>privreda@opstinains.net</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3DA7D7B0"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67512794" w14:textId="77777777" w:rsidTr="212A59DF">
        <w:trPr>
          <w:trHeight w:val="315"/>
        </w:trPr>
        <w:tc>
          <w:tcPr>
            <w:tcW w:w="13270" w:type="dxa"/>
            <w:gridSpan w:val="5"/>
            <w:tcBorders>
              <w:left w:val="single" w:sz="12" w:space="0" w:color="000000" w:themeColor="text1"/>
              <w:bottom w:val="single" w:sz="6" w:space="0" w:color="000000" w:themeColor="text1"/>
              <w:right w:val="single" w:sz="4" w:space="0" w:color="auto"/>
            </w:tcBorders>
            <w:shd w:val="clear" w:color="auto" w:fill="DEEAF6"/>
            <w:tcMar>
              <w:top w:w="0" w:type="dxa"/>
              <w:left w:w="40" w:type="dxa"/>
              <w:bottom w:w="0" w:type="dxa"/>
              <w:right w:w="40" w:type="dxa"/>
            </w:tcMar>
            <w:vAlign w:val="bottom"/>
          </w:tcPr>
          <w:p w14:paraId="03834914" w14:textId="77777777" w:rsidR="00094D4C" w:rsidRPr="00457BCB" w:rsidRDefault="00094D4C" w:rsidP="00A5744A">
            <w:pPr>
              <w:widowControl w:val="0"/>
              <w:spacing w:line="276" w:lineRule="auto"/>
              <w:jc w:val="center"/>
              <w:rPr>
                <w:rFonts w:ascii="Calibri" w:hAnsi="Calibri" w:cs="Calibri"/>
                <w:lang w:val="en-US"/>
              </w:rPr>
            </w:pPr>
            <w:r w:rsidRPr="00457BCB">
              <w:rPr>
                <w:rFonts w:ascii="Calibri" w:hAnsi="Calibri" w:cs="Calibri"/>
                <w:b/>
                <w:lang w:val="en-US"/>
              </w:rPr>
              <w:t>Water utility companies</w:t>
            </w:r>
          </w:p>
        </w:tc>
        <w:tc>
          <w:tcPr>
            <w:tcW w:w="818" w:type="dxa"/>
            <w:tcBorders>
              <w:top w:val="single" w:sz="4" w:space="0" w:color="auto"/>
              <w:left w:val="single" w:sz="4" w:space="0" w:color="auto"/>
              <w:bottom w:val="single" w:sz="4" w:space="0" w:color="auto"/>
              <w:right w:val="single" w:sz="4" w:space="0" w:color="auto"/>
            </w:tcBorders>
            <w:shd w:val="clear" w:color="auto" w:fill="DEEAF6"/>
          </w:tcPr>
          <w:p w14:paraId="5E97241C" w14:textId="77777777" w:rsidR="00094D4C" w:rsidRPr="00457BCB" w:rsidRDefault="00094D4C" w:rsidP="00A5744A">
            <w:pPr>
              <w:widowControl w:val="0"/>
              <w:spacing w:line="276" w:lineRule="auto"/>
              <w:jc w:val="center"/>
              <w:rPr>
                <w:rFonts w:ascii="Calibri" w:hAnsi="Calibri" w:cs="Calibri"/>
                <w:b/>
                <w:lang w:val="en-US"/>
              </w:rPr>
            </w:pPr>
          </w:p>
        </w:tc>
      </w:tr>
      <w:tr w:rsidR="00094D4C" w:rsidRPr="00F569AE" w14:paraId="7627F3E2"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2F6837B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Mirnes </w:t>
            </w:r>
          </w:p>
        </w:tc>
        <w:tc>
          <w:tcPr>
            <w:tcW w:w="0" w:type="auto"/>
            <w:tcMar>
              <w:top w:w="0" w:type="dxa"/>
              <w:left w:w="40" w:type="dxa"/>
              <w:bottom w:w="0" w:type="dxa"/>
              <w:right w:w="40" w:type="dxa"/>
            </w:tcMar>
            <w:vAlign w:val="bottom"/>
          </w:tcPr>
          <w:p w14:paraId="4C2DAD3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Ćustović</w:t>
            </w:r>
          </w:p>
        </w:tc>
        <w:tc>
          <w:tcPr>
            <w:tcW w:w="0" w:type="auto"/>
            <w:tcMar>
              <w:top w:w="0" w:type="dxa"/>
              <w:left w:w="40" w:type="dxa"/>
              <w:bottom w:w="0" w:type="dxa"/>
              <w:right w:w="40" w:type="dxa"/>
            </w:tcMar>
            <w:vAlign w:val="bottom"/>
          </w:tcPr>
          <w:p w14:paraId="0F59D824"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Head of engineering department </w:t>
            </w:r>
          </w:p>
        </w:tc>
        <w:tc>
          <w:tcPr>
            <w:tcW w:w="3604" w:type="dxa"/>
            <w:tcMar>
              <w:top w:w="0" w:type="dxa"/>
              <w:left w:w="40" w:type="dxa"/>
              <w:bottom w:w="0" w:type="dxa"/>
              <w:right w:w="40" w:type="dxa"/>
            </w:tcMar>
            <w:vAlign w:val="bottom"/>
          </w:tcPr>
          <w:p w14:paraId="04C59E6B" w14:textId="77777777" w:rsidR="00094D4C" w:rsidRPr="00457BCB" w:rsidRDefault="00094D4C" w:rsidP="00A5744A">
            <w:pPr>
              <w:rPr>
                <w:rFonts w:ascii="Calibri" w:hAnsi="Calibri" w:cs="Calibri"/>
                <w:sz w:val="20"/>
                <w:szCs w:val="20"/>
                <w:lang w:val="en-US"/>
              </w:rPr>
            </w:pPr>
            <w:r w:rsidRPr="00457BCB">
              <w:rPr>
                <w:rFonts w:ascii="Calibri" w:hAnsi="Calibri" w:cs="Calibri"/>
                <w:sz w:val="20"/>
                <w:szCs w:val="20"/>
                <w:lang w:val="en-US"/>
              </w:rPr>
              <w:t xml:space="preserve">Ilijaš </w:t>
            </w:r>
          </w:p>
        </w:tc>
        <w:tc>
          <w:tcPr>
            <w:tcW w:w="3330" w:type="dxa"/>
            <w:tcBorders>
              <w:right w:val="single" w:sz="4" w:space="0" w:color="auto"/>
            </w:tcBorders>
            <w:tcMar>
              <w:top w:w="0" w:type="dxa"/>
              <w:left w:w="40" w:type="dxa"/>
              <w:bottom w:w="0" w:type="dxa"/>
              <w:right w:w="40" w:type="dxa"/>
            </w:tcMar>
            <w:vAlign w:val="bottom"/>
          </w:tcPr>
          <w:p w14:paraId="2C5B3156" w14:textId="77777777" w:rsidR="00094D4C" w:rsidRPr="00457BCB" w:rsidRDefault="00094D4C" w:rsidP="00A5744A">
            <w:pPr>
              <w:widowControl w:val="0"/>
              <w:spacing w:line="276" w:lineRule="auto"/>
              <w:rPr>
                <w:rFonts w:ascii="Calibri" w:hAnsi="Calibri" w:cs="Calibri"/>
                <w:sz w:val="20"/>
                <w:szCs w:val="20"/>
                <w:lang w:val="en-US"/>
              </w:rPr>
            </w:pPr>
            <w:hyperlink r:id="rId125" w:history="1">
              <w:r w:rsidRPr="00457BCB">
                <w:rPr>
                  <w:rStyle w:val="Hyperlink"/>
                  <w:rFonts w:ascii="Helvetica" w:hAnsi="Helvetica"/>
                  <w:sz w:val="15"/>
                  <w:szCs w:val="15"/>
                  <w:shd w:val="clear" w:color="auto" w:fill="FFFFFF"/>
                  <w:lang w:val="en-US"/>
                </w:rPr>
                <w:t>info@vodostan.ba</w:t>
              </w:r>
            </w:hyperlink>
            <w:r w:rsidRPr="00457BCB">
              <w:rPr>
                <w:rFonts w:ascii="Helvetica" w:hAnsi="Helvetica"/>
                <w:color w:val="0000FF"/>
                <w:sz w:val="15"/>
                <w:szCs w:val="15"/>
                <w:shd w:val="clear" w:color="auto" w:fill="FFFFFF"/>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41806824"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0E3AD8CA"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75C417E4"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Aleksandra </w:t>
            </w:r>
          </w:p>
        </w:tc>
        <w:tc>
          <w:tcPr>
            <w:tcW w:w="0" w:type="auto"/>
            <w:tcMar>
              <w:top w:w="0" w:type="dxa"/>
              <w:left w:w="40" w:type="dxa"/>
              <w:bottom w:w="0" w:type="dxa"/>
              <w:right w:w="40" w:type="dxa"/>
            </w:tcMar>
            <w:vAlign w:val="bottom"/>
          </w:tcPr>
          <w:p w14:paraId="7ED56A27"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Pašalić</w:t>
            </w:r>
          </w:p>
        </w:tc>
        <w:tc>
          <w:tcPr>
            <w:tcW w:w="0" w:type="auto"/>
            <w:tcMar>
              <w:top w:w="0" w:type="dxa"/>
              <w:left w:w="40" w:type="dxa"/>
              <w:bottom w:w="0" w:type="dxa"/>
              <w:right w:w="40" w:type="dxa"/>
            </w:tcMar>
            <w:vAlign w:val="bottom"/>
          </w:tcPr>
          <w:p w14:paraId="5C5662C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Executive Director </w:t>
            </w:r>
          </w:p>
        </w:tc>
        <w:tc>
          <w:tcPr>
            <w:tcW w:w="3604" w:type="dxa"/>
            <w:tcMar>
              <w:top w:w="0" w:type="dxa"/>
              <w:left w:w="40" w:type="dxa"/>
              <w:bottom w:w="0" w:type="dxa"/>
              <w:right w:w="40" w:type="dxa"/>
            </w:tcMar>
            <w:vAlign w:val="bottom"/>
          </w:tcPr>
          <w:p w14:paraId="7917B1C5"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Prijedor</w:t>
            </w:r>
          </w:p>
        </w:tc>
        <w:tc>
          <w:tcPr>
            <w:tcW w:w="3330" w:type="dxa"/>
            <w:tcBorders>
              <w:right w:val="single" w:sz="4" w:space="0" w:color="auto"/>
            </w:tcBorders>
            <w:tcMar>
              <w:top w:w="0" w:type="dxa"/>
              <w:left w:w="40" w:type="dxa"/>
              <w:bottom w:w="0" w:type="dxa"/>
              <w:right w:w="40" w:type="dxa"/>
            </w:tcMar>
            <w:vAlign w:val="bottom"/>
          </w:tcPr>
          <w:p w14:paraId="1D0BD817" w14:textId="77777777" w:rsidR="00094D4C" w:rsidRPr="00457BCB" w:rsidRDefault="00094D4C" w:rsidP="00A5744A">
            <w:pPr>
              <w:widowControl w:val="0"/>
              <w:spacing w:line="276" w:lineRule="auto"/>
              <w:rPr>
                <w:rFonts w:ascii="Calibri" w:hAnsi="Calibri" w:cs="Calibri"/>
                <w:sz w:val="20"/>
                <w:szCs w:val="20"/>
                <w:lang w:val="en-US"/>
              </w:rPr>
            </w:pPr>
            <w:hyperlink r:id="rId126" w:history="1">
              <w:r w:rsidRPr="00457BCB">
                <w:rPr>
                  <w:rStyle w:val="Hyperlink"/>
                  <w:rFonts w:ascii="Calibri" w:hAnsi="Calibri" w:cs="Calibri"/>
                  <w:sz w:val="20"/>
                  <w:szCs w:val="20"/>
                  <w:lang w:val="en-US"/>
                </w:rPr>
                <w:t>info@vodovod-pd.com</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6A6DB80E"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47BA1ADF"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029B7FD9"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Nikola</w:t>
            </w:r>
          </w:p>
        </w:tc>
        <w:tc>
          <w:tcPr>
            <w:tcW w:w="0" w:type="auto"/>
            <w:tcMar>
              <w:top w:w="0" w:type="dxa"/>
              <w:left w:w="40" w:type="dxa"/>
              <w:bottom w:w="0" w:type="dxa"/>
              <w:right w:w="40" w:type="dxa"/>
            </w:tcMar>
            <w:vAlign w:val="bottom"/>
          </w:tcPr>
          <w:p w14:paraId="22845FB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Kralj</w:t>
            </w:r>
          </w:p>
        </w:tc>
        <w:tc>
          <w:tcPr>
            <w:tcW w:w="0" w:type="auto"/>
            <w:tcMar>
              <w:top w:w="0" w:type="dxa"/>
              <w:left w:w="40" w:type="dxa"/>
              <w:bottom w:w="0" w:type="dxa"/>
              <w:right w:w="40" w:type="dxa"/>
            </w:tcMar>
            <w:vAlign w:val="bottom"/>
          </w:tcPr>
          <w:p w14:paraId="4B594FBE"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Head of development </w:t>
            </w:r>
          </w:p>
        </w:tc>
        <w:tc>
          <w:tcPr>
            <w:tcW w:w="3604" w:type="dxa"/>
            <w:tcMar>
              <w:top w:w="0" w:type="dxa"/>
              <w:left w:w="40" w:type="dxa"/>
              <w:bottom w:w="0" w:type="dxa"/>
              <w:right w:w="40" w:type="dxa"/>
            </w:tcMar>
            <w:vAlign w:val="bottom"/>
          </w:tcPr>
          <w:p w14:paraId="3C550F74"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Prijedor</w:t>
            </w:r>
          </w:p>
        </w:tc>
        <w:tc>
          <w:tcPr>
            <w:tcW w:w="3330" w:type="dxa"/>
            <w:tcBorders>
              <w:right w:val="single" w:sz="4" w:space="0" w:color="auto"/>
            </w:tcBorders>
            <w:tcMar>
              <w:top w:w="0" w:type="dxa"/>
              <w:left w:w="40" w:type="dxa"/>
              <w:bottom w:w="0" w:type="dxa"/>
              <w:right w:w="40" w:type="dxa"/>
            </w:tcMar>
            <w:vAlign w:val="bottom"/>
          </w:tcPr>
          <w:p w14:paraId="263EB068" w14:textId="77777777" w:rsidR="00094D4C" w:rsidRPr="00457BCB" w:rsidRDefault="00094D4C" w:rsidP="00A5744A">
            <w:pPr>
              <w:widowControl w:val="0"/>
              <w:spacing w:line="276" w:lineRule="auto"/>
              <w:rPr>
                <w:rFonts w:ascii="Calibri" w:hAnsi="Calibri" w:cs="Calibri"/>
                <w:sz w:val="20"/>
                <w:szCs w:val="20"/>
                <w:lang w:val="en-US"/>
              </w:rPr>
            </w:pPr>
            <w:hyperlink r:id="rId127" w:history="1">
              <w:r w:rsidRPr="00457BCB">
                <w:rPr>
                  <w:rStyle w:val="Hyperlink"/>
                  <w:rFonts w:ascii="Calibri" w:hAnsi="Calibri" w:cs="Calibri"/>
                  <w:sz w:val="20"/>
                  <w:szCs w:val="20"/>
                  <w:lang w:val="en-US"/>
                </w:rPr>
                <w:t>info@vodovod-pd.com</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4E024266"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63444A78"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49A5B25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Dražen</w:t>
            </w:r>
          </w:p>
        </w:tc>
        <w:tc>
          <w:tcPr>
            <w:tcW w:w="0" w:type="auto"/>
            <w:tcMar>
              <w:top w:w="0" w:type="dxa"/>
              <w:left w:w="40" w:type="dxa"/>
              <w:bottom w:w="0" w:type="dxa"/>
              <w:right w:w="40" w:type="dxa"/>
            </w:tcMar>
            <w:vAlign w:val="bottom"/>
          </w:tcPr>
          <w:p w14:paraId="74B822A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Stojković</w:t>
            </w:r>
          </w:p>
        </w:tc>
        <w:tc>
          <w:tcPr>
            <w:tcW w:w="0" w:type="auto"/>
            <w:tcMar>
              <w:top w:w="0" w:type="dxa"/>
              <w:left w:w="40" w:type="dxa"/>
              <w:bottom w:w="0" w:type="dxa"/>
              <w:right w:w="40" w:type="dxa"/>
            </w:tcMar>
            <w:vAlign w:val="bottom"/>
          </w:tcPr>
          <w:p w14:paraId="57153E99"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Director</w:t>
            </w:r>
          </w:p>
        </w:tc>
        <w:tc>
          <w:tcPr>
            <w:tcW w:w="3604" w:type="dxa"/>
            <w:tcMar>
              <w:top w:w="0" w:type="dxa"/>
              <w:left w:w="40" w:type="dxa"/>
              <w:bottom w:w="0" w:type="dxa"/>
              <w:right w:w="40" w:type="dxa"/>
            </w:tcMar>
            <w:vAlign w:val="bottom"/>
          </w:tcPr>
          <w:p w14:paraId="650F51C4"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Srbac</w:t>
            </w:r>
          </w:p>
        </w:tc>
        <w:tc>
          <w:tcPr>
            <w:tcW w:w="3330" w:type="dxa"/>
            <w:tcBorders>
              <w:right w:val="single" w:sz="4" w:space="0" w:color="auto"/>
            </w:tcBorders>
            <w:tcMar>
              <w:top w:w="0" w:type="dxa"/>
              <w:left w:w="40" w:type="dxa"/>
              <w:bottom w:w="0" w:type="dxa"/>
              <w:right w:w="40" w:type="dxa"/>
            </w:tcMar>
            <w:vAlign w:val="bottom"/>
          </w:tcPr>
          <w:p w14:paraId="17C0B268" w14:textId="77777777" w:rsidR="00094D4C" w:rsidRPr="00457BCB" w:rsidRDefault="00094D4C" w:rsidP="00A5744A">
            <w:pPr>
              <w:widowControl w:val="0"/>
              <w:spacing w:line="276" w:lineRule="auto"/>
              <w:rPr>
                <w:rFonts w:ascii="Calibri" w:hAnsi="Calibri" w:cs="Calibri"/>
                <w:sz w:val="20"/>
                <w:szCs w:val="20"/>
                <w:lang w:val="en-US"/>
              </w:rPr>
            </w:pPr>
            <w:hyperlink r:id="rId128" w:history="1">
              <w:r w:rsidRPr="00457BCB">
                <w:rPr>
                  <w:rStyle w:val="Hyperlink"/>
                  <w:rFonts w:ascii="Calibri" w:hAnsi="Calibri" w:cs="Calibri"/>
                  <w:sz w:val="20"/>
                  <w:szCs w:val="20"/>
                  <w:lang w:val="en-US"/>
                </w:rPr>
                <w:t>info@vodovod-srbac.com</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56891054"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6429BA7D"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4DE9C345"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Hasan</w:t>
            </w:r>
          </w:p>
        </w:tc>
        <w:tc>
          <w:tcPr>
            <w:tcW w:w="0" w:type="auto"/>
            <w:tcMar>
              <w:top w:w="0" w:type="dxa"/>
              <w:left w:w="40" w:type="dxa"/>
              <w:bottom w:w="0" w:type="dxa"/>
              <w:right w:w="40" w:type="dxa"/>
            </w:tcMar>
            <w:vAlign w:val="bottom"/>
          </w:tcPr>
          <w:p w14:paraId="1BF51A91"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Handžić</w:t>
            </w:r>
          </w:p>
        </w:tc>
        <w:tc>
          <w:tcPr>
            <w:tcW w:w="0" w:type="auto"/>
            <w:tcMar>
              <w:top w:w="0" w:type="dxa"/>
              <w:left w:w="40" w:type="dxa"/>
              <w:bottom w:w="0" w:type="dxa"/>
              <w:right w:w="40" w:type="dxa"/>
            </w:tcMar>
            <w:vAlign w:val="bottom"/>
          </w:tcPr>
          <w:p w14:paraId="2508E0C1"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Director</w:t>
            </w:r>
          </w:p>
        </w:tc>
        <w:tc>
          <w:tcPr>
            <w:tcW w:w="3604" w:type="dxa"/>
            <w:tcMar>
              <w:top w:w="0" w:type="dxa"/>
              <w:left w:w="40" w:type="dxa"/>
              <w:bottom w:w="0" w:type="dxa"/>
              <w:right w:w="40" w:type="dxa"/>
            </w:tcMar>
            <w:vAlign w:val="bottom"/>
          </w:tcPr>
          <w:p w14:paraId="60A308CE"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Tešanj</w:t>
            </w:r>
          </w:p>
        </w:tc>
        <w:tc>
          <w:tcPr>
            <w:tcW w:w="3330" w:type="dxa"/>
            <w:tcBorders>
              <w:right w:val="single" w:sz="4" w:space="0" w:color="auto"/>
            </w:tcBorders>
            <w:tcMar>
              <w:top w:w="0" w:type="dxa"/>
              <w:left w:w="40" w:type="dxa"/>
              <w:bottom w:w="0" w:type="dxa"/>
              <w:right w:w="40" w:type="dxa"/>
            </w:tcMar>
            <w:vAlign w:val="bottom"/>
          </w:tcPr>
          <w:p w14:paraId="6995A59E" w14:textId="77777777" w:rsidR="00094D4C" w:rsidRPr="00457BCB" w:rsidRDefault="00094D4C" w:rsidP="00A5744A">
            <w:pPr>
              <w:widowControl w:val="0"/>
              <w:spacing w:line="276" w:lineRule="auto"/>
              <w:rPr>
                <w:rFonts w:ascii="Calibri" w:hAnsi="Calibri" w:cs="Calibri"/>
                <w:sz w:val="20"/>
                <w:szCs w:val="20"/>
                <w:lang w:val="en-US"/>
              </w:rPr>
            </w:pPr>
            <w:hyperlink r:id="rId129" w:history="1">
              <w:r w:rsidRPr="00457BCB">
                <w:rPr>
                  <w:rStyle w:val="Hyperlink"/>
                  <w:rFonts w:ascii="Calibri" w:hAnsi="Calibri" w:cs="Calibri"/>
                  <w:sz w:val="20"/>
                  <w:szCs w:val="20"/>
                  <w:lang w:val="en-US"/>
                </w:rPr>
                <w:t>infocentar@rad-tesanj.ba</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2CFF95FC"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406E3887"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2FE4345D"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Ljubiša</w:t>
            </w:r>
          </w:p>
        </w:tc>
        <w:tc>
          <w:tcPr>
            <w:tcW w:w="0" w:type="auto"/>
            <w:tcMar>
              <w:top w:w="0" w:type="dxa"/>
              <w:left w:w="40" w:type="dxa"/>
              <w:bottom w:w="0" w:type="dxa"/>
              <w:right w:w="40" w:type="dxa"/>
            </w:tcMar>
            <w:vAlign w:val="bottom"/>
          </w:tcPr>
          <w:p w14:paraId="60B99D4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Sibinčić</w:t>
            </w:r>
          </w:p>
        </w:tc>
        <w:tc>
          <w:tcPr>
            <w:tcW w:w="0" w:type="auto"/>
            <w:tcMar>
              <w:top w:w="0" w:type="dxa"/>
              <w:left w:w="40" w:type="dxa"/>
              <w:bottom w:w="0" w:type="dxa"/>
              <w:right w:w="40" w:type="dxa"/>
            </w:tcMar>
            <w:vAlign w:val="bottom"/>
          </w:tcPr>
          <w:p w14:paraId="4BD400FD"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Director</w:t>
            </w:r>
          </w:p>
        </w:tc>
        <w:tc>
          <w:tcPr>
            <w:tcW w:w="3604" w:type="dxa"/>
            <w:tcMar>
              <w:top w:w="0" w:type="dxa"/>
              <w:left w:w="40" w:type="dxa"/>
              <w:bottom w:w="0" w:type="dxa"/>
              <w:right w:w="40" w:type="dxa"/>
            </w:tcMar>
            <w:vAlign w:val="bottom"/>
          </w:tcPr>
          <w:p w14:paraId="1F36D35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Prnjavor</w:t>
            </w:r>
          </w:p>
        </w:tc>
        <w:tc>
          <w:tcPr>
            <w:tcW w:w="3330" w:type="dxa"/>
            <w:tcBorders>
              <w:right w:val="single" w:sz="4" w:space="0" w:color="auto"/>
            </w:tcBorders>
            <w:tcMar>
              <w:top w:w="0" w:type="dxa"/>
              <w:left w:w="40" w:type="dxa"/>
              <w:bottom w:w="0" w:type="dxa"/>
              <w:right w:w="40" w:type="dxa"/>
            </w:tcMar>
            <w:vAlign w:val="bottom"/>
          </w:tcPr>
          <w:p w14:paraId="15565386" w14:textId="77777777" w:rsidR="00094D4C" w:rsidRPr="00457BCB" w:rsidRDefault="00094D4C" w:rsidP="00A5744A">
            <w:pPr>
              <w:widowControl w:val="0"/>
              <w:spacing w:line="276" w:lineRule="auto"/>
              <w:rPr>
                <w:rFonts w:ascii="Calibri" w:hAnsi="Calibri" w:cs="Calibri"/>
                <w:sz w:val="20"/>
                <w:szCs w:val="20"/>
                <w:lang w:val="en-US"/>
              </w:rPr>
            </w:pPr>
            <w:hyperlink r:id="rId130" w:history="1">
              <w:r w:rsidRPr="00457BCB">
                <w:rPr>
                  <w:rStyle w:val="Hyperlink"/>
                  <w:rFonts w:ascii="Calibri" w:hAnsi="Calibri" w:cs="Calibri"/>
                  <w:sz w:val="20"/>
                  <w:szCs w:val="20"/>
                  <w:lang w:val="en-US"/>
                </w:rPr>
                <w:t>ljsibincic@gmail.com</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2BCF07E2"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79A405BB"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5F7B5B3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Adnan </w:t>
            </w:r>
          </w:p>
        </w:tc>
        <w:tc>
          <w:tcPr>
            <w:tcW w:w="0" w:type="auto"/>
            <w:tcMar>
              <w:top w:w="0" w:type="dxa"/>
              <w:left w:w="40" w:type="dxa"/>
              <w:bottom w:w="0" w:type="dxa"/>
              <w:right w:w="40" w:type="dxa"/>
            </w:tcMar>
            <w:vAlign w:val="bottom"/>
          </w:tcPr>
          <w:p w14:paraId="1A668A4C"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Jusić</w:t>
            </w:r>
          </w:p>
        </w:tc>
        <w:tc>
          <w:tcPr>
            <w:tcW w:w="0" w:type="auto"/>
            <w:tcMar>
              <w:top w:w="0" w:type="dxa"/>
              <w:left w:w="40" w:type="dxa"/>
              <w:bottom w:w="0" w:type="dxa"/>
              <w:right w:w="40" w:type="dxa"/>
            </w:tcMar>
            <w:vAlign w:val="bottom"/>
          </w:tcPr>
          <w:p w14:paraId="6AD4461F"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Head of malfunction detection department </w:t>
            </w:r>
          </w:p>
        </w:tc>
        <w:tc>
          <w:tcPr>
            <w:tcW w:w="3604" w:type="dxa"/>
            <w:tcMar>
              <w:top w:w="0" w:type="dxa"/>
              <w:left w:w="40" w:type="dxa"/>
              <w:bottom w:w="0" w:type="dxa"/>
              <w:right w:w="40" w:type="dxa"/>
            </w:tcMar>
            <w:vAlign w:val="bottom"/>
          </w:tcPr>
          <w:p w14:paraId="6C92FC29"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Bihać</w:t>
            </w:r>
          </w:p>
        </w:tc>
        <w:tc>
          <w:tcPr>
            <w:tcW w:w="3330" w:type="dxa"/>
            <w:tcBorders>
              <w:right w:val="single" w:sz="4" w:space="0" w:color="auto"/>
            </w:tcBorders>
            <w:tcMar>
              <w:top w:w="0" w:type="dxa"/>
              <w:left w:w="40" w:type="dxa"/>
              <w:bottom w:w="0" w:type="dxa"/>
              <w:right w:w="40" w:type="dxa"/>
            </w:tcMar>
            <w:vAlign w:val="bottom"/>
          </w:tcPr>
          <w:p w14:paraId="5DE0961F" w14:textId="77777777" w:rsidR="00094D4C" w:rsidRPr="00457BCB" w:rsidRDefault="00094D4C" w:rsidP="00A5744A">
            <w:pPr>
              <w:widowControl w:val="0"/>
              <w:spacing w:line="276" w:lineRule="auto"/>
              <w:rPr>
                <w:rFonts w:ascii="Calibri" w:hAnsi="Calibri"/>
                <w:sz w:val="20"/>
                <w:szCs w:val="20"/>
                <w:lang w:val="en-US"/>
              </w:rPr>
            </w:pPr>
            <w:hyperlink r:id="rId131" w:history="1">
              <w:r w:rsidRPr="00457BCB">
                <w:rPr>
                  <w:rStyle w:val="Hyperlink"/>
                  <w:rFonts w:ascii="Calibri" w:hAnsi="Calibri"/>
                  <w:sz w:val="20"/>
                  <w:szCs w:val="20"/>
                  <w:lang w:val="en-US"/>
                </w:rPr>
                <w:t>vodovod@vodovod-bihac.ba</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0BEC0C64"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617A4370"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247CD9FC"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Adnan</w:t>
            </w:r>
          </w:p>
        </w:tc>
        <w:tc>
          <w:tcPr>
            <w:tcW w:w="0" w:type="auto"/>
            <w:tcMar>
              <w:top w:w="0" w:type="dxa"/>
              <w:left w:w="40" w:type="dxa"/>
              <w:bottom w:w="0" w:type="dxa"/>
              <w:right w:w="40" w:type="dxa"/>
            </w:tcMar>
            <w:vAlign w:val="bottom"/>
          </w:tcPr>
          <w:p w14:paraId="64C3668C"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Sović</w:t>
            </w:r>
          </w:p>
        </w:tc>
        <w:tc>
          <w:tcPr>
            <w:tcW w:w="0" w:type="auto"/>
            <w:tcMar>
              <w:top w:w="0" w:type="dxa"/>
              <w:left w:w="40" w:type="dxa"/>
              <w:bottom w:w="0" w:type="dxa"/>
              <w:right w:w="40" w:type="dxa"/>
            </w:tcMar>
            <w:vAlign w:val="bottom"/>
          </w:tcPr>
          <w:p w14:paraId="3741E61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Representative of WUC</w:t>
            </w:r>
          </w:p>
        </w:tc>
        <w:tc>
          <w:tcPr>
            <w:tcW w:w="3604" w:type="dxa"/>
            <w:tcMar>
              <w:top w:w="0" w:type="dxa"/>
              <w:left w:w="40" w:type="dxa"/>
              <w:bottom w:w="0" w:type="dxa"/>
              <w:right w:w="40" w:type="dxa"/>
            </w:tcMar>
            <w:vAlign w:val="bottom"/>
          </w:tcPr>
          <w:p w14:paraId="762418E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Bihac</w:t>
            </w:r>
          </w:p>
        </w:tc>
        <w:tc>
          <w:tcPr>
            <w:tcW w:w="3330" w:type="dxa"/>
            <w:tcBorders>
              <w:right w:val="single" w:sz="4" w:space="0" w:color="auto"/>
            </w:tcBorders>
            <w:tcMar>
              <w:top w:w="0" w:type="dxa"/>
              <w:left w:w="40" w:type="dxa"/>
              <w:bottom w:w="0" w:type="dxa"/>
              <w:right w:w="40" w:type="dxa"/>
            </w:tcMar>
            <w:vAlign w:val="bottom"/>
          </w:tcPr>
          <w:p w14:paraId="61DB4F7F" w14:textId="77777777" w:rsidR="00094D4C" w:rsidRPr="00457BCB" w:rsidRDefault="00094D4C" w:rsidP="00A5744A">
            <w:pPr>
              <w:widowControl w:val="0"/>
              <w:spacing w:line="276" w:lineRule="auto"/>
              <w:rPr>
                <w:rFonts w:ascii="Calibri" w:hAnsi="Calibri"/>
                <w:sz w:val="20"/>
                <w:szCs w:val="20"/>
                <w:lang w:val="en-US"/>
              </w:rPr>
            </w:pPr>
            <w:hyperlink r:id="rId132" w:history="1">
              <w:r w:rsidRPr="00457BCB">
                <w:rPr>
                  <w:rStyle w:val="Hyperlink"/>
                  <w:rFonts w:ascii="Calibri" w:hAnsi="Calibri"/>
                  <w:sz w:val="20"/>
                  <w:szCs w:val="20"/>
                  <w:lang w:val="en-US"/>
                </w:rPr>
                <w:t>vodovod@vodovod-bihac.ba</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35859A39"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07113B81"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2A7A0B8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Ljubiša</w:t>
            </w:r>
          </w:p>
        </w:tc>
        <w:tc>
          <w:tcPr>
            <w:tcW w:w="0" w:type="auto"/>
            <w:tcMar>
              <w:top w:w="0" w:type="dxa"/>
              <w:left w:w="40" w:type="dxa"/>
              <w:bottom w:w="0" w:type="dxa"/>
              <w:right w:w="40" w:type="dxa"/>
            </w:tcMar>
            <w:vAlign w:val="bottom"/>
          </w:tcPr>
          <w:p w14:paraId="271862AE"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Lalović</w:t>
            </w:r>
          </w:p>
        </w:tc>
        <w:tc>
          <w:tcPr>
            <w:tcW w:w="0" w:type="auto"/>
            <w:tcMar>
              <w:top w:w="0" w:type="dxa"/>
              <w:left w:w="40" w:type="dxa"/>
              <w:bottom w:w="0" w:type="dxa"/>
              <w:right w:w="40" w:type="dxa"/>
            </w:tcMar>
            <w:vAlign w:val="bottom"/>
          </w:tcPr>
          <w:p w14:paraId="6D8E68A0"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Director</w:t>
            </w:r>
          </w:p>
        </w:tc>
        <w:tc>
          <w:tcPr>
            <w:tcW w:w="3604" w:type="dxa"/>
            <w:tcMar>
              <w:top w:w="0" w:type="dxa"/>
              <w:left w:w="40" w:type="dxa"/>
              <w:bottom w:w="0" w:type="dxa"/>
              <w:right w:w="40" w:type="dxa"/>
            </w:tcMar>
            <w:vAlign w:val="bottom"/>
          </w:tcPr>
          <w:p w14:paraId="0B50C3E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Istočno Novo Sarajevo</w:t>
            </w:r>
          </w:p>
        </w:tc>
        <w:tc>
          <w:tcPr>
            <w:tcW w:w="3330" w:type="dxa"/>
            <w:tcBorders>
              <w:right w:val="single" w:sz="4" w:space="0" w:color="auto"/>
            </w:tcBorders>
            <w:tcMar>
              <w:top w:w="0" w:type="dxa"/>
              <w:left w:w="40" w:type="dxa"/>
              <w:bottom w:w="0" w:type="dxa"/>
              <w:right w:w="40" w:type="dxa"/>
            </w:tcMar>
            <w:vAlign w:val="bottom"/>
          </w:tcPr>
          <w:p w14:paraId="34783F79" w14:textId="77777777" w:rsidR="00094D4C" w:rsidRPr="00457BCB" w:rsidRDefault="00094D4C" w:rsidP="00A5744A">
            <w:pPr>
              <w:widowControl w:val="0"/>
              <w:spacing w:line="276" w:lineRule="auto"/>
              <w:rPr>
                <w:rFonts w:ascii="Calibri" w:hAnsi="Calibri"/>
                <w:sz w:val="20"/>
                <w:szCs w:val="20"/>
                <w:lang w:val="en-US"/>
              </w:rPr>
            </w:pPr>
            <w:hyperlink r:id="rId133" w:history="1">
              <w:r w:rsidRPr="00457BCB">
                <w:rPr>
                  <w:rStyle w:val="Hyperlink"/>
                  <w:rFonts w:ascii="Calibri" w:hAnsi="Calibri"/>
                  <w:sz w:val="20"/>
                  <w:szCs w:val="20"/>
                  <w:lang w:val="en-US"/>
                </w:rPr>
                <w:t>vik@teol.net</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0427D489"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62F205B1" w14:textId="77777777" w:rsidTr="212A59DF">
        <w:trPr>
          <w:trHeight w:val="315"/>
        </w:trPr>
        <w:tc>
          <w:tcPr>
            <w:tcW w:w="13270" w:type="dxa"/>
            <w:gridSpan w:val="5"/>
            <w:tcBorders>
              <w:left w:val="single" w:sz="12" w:space="0" w:color="000000" w:themeColor="text1"/>
              <w:bottom w:val="single" w:sz="6" w:space="0" w:color="000000" w:themeColor="text1"/>
              <w:right w:val="single" w:sz="4" w:space="0" w:color="auto"/>
            </w:tcBorders>
            <w:shd w:val="clear" w:color="auto" w:fill="DEEAF6"/>
            <w:tcMar>
              <w:top w:w="0" w:type="dxa"/>
              <w:left w:w="40" w:type="dxa"/>
              <w:bottom w:w="0" w:type="dxa"/>
              <w:right w:w="40" w:type="dxa"/>
            </w:tcMar>
            <w:vAlign w:val="bottom"/>
          </w:tcPr>
          <w:p w14:paraId="3B246C07" w14:textId="77777777" w:rsidR="00094D4C" w:rsidRPr="00457BCB" w:rsidRDefault="00094D4C" w:rsidP="00A5744A">
            <w:pPr>
              <w:widowControl w:val="0"/>
              <w:spacing w:line="276" w:lineRule="auto"/>
              <w:jc w:val="center"/>
              <w:rPr>
                <w:rFonts w:ascii="Calibri" w:hAnsi="Calibri" w:cs="Calibri"/>
                <w:b/>
                <w:lang w:val="en-US"/>
              </w:rPr>
            </w:pPr>
            <w:r w:rsidRPr="00457BCB">
              <w:rPr>
                <w:rFonts w:ascii="Calibri" w:hAnsi="Calibri" w:cs="Calibri"/>
                <w:b/>
                <w:lang w:val="en-US"/>
              </w:rPr>
              <w:lastRenderedPageBreak/>
              <w:t>Water professional associations</w:t>
            </w:r>
          </w:p>
        </w:tc>
        <w:tc>
          <w:tcPr>
            <w:tcW w:w="818" w:type="dxa"/>
            <w:tcBorders>
              <w:top w:val="single" w:sz="4" w:space="0" w:color="auto"/>
              <w:left w:val="single" w:sz="4" w:space="0" w:color="auto"/>
              <w:bottom w:val="single" w:sz="4" w:space="0" w:color="auto"/>
              <w:right w:val="single" w:sz="4" w:space="0" w:color="auto"/>
            </w:tcBorders>
            <w:shd w:val="clear" w:color="auto" w:fill="DEEAF6"/>
          </w:tcPr>
          <w:p w14:paraId="7F5109CD" w14:textId="77777777" w:rsidR="00094D4C" w:rsidRPr="00457BCB" w:rsidRDefault="00094D4C" w:rsidP="00A5744A">
            <w:pPr>
              <w:widowControl w:val="0"/>
              <w:spacing w:line="276" w:lineRule="auto"/>
              <w:jc w:val="center"/>
              <w:rPr>
                <w:rFonts w:ascii="Calibri" w:hAnsi="Calibri" w:cs="Calibri"/>
                <w:b/>
                <w:lang w:val="en-US"/>
              </w:rPr>
            </w:pPr>
          </w:p>
        </w:tc>
      </w:tr>
      <w:tr w:rsidR="00094D4C" w:rsidRPr="00F569AE" w14:paraId="101FA65F"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79D139AE"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Ljubiša </w:t>
            </w:r>
          </w:p>
        </w:tc>
        <w:tc>
          <w:tcPr>
            <w:tcW w:w="0" w:type="auto"/>
            <w:tcMar>
              <w:top w:w="0" w:type="dxa"/>
              <w:left w:w="40" w:type="dxa"/>
              <w:bottom w:w="0" w:type="dxa"/>
              <w:right w:w="40" w:type="dxa"/>
            </w:tcMar>
            <w:vAlign w:val="bottom"/>
          </w:tcPr>
          <w:p w14:paraId="6A9EB501"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Sibinčić</w:t>
            </w:r>
          </w:p>
        </w:tc>
        <w:tc>
          <w:tcPr>
            <w:tcW w:w="0" w:type="auto"/>
            <w:tcMar>
              <w:top w:w="0" w:type="dxa"/>
              <w:left w:w="40" w:type="dxa"/>
              <w:bottom w:w="0" w:type="dxa"/>
              <w:right w:w="40" w:type="dxa"/>
            </w:tcMar>
            <w:vAlign w:val="bottom"/>
          </w:tcPr>
          <w:p w14:paraId="6592DDAC"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Director of WC Prnjavor </w:t>
            </w:r>
          </w:p>
        </w:tc>
        <w:tc>
          <w:tcPr>
            <w:tcW w:w="3604" w:type="dxa"/>
            <w:tcMar>
              <w:top w:w="0" w:type="dxa"/>
              <w:left w:w="40" w:type="dxa"/>
              <w:bottom w:w="0" w:type="dxa"/>
              <w:right w:w="40" w:type="dxa"/>
            </w:tcMar>
            <w:vAlign w:val="bottom"/>
          </w:tcPr>
          <w:p w14:paraId="4E4F086B" w14:textId="77777777" w:rsidR="00094D4C" w:rsidRPr="00457BCB" w:rsidRDefault="00094D4C" w:rsidP="00A5744A">
            <w:pPr>
              <w:rPr>
                <w:rFonts w:ascii="Calibri" w:hAnsi="Calibri" w:cs="Calibri"/>
                <w:sz w:val="20"/>
                <w:szCs w:val="20"/>
                <w:lang w:val="en-US"/>
              </w:rPr>
            </w:pPr>
            <w:r w:rsidRPr="00457BCB">
              <w:rPr>
                <w:rFonts w:ascii="Calibri" w:hAnsi="Calibri" w:cs="Calibri"/>
                <w:sz w:val="20"/>
                <w:szCs w:val="20"/>
                <w:lang w:val="en-US"/>
              </w:rPr>
              <w:t>Association Vodovodi Republike Srpske</w:t>
            </w:r>
          </w:p>
        </w:tc>
        <w:tc>
          <w:tcPr>
            <w:tcW w:w="3330" w:type="dxa"/>
            <w:tcBorders>
              <w:right w:val="single" w:sz="4" w:space="0" w:color="auto"/>
            </w:tcBorders>
            <w:tcMar>
              <w:top w:w="0" w:type="dxa"/>
              <w:left w:w="40" w:type="dxa"/>
              <w:bottom w:w="0" w:type="dxa"/>
              <w:right w:w="40" w:type="dxa"/>
            </w:tcMar>
            <w:vAlign w:val="bottom"/>
          </w:tcPr>
          <w:p w14:paraId="4902D127" w14:textId="77777777" w:rsidR="00094D4C" w:rsidRPr="00457BCB" w:rsidRDefault="00094D4C" w:rsidP="00A5744A">
            <w:pPr>
              <w:widowControl w:val="0"/>
              <w:spacing w:line="276" w:lineRule="auto"/>
              <w:rPr>
                <w:rFonts w:ascii="Calibri" w:hAnsi="Calibri" w:cs="Calibri"/>
                <w:sz w:val="20"/>
                <w:szCs w:val="20"/>
                <w:lang w:val="en-US"/>
              </w:rPr>
            </w:pPr>
            <w:hyperlink r:id="rId134" w:history="1">
              <w:r w:rsidRPr="00457BCB">
                <w:rPr>
                  <w:rStyle w:val="Hyperlink"/>
                  <w:rFonts w:ascii="Calibri" w:hAnsi="Calibri" w:cs="Calibri"/>
                  <w:sz w:val="20"/>
                  <w:szCs w:val="20"/>
                  <w:lang w:val="en-US"/>
                </w:rPr>
                <w:t>ljsibincic@gmail.com</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0C1EAEAC"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4D001081"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293E5298"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Fuad </w:t>
            </w:r>
          </w:p>
        </w:tc>
        <w:tc>
          <w:tcPr>
            <w:tcW w:w="0" w:type="auto"/>
            <w:tcMar>
              <w:top w:w="0" w:type="dxa"/>
              <w:left w:w="40" w:type="dxa"/>
              <w:bottom w:w="0" w:type="dxa"/>
              <w:right w:w="40" w:type="dxa"/>
            </w:tcMar>
            <w:vAlign w:val="bottom"/>
          </w:tcPr>
          <w:p w14:paraId="56F36104"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Mešić</w:t>
            </w:r>
          </w:p>
        </w:tc>
        <w:tc>
          <w:tcPr>
            <w:tcW w:w="0" w:type="auto"/>
            <w:tcMar>
              <w:top w:w="0" w:type="dxa"/>
              <w:left w:w="40" w:type="dxa"/>
              <w:bottom w:w="0" w:type="dxa"/>
              <w:right w:w="40" w:type="dxa"/>
            </w:tcMar>
            <w:vAlign w:val="bottom"/>
          </w:tcPr>
          <w:p w14:paraId="51DDC173" w14:textId="77777777" w:rsidR="00094D4C" w:rsidRPr="00F569AE" w:rsidRDefault="00094D4C" w:rsidP="00A5744A">
            <w:pPr>
              <w:widowControl w:val="0"/>
              <w:spacing w:line="276" w:lineRule="auto"/>
              <w:rPr>
                <w:rFonts w:ascii="Calibri" w:hAnsi="Calibri" w:cs="Calibri"/>
                <w:sz w:val="20"/>
                <w:szCs w:val="20"/>
                <w:lang w:val="en-US"/>
              </w:rPr>
            </w:pPr>
            <w:r w:rsidRPr="00F569AE">
              <w:rPr>
                <w:rFonts w:ascii="Calibri" w:hAnsi="Calibri" w:cs="Calibri"/>
                <w:sz w:val="20"/>
                <w:szCs w:val="20"/>
                <w:lang w:val="en-US"/>
              </w:rPr>
              <w:t>Director of WUC Tešanj</w:t>
            </w:r>
          </w:p>
        </w:tc>
        <w:tc>
          <w:tcPr>
            <w:tcW w:w="3604" w:type="dxa"/>
            <w:tcMar>
              <w:top w:w="0" w:type="dxa"/>
              <w:left w:w="40" w:type="dxa"/>
              <w:bottom w:w="0" w:type="dxa"/>
              <w:right w:w="40" w:type="dxa"/>
            </w:tcMar>
            <w:vAlign w:val="bottom"/>
          </w:tcPr>
          <w:p w14:paraId="4353414D" w14:textId="77777777" w:rsidR="00094D4C" w:rsidRPr="00F569AE" w:rsidRDefault="00094D4C" w:rsidP="00A5744A">
            <w:pPr>
              <w:widowControl w:val="0"/>
              <w:spacing w:line="276" w:lineRule="auto"/>
              <w:rPr>
                <w:rFonts w:ascii="Calibri" w:hAnsi="Calibri" w:cs="Calibri"/>
                <w:sz w:val="20"/>
                <w:szCs w:val="20"/>
                <w:lang w:val="en-US"/>
              </w:rPr>
            </w:pPr>
            <w:r w:rsidRPr="00F569AE">
              <w:rPr>
                <w:rFonts w:ascii="Calibri" w:hAnsi="Calibri" w:cs="Calibri"/>
                <w:sz w:val="20"/>
                <w:szCs w:val="20"/>
                <w:lang w:val="en-US"/>
              </w:rPr>
              <w:t>Association Vodovodi FBiH</w:t>
            </w:r>
          </w:p>
        </w:tc>
        <w:tc>
          <w:tcPr>
            <w:tcW w:w="3330" w:type="dxa"/>
            <w:tcBorders>
              <w:right w:val="single" w:sz="4" w:space="0" w:color="auto"/>
            </w:tcBorders>
            <w:tcMar>
              <w:top w:w="0" w:type="dxa"/>
              <w:left w:w="40" w:type="dxa"/>
              <w:bottom w:w="0" w:type="dxa"/>
              <w:right w:w="40" w:type="dxa"/>
            </w:tcMar>
            <w:vAlign w:val="bottom"/>
          </w:tcPr>
          <w:p w14:paraId="6BFD0FB8" w14:textId="77777777" w:rsidR="00094D4C" w:rsidRPr="00F569AE" w:rsidRDefault="00094D4C" w:rsidP="00A5744A">
            <w:pPr>
              <w:widowControl w:val="0"/>
              <w:spacing w:line="276" w:lineRule="auto"/>
              <w:rPr>
                <w:rFonts w:ascii="Calibri" w:hAnsi="Calibri" w:cs="Calibri"/>
                <w:sz w:val="20"/>
                <w:szCs w:val="20"/>
                <w:lang w:val="en-US"/>
              </w:rPr>
            </w:pPr>
            <w:hyperlink r:id="rId135" w:history="1">
              <w:r w:rsidRPr="00F569AE">
                <w:rPr>
                  <w:rStyle w:val="Hyperlink"/>
                  <w:rFonts w:ascii="Calibri" w:hAnsi="Calibri" w:cs="Calibri"/>
                  <w:sz w:val="20"/>
                  <w:szCs w:val="20"/>
                  <w:lang w:val="en-US"/>
                </w:rPr>
                <w:t>fuad.m@rad-tesanj.ba</w:t>
              </w:r>
            </w:hyperlink>
            <w:r w:rsidRPr="00F569AE">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6651037F"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4B58C827" w14:textId="77777777" w:rsidTr="212A59DF">
        <w:trPr>
          <w:trHeight w:val="315"/>
        </w:trPr>
        <w:tc>
          <w:tcPr>
            <w:tcW w:w="13270" w:type="dxa"/>
            <w:gridSpan w:val="5"/>
            <w:tcBorders>
              <w:left w:val="single" w:sz="12" w:space="0" w:color="000000" w:themeColor="text1"/>
              <w:right w:val="single" w:sz="4" w:space="0" w:color="auto"/>
            </w:tcBorders>
            <w:shd w:val="clear" w:color="auto" w:fill="DAE9F7" w:themeFill="text2" w:themeFillTint="1A"/>
            <w:tcMar>
              <w:top w:w="0" w:type="dxa"/>
              <w:left w:w="40" w:type="dxa"/>
              <w:bottom w:w="0" w:type="dxa"/>
              <w:right w:w="40" w:type="dxa"/>
            </w:tcMar>
            <w:vAlign w:val="bottom"/>
          </w:tcPr>
          <w:p w14:paraId="1685F7E3" w14:textId="77777777" w:rsidR="00094D4C" w:rsidRPr="00457BCB" w:rsidRDefault="00094D4C" w:rsidP="00A5744A">
            <w:pPr>
              <w:widowControl w:val="0"/>
              <w:spacing w:line="276" w:lineRule="auto"/>
              <w:jc w:val="center"/>
              <w:rPr>
                <w:rFonts w:ascii="Calibri" w:hAnsi="Calibri"/>
                <w:b/>
                <w:lang w:val="en-US"/>
              </w:rPr>
            </w:pPr>
            <w:r w:rsidRPr="00457BCB">
              <w:rPr>
                <w:rFonts w:ascii="Calibri" w:hAnsi="Calibri"/>
                <w:b/>
                <w:lang w:val="en-US"/>
              </w:rPr>
              <w:t>Project subcontractors</w:t>
            </w:r>
          </w:p>
        </w:tc>
        <w:tc>
          <w:tcPr>
            <w:tcW w:w="818"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2C837CD5" w14:textId="77777777" w:rsidR="00094D4C" w:rsidRPr="00457BCB" w:rsidRDefault="00094D4C" w:rsidP="00A5744A">
            <w:pPr>
              <w:widowControl w:val="0"/>
              <w:spacing w:line="276" w:lineRule="auto"/>
              <w:jc w:val="center"/>
              <w:rPr>
                <w:rFonts w:ascii="Calibri" w:hAnsi="Calibri"/>
                <w:b/>
                <w:lang w:val="en-US"/>
              </w:rPr>
            </w:pPr>
          </w:p>
        </w:tc>
      </w:tr>
      <w:tr w:rsidR="00094D4C" w:rsidRPr="00F569AE" w14:paraId="0A60E34F"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280352A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Sandi</w:t>
            </w:r>
          </w:p>
        </w:tc>
        <w:tc>
          <w:tcPr>
            <w:tcW w:w="0" w:type="auto"/>
            <w:tcMar>
              <w:top w:w="0" w:type="dxa"/>
              <w:left w:w="40" w:type="dxa"/>
              <w:bottom w:w="0" w:type="dxa"/>
              <w:right w:w="40" w:type="dxa"/>
            </w:tcMar>
            <w:vAlign w:val="bottom"/>
          </w:tcPr>
          <w:p w14:paraId="22871D1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Zulic</w:t>
            </w:r>
          </w:p>
        </w:tc>
        <w:tc>
          <w:tcPr>
            <w:tcW w:w="0" w:type="auto"/>
            <w:tcMar>
              <w:top w:w="0" w:type="dxa"/>
              <w:left w:w="40" w:type="dxa"/>
              <w:bottom w:w="0" w:type="dxa"/>
              <w:right w:w="40" w:type="dxa"/>
            </w:tcMar>
            <w:vAlign w:val="bottom"/>
          </w:tcPr>
          <w:p w14:paraId="34732929" w14:textId="77777777" w:rsidR="00094D4C" w:rsidRPr="00F569AE" w:rsidRDefault="00094D4C" w:rsidP="00A5744A">
            <w:pPr>
              <w:widowControl w:val="0"/>
              <w:spacing w:line="276" w:lineRule="auto"/>
              <w:rPr>
                <w:rFonts w:ascii="Calibri" w:hAnsi="Calibri" w:cs="Calibri"/>
                <w:sz w:val="20"/>
                <w:szCs w:val="20"/>
                <w:lang w:val="en-US"/>
              </w:rPr>
            </w:pPr>
            <w:r w:rsidRPr="00F569AE">
              <w:rPr>
                <w:rFonts w:ascii="Calibri" w:hAnsi="Calibri" w:cs="Calibri"/>
                <w:sz w:val="20"/>
                <w:szCs w:val="20"/>
                <w:lang w:val="en-US"/>
              </w:rPr>
              <w:t>Director</w:t>
            </w:r>
          </w:p>
        </w:tc>
        <w:tc>
          <w:tcPr>
            <w:tcW w:w="3604" w:type="dxa"/>
            <w:tcMar>
              <w:top w:w="0" w:type="dxa"/>
              <w:left w:w="40" w:type="dxa"/>
              <w:bottom w:w="0" w:type="dxa"/>
              <w:right w:w="40" w:type="dxa"/>
            </w:tcMar>
            <w:vAlign w:val="bottom"/>
          </w:tcPr>
          <w:p w14:paraId="40FED9C5" w14:textId="77777777" w:rsidR="00094D4C" w:rsidRPr="00F569AE" w:rsidRDefault="00094D4C" w:rsidP="00A5744A">
            <w:pPr>
              <w:widowControl w:val="0"/>
              <w:spacing w:line="276" w:lineRule="auto"/>
              <w:rPr>
                <w:rFonts w:ascii="Calibri" w:hAnsi="Calibri" w:cs="Calibri"/>
                <w:sz w:val="20"/>
                <w:szCs w:val="20"/>
                <w:lang w:val="en-US"/>
              </w:rPr>
            </w:pPr>
            <w:r w:rsidRPr="00F569AE">
              <w:rPr>
                <w:rFonts w:ascii="Calibri" w:hAnsi="Calibri" w:cs="Calibri"/>
                <w:sz w:val="20"/>
                <w:szCs w:val="20"/>
                <w:lang w:val="en-US"/>
              </w:rPr>
              <w:t>UNA Consulting</w:t>
            </w:r>
          </w:p>
        </w:tc>
        <w:tc>
          <w:tcPr>
            <w:tcW w:w="3330" w:type="dxa"/>
            <w:tcBorders>
              <w:right w:val="single" w:sz="4" w:space="0" w:color="auto"/>
            </w:tcBorders>
            <w:tcMar>
              <w:top w:w="0" w:type="dxa"/>
              <w:left w:w="40" w:type="dxa"/>
              <w:bottom w:w="0" w:type="dxa"/>
              <w:right w:w="40" w:type="dxa"/>
            </w:tcMar>
            <w:vAlign w:val="bottom"/>
          </w:tcPr>
          <w:p w14:paraId="0BF5262C" w14:textId="77777777" w:rsidR="00094D4C" w:rsidRPr="00457BCB" w:rsidRDefault="00094D4C" w:rsidP="00A5744A">
            <w:pPr>
              <w:widowControl w:val="0"/>
              <w:spacing w:line="276" w:lineRule="auto"/>
              <w:rPr>
                <w:rFonts w:ascii="Calibri" w:hAnsi="Calibri" w:cs="Calibri"/>
                <w:sz w:val="20"/>
                <w:szCs w:val="20"/>
                <w:lang w:val="en-US"/>
              </w:rPr>
            </w:pPr>
            <w:hyperlink r:id="rId136" w:history="1">
              <w:r w:rsidRPr="00457BCB">
                <w:rPr>
                  <w:rStyle w:val="Hyperlink"/>
                  <w:rFonts w:ascii="Calibri" w:hAnsi="Calibri" w:cs="Calibri"/>
                  <w:sz w:val="20"/>
                  <w:szCs w:val="20"/>
                  <w:lang w:val="en-US"/>
                </w:rPr>
                <w:t>info@unaconsulting.ba</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56C62406"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354CE921"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41FCFB1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Haris </w:t>
            </w:r>
          </w:p>
        </w:tc>
        <w:tc>
          <w:tcPr>
            <w:tcW w:w="0" w:type="auto"/>
            <w:tcMar>
              <w:top w:w="0" w:type="dxa"/>
              <w:left w:w="40" w:type="dxa"/>
              <w:bottom w:w="0" w:type="dxa"/>
              <w:right w:w="40" w:type="dxa"/>
            </w:tcMar>
            <w:vAlign w:val="bottom"/>
          </w:tcPr>
          <w:p w14:paraId="213A177F" w14:textId="77777777" w:rsidR="00094D4C" w:rsidRPr="00F569AE" w:rsidRDefault="00094D4C" w:rsidP="00A5744A">
            <w:pPr>
              <w:widowControl w:val="0"/>
              <w:spacing w:line="276" w:lineRule="auto"/>
              <w:rPr>
                <w:rFonts w:ascii="Calibri" w:hAnsi="Calibri" w:cs="Calibri"/>
                <w:sz w:val="20"/>
                <w:szCs w:val="20"/>
                <w:lang w:val="en-US"/>
              </w:rPr>
            </w:pPr>
            <w:r w:rsidRPr="00F569AE">
              <w:rPr>
                <w:rFonts w:ascii="Calibri" w:hAnsi="Calibri" w:cs="Calibri"/>
                <w:sz w:val="20"/>
                <w:szCs w:val="20"/>
                <w:lang w:val="en-US"/>
              </w:rPr>
              <w:t>Ćatić</w:t>
            </w:r>
          </w:p>
        </w:tc>
        <w:tc>
          <w:tcPr>
            <w:tcW w:w="0" w:type="auto"/>
            <w:tcMar>
              <w:top w:w="0" w:type="dxa"/>
              <w:left w:w="40" w:type="dxa"/>
              <w:bottom w:w="0" w:type="dxa"/>
              <w:right w:w="40" w:type="dxa"/>
            </w:tcMar>
            <w:vAlign w:val="bottom"/>
          </w:tcPr>
          <w:p w14:paraId="4CA43110" w14:textId="77777777" w:rsidR="00094D4C" w:rsidRPr="00F569AE" w:rsidRDefault="00094D4C" w:rsidP="00A5744A">
            <w:pPr>
              <w:widowControl w:val="0"/>
              <w:spacing w:line="276" w:lineRule="auto"/>
              <w:rPr>
                <w:rFonts w:ascii="Calibri" w:hAnsi="Calibri" w:cs="Calibri"/>
                <w:sz w:val="20"/>
                <w:szCs w:val="20"/>
                <w:lang w:val="en-US"/>
              </w:rPr>
            </w:pPr>
            <w:r w:rsidRPr="00F569AE">
              <w:rPr>
                <w:rFonts w:ascii="Calibri" w:hAnsi="Calibri" w:cs="Calibri"/>
                <w:sz w:val="20"/>
                <w:szCs w:val="20"/>
                <w:lang w:val="en-US"/>
              </w:rPr>
              <w:t>Director, CEDES</w:t>
            </w:r>
          </w:p>
        </w:tc>
        <w:tc>
          <w:tcPr>
            <w:tcW w:w="3604" w:type="dxa"/>
            <w:tcMar>
              <w:top w:w="0" w:type="dxa"/>
              <w:left w:w="40" w:type="dxa"/>
              <w:bottom w:w="0" w:type="dxa"/>
              <w:right w:w="40" w:type="dxa"/>
            </w:tcMar>
            <w:vAlign w:val="bottom"/>
          </w:tcPr>
          <w:p w14:paraId="51FB090E" w14:textId="77777777" w:rsidR="00094D4C" w:rsidRPr="00F569AE" w:rsidRDefault="00094D4C" w:rsidP="00A5744A">
            <w:pPr>
              <w:widowControl w:val="0"/>
              <w:spacing w:line="276" w:lineRule="auto"/>
              <w:rPr>
                <w:rFonts w:ascii="Calibri" w:hAnsi="Calibri" w:cs="Calibri"/>
                <w:sz w:val="20"/>
                <w:szCs w:val="20"/>
                <w:lang w:val="en-US"/>
              </w:rPr>
            </w:pPr>
            <w:r w:rsidRPr="00F569AE">
              <w:rPr>
                <w:rFonts w:ascii="Calibri" w:hAnsi="Calibri" w:cs="Calibri"/>
                <w:sz w:val="20"/>
                <w:szCs w:val="20"/>
                <w:lang w:val="en-US"/>
              </w:rPr>
              <w:t>Consortium member</w:t>
            </w:r>
          </w:p>
        </w:tc>
        <w:tc>
          <w:tcPr>
            <w:tcW w:w="3330" w:type="dxa"/>
            <w:tcBorders>
              <w:right w:val="single" w:sz="4" w:space="0" w:color="auto"/>
            </w:tcBorders>
            <w:tcMar>
              <w:top w:w="0" w:type="dxa"/>
              <w:left w:w="40" w:type="dxa"/>
              <w:bottom w:w="0" w:type="dxa"/>
              <w:right w:w="40" w:type="dxa"/>
            </w:tcMar>
            <w:vAlign w:val="bottom"/>
          </w:tcPr>
          <w:p w14:paraId="26973A8D" w14:textId="77777777" w:rsidR="00094D4C" w:rsidRPr="00457BCB" w:rsidRDefault="00094D4C" w:rsidP="00A5744A">
            <w:pPr>
              <w:widowControl w:val="0"/>
              <w:spacing w:line="276" w:lineRule="auto"/>
              <w:rPr>
                <w:rFonts w:ascii="Calibri" w:hAnsi="Calibri" w:cs="Calibri"/>
                <w:sz w:val="20"/>
                <w:szCs w:val="20"/>
                <w:lang w:val="en-US"/>
              </w:rPr>
            </w:pPr>
            <w:hyperlink r:id="rId137" w:history="1">
              <w:r w:rsidRPr="00457BCB">
                <w:rPr>
                  <w:rStyle w:val="Hyperlink"/>
                  <w:rFonts w:ascii="Calibri" w:hAnsi="Calibri" w:cs="Calibri"/>
                  <w:sz w:val="20"/>
                  <w:szCs w:val="20"/>
                  <w:lang w:val="en-US"/>
                </w:rPr>
                <w:t>haris@cedes.ba</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12ADEC3F"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54255009"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6298725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Ermin</w:t>
            </w:r>
          </w:p>
        </w:tc>
        <w:tc>
          <w:tcPr>
            <w:tcW w:w="0" w:type="auto"/>
            <w:tcMar>
              <w:top w:w="0" w:type="dxa"/>
              <w:left w:w="40" w:type="dxa"/>
              <w:bottom w:w="0" w:type="dxa"/>
              <w:right w:w="40" w:type="dxa"/>
            </w:tcMar>
            <w:vAlign w:val="bottom"/>
          </w:tcPr>
          <w:p w14:paraId="0D66C41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Cero</w:t>
            </w:r>
          </w:p>
        </w:tc>
        <w:tc>
          <w:tcPr>
            <w:tcW w:w="0" w:type="auto"/>
            <w:tcMar>
              <w:top w:w="0" w:type="dxa"/>
              <w:left w:w="40" w:type="dxa"/>
              <w:bottom w:w="0" w:type="dxa"/>
              <w:right w:w="40" w:type="dxa"/>
            </w:tcMar>
            <w:vAlign w:val="bottom"/>
          </w:tcPr>
          <w:p w14:paraId="3A7DED24"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Director, Trone</w:t>
            </w:r>
          </w:p>
        </w:tc>
        <w:tc>
          <w:tcPr>
            <w:tcW w:w="3604" w:type="dxa"/>
            <w:tcMar>
              <w:top w:w="0" w:type="dxa"/>
              <w:left w:w="40" w:type="dxa"/>
              <w:bottom w:w="0" w:type="dxa"/>
              <w:right w:w="40" w:type="dxa"/>
            </w:tcMar>
            <w:vAlign w:val="bottom"/>
          </w:tcPr>
          <w:p w14:paraId="0BFF53CD"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Consortium member</w:t>
            </w:r>
          </w:p>
        </w:tc>
        <w:tc>
          <w:tcPr>
            <w:tcW w:w="3330" w:type="dxa"/>
            <w:tcBorders>
              <w:right w:val="single" w:sz="4" w:space="0" w:color="auto"/>
            </w:tcBorders>
            <w:tcMar>
              <w:top w:w="0" w:type="dxa"/>
              <w:left w:w="40" w:type="dxa"/>
              <w:bottom w:w="0" w:type="dxa"/>
              <w:right w:w="40" w:type="dxa"/>
            </w:tcMar>
            <w:vAlign w:val="bottom"/>
          </w:tcPr>
          <w:p w14:paraId="5D3E8B28" w14:textId="77777777" w:rsidR="00094D4C" w:rsidRPr="00457BCB" w:rsidRDefault="00094D4C" w:rsidP="00A5744A">
            <w:pPr>
              <w:widowControl w:val="0"/>
              <w:spacing w:line="276" w:lineRule="auto"/>
              <w:rPr>
                <w:rFonts w:ascii="Calibri" w:hAnsi="Calibri" w:cs="Calibri"/>
                <w:sz w:val="20"/>
                <w:szCs w:val="20"/>
                <w:lang w:val="en-US"/>
              </w:rPr>
            </w:pPr>
            <w:hyperlink r:id="rId138" w:history="1">
              <w:r w:rsidRPr="00457BCB">
                <w:rPr>
                  <w:rStyle w:val="Hyperlink"/>
                  <w:rFonts w:ascii="Calibri" w:hAnsi="Calibri" w:cs="Helvetica"/>
                  <w:sz w:val="20"/>
                  <w:szCs w:val="20"/>
                  <w:shd w:val="clear" w:color="auto" w:fill="FFFFFF"/>
                  <w:lang w:val="en-US"/>
                </w:rPr>
                <w:t>info@tron.ba</w:t>
              </w:r>
            </w:hyperlink>
            <w:r w:rsidRPr="00457BCB">
              <w:rPr>
                <w:rFonts w:ascii="Calibri" w:hAnsi="Calibri" w:cs="Helvetica"/>
                <w:color w:val="777777"/>
                <w:sz w:val="20"/>
                <w:szCs w:val="20"/>
                <w:shd w:val="clear" w:color="auto" w:fill="FFFFFF"/>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436D5366"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6D524BE2"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367C5D4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Haris </w:t>
            </w:r>
          </w:p>
        </w:tc>
        <w:tc>
          <w:tcPr>
            <w:tcW w:w="0" w:type="auto"/>
            <w:tcMar>
              <w:top w:w="0" w:type="dxa"/>
              <w:left w:w="40" w:type="dxa"/>
              <w:bottom w:w="0" w:type="dxa"/>
              <w:right w:w="40" w:type="dxa"/>
            </w:tcMar>
            <w:vAlign w:val="bottom"/>
          </w:tcPr>
          <w:p w14:paraId="5C128DB5"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Komic</w:t>
            </w:r>
          </w:p>
        </w:tc>
        <w:tc>
          <w:tcPr>
            <w:tcW w:w="0" w:type="auto"/>
            <w:tcMar>
              <w:top w:w="0" w:type="dxa"/>
              <w:left w:w="40" w:type="dxa"/>
              <w:bottom w:w="0" w:type="dxa"/>
              <w:right w:w="40" w:type="dxa"/>
            </w:tcMar>
            <w:vAlign w:val="bottom"/>
          </w:tcPr>
          <w:p w14:paraId="4ED345B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Director, Cabinet</w:t>
            </w:r>
          </w:p>
        </w:tc>
        <w:tc>
          <w:tcPr>
            <w:tcW w:w="3604" w:type="dxa"/>
            <w:tcMar>
              <w:top w:w="0" w:type="dxa"/>
              <w:left w:w="40" w:type="dxa"/>
              <w:bottom w:w="0" w:type="dxa"/>
              <w:right w:w="40" w:type="dxa"/>
            </w:tcMar>
            <w:vAlign w:val="bottom"/>
          </w:tcPr>
          <w:p w14:paraId="1A25C1E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Consortium member</w:t>
            </w:r>
          </w:p>
        </w:tc>
        <w:tc>
          <w:tcPr>
            <w:tcW w:w="3330" w:type="dxa"/>
            <w:tcBorders>
              <w:right w:val="single" w:sz="4" w:space="0" w:color="auto"/>
            </w:tcBorders>
            <w:tcMar>
              <w:top w:w="0" w:type="dxa"/>
              <w:left w:w="40" w:type="dxa"/>
              <w:bottom w:w="0" w:type="dxa"/>
              <w:right w:w="40" w:type="dxa"/>
            </w:tcMar>
            <w:vAlign w:val="bottom"/>
          </w:tcPr>
          <w:p w14:paraId="358CF856" w14:textId="77777777" w:rsidR="00094D4C" w:rsidRPr="00457BCB" w:rsidRDefault="00094D4C" w:rsidP="00A5744A">
            <w:pPr>
              <w:widowControl w:val="0"/>
              <w:spacing w:line="276" w:lineRule="auto"/>
              <w:rPr>
                <w:rFonts w:ascii="Calibri" w:hAnsi="Calibri" w:cs="Calibri"/>
                <w:sz w:val="20"/>
                <w:szCs w:val="20"/>
                <w:lang w:val="en-US"/>
              </w:rPr>
            </w:pPr>
            <w:hyperlink r:id="rId139" w:history="1">
              <w:r w:rsidRPr="00457BCB">
                <w:rPr>
                  <w:rStyle w:val="Hyperlink"/>
                  <w:rFonts w:ascii="Calibri" w:hAnsi="Calibri" w:cs="Calibri"/>
                  <w:sz w:val="20"/>
                  <w:szCs w:val="20"/>
                  <w:lang w:val="en-US"/>
                </w:rPr>
                <w:t>haris.komic@gmail.com</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7C1FDC45"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M</w:t>
            </w:r>
          </w:p>
        </w:tc>
      </w:tr>
      <w:tr w:rsidR="00094D4C" w:rsidRPr="00F569AE" w14:paraId="425645B9"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093610DF"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Tihana</w:t>
            </w:r>
          </w:p>
        </w:tc>
        <w:tc>
          <w:tcPr>
            <w:tcW w:w="0" w:type="auto"/>
            <w:tcMar>
              <w:top w:w="0" w:type="dxa"/>
              <w:left w:w="40" w:type="dxa"/>
              <w:bottom w:w="0" w:type="dxa"/>
              <w:right w:w="40" w:type="dxa"/>
            </w:tcMar>
            <w:vAlign w:val="bottom"/>
          </w:tcPr>
          <w:p w14:paraId="7A31E08C"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Puzic</w:t>
            </w:r>
          </w:p>
        </w:tc>
        <w:tc>
          <w:tcPr>
            <w:tcW w:w="0" w:type="auto"/>
            <w:tcMar>
              <w:top w:w="0" w:type="dxa"/>
              <w:left w:w="40" w:type="dxa"/>
              <w:bottom w:w="0" w:type="dxa"/>
              <w:right w:w="40" w:type="dxa"/>
            </w:tcMar>
            <w:vAlign w:val="bottom"/>
          </w:tcPr>
          <w:p w14:paraId="66805B2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Deputy Head</w:t>
            </w:r>
          </w:p>
          <w:p w14:paraId="6535265A"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European CAF Resource Centre</w:t>
            </w:r>
          </w:p>
        </w:tc>
        <w:tc>
          <w:tcPr>
            <w:tcW w:w="3604" w:type="dxa"/>
            <w:tcMar>
              <w:top w:w="0" w:type="dxa"/>
              <w:left w:w="40" w:type="dxa"/>
              <w:bottom w:w="0" w:type="dxa"/>
              <w:right w:w="40" w:type="dxa"/>
            </w:tcMar>
            <w:vAlign w:val="bottom"/>
          </w:tcPr>
          <w:p w14:paraId="430D4654"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EIPA</w:t>
            </w:r>
          </w:p>
        </w:tc>
        <w:tc>
          <w:tcPr>
            <w:tcW w:w="3330" w:type="dxa"/>
            <w:tcBorders>
              <w:right w:val="single" w:sz="4" w:space="0" w:color="auto"/>
            </w:tcBorders>
            <w:tcMar>
              <w:top w:w="0" w:type="dxa"/>
              <w:left w:w="40" w:type="dxa"/>
              <w:bottom w:w="0" w:type="dxa"/>
              <w:right w:w="40" w:type="dxa"/>
            </w:tcMar>
            <w:vAlign w:val="bottom"/>
          </w:tcPr>
          <w:p w14:paraId="6F4FD31D" w14:textId="77777777" w:rsidR="00094D4C" w:rsidRPr="00457BCB" w:rsidRDefault="00094D4C" w:rsidP="00A5744A">
            <w:pPr>
              <w:widowControl w:val="0"/>
              <w:spacing w:line="276" w:lineRule="auto"/>
              <w:rPr>
                <w:rFonts w:ascii="Calibri" w:hAnsi="Calibri" w:cs="Calibri"/>
                <w:sz w:val="20"/>
                <w:szCs w:val="20"/>
                <w:lang w:val="en-US"/>
              </w:rPr>
            </w:pPr>
            <w:hyperlink r:id="rId140" w:history="1">
              <w:r w:rsidRPr="00457BCB">
                <w:rPr>
                  <w:rStyle w:val="Hyperlink"/>
                  <w:rFonts w:ascii="Calibri" w:hAnsi="Calibri" w:cs="Calibri"/>
                  <w:sz w:val="20"/>
                  <w:szCs w:val="20"/>
                  <w:lang w:val="en-US"/>
                </w:rPr>
                <w:t>info@eipa.eu</w:t>
              </w:r>
            </w:hyperlink>
            <w:r w:rsidRPr="00457BCB">
              <w:rPr>
                <w:rFonts w:ascii="Calibri" w:hAnsi="Calibri" w:cs="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6462EE21"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62866F49" w14:textId="77777777" w:rsidTr="212A59DF">
        <w:trPr>
          <w:trHeight w:val="315"/>
        </w:trPr>
        <w:tc>
          <w:tcPr>
            <w:tcW w:w="13270" w:type="dxa"/>
            <w:gridSpan w:val="5"/>
            <w:tcBorders>
              <w:left w:val="single" w:sz="12" w:space="0" w:color="000000" w:themeColor="text1"/>
              <w:right w:val="single" w:sz="4" w:space="0" w:color="auto"/>
            </w:tcBorders>
            <w:shd w:val="clear" w:color="auto" w:fill="DAE9F7" w:themeFill="text2" w:themeFillTint="1A"/>
            <w:tcMar>
              <w:top w:w="0" w:type="dxa"/>
              <w:left w:w="40" w:type="dxa"/>
              <w:bottom w:w="0" w:type="dxa"/>
              <w:right w:w="40" w:type="dxa"/>
            </w:tcMar>
            <w:vAlign w:val="bottom"/>
          </w:tcPr>
          <w:p w14:paraId="02BDACF7" w14:textId="77777777" w:rsidR="00094D4C" w:rsidRPr="00457BCB" w:rsidRDefault="00094D4C" w:rsidP="00A5744A">
            <w:pPr>
              <w:widowControl w:val="0"/>
              <w:spacing w:line="276" w:lineRule="auto"/>
              <w:jc w:val="center"/>
              <w:rPr>
                <w:rFonts w:ascii="Calibri" w:hAnsi="Calibri"/>
                <w:b/>
                <w:lang w:val="en-US"/>
              </w:rPr>
            </w:pPr>
            <w:r w:rsidRPr="00457BCB">
              <w:rPr>
                <w:rFonts w:ascii="Calibri" w:hAnsi="Calibri"/>
                <w:b/>
                <w:lang w:val="en-US"/>
              </w:rPr>
              <w:t>CSOs</w:t>
            </w:r>
          </w:p>
        </w:tc>
        <w:tc>
          <w:tcPr>
            <w:tcW w:w="818" w:type="dxa"/>
            <w:tcBorders>
              <w:top w:val="single" w:sz="4" w:space="0" w:color="auto"/>
              <w:left w:val="single" w:sz="4" w:space="0" w:color="auto"/>
              <w:bottom w:val="single" w:sz="4" w:space="0" w:color="auto"/>
              <w:right w:val="single" w:sz="4" w:space="0" w:color="auto"/>
            </w:tcBorders>
            <w:shd w:val="clear" w:color="auto" w:fill="DAE9F7" w:themeFill="text2" w:themeFillTint="1A"/>
          </w:tcPr>
          <w:p w14:paraId="41A142A4" w14:textId="77777777" w:rsidR="00094D4C" w:rsidRPr="00457BCB" w:rsidRDefault="00094D4C" w:rsidP="00A5744A">
            <w:pPr>
              <w:widowControl w:val="0"/>
              <w:spacing w:line="276" w:lineRule="auto"/>
              <w:jc w:val="center"/>
              <w:rPr>
                <w:rFonts w:ascii="Calibri" w:hAnsi="Calibri"/>
                <w:b/>
                <w:lang w:val="en-US"/>
              </w:rPr>
            </w:pPr>
          </w:p>
        </w:tc>
      </w:tr>
      <w:tr w:rsidR="00094D4C" w:rsidRPr="00F569AE" w14:paraId="24B10A88"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5A682EF7"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Tanja</w:t>
            </w:r>
          </w:p>
        </w:tc>
        <w:tc>
          <w:tcPr>
            <w:tcW w:w="0" w:type="auto"/>
            <w:tcMar>
              <w:top w:w="0" w:type="dxa"/>
              <w:left w:w="40" w:type="dxa"/>
              <w:bottom w:w="0" w:type="dxa"/>
              <w:right w:w="40" w:type="dxa"/>
            </w:tcMar>
            <w:vAlign w:val="bottom"/>
          </w:tcPr>
          <w:p w14:paraId="69DEA5B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Šnjegota</w:t>
            </w:r>
          </w:p>
        </w:tc>
        <w:tc>
          <w:tcPr>
            <w:tcW w:w="0" w:type="auto"/>
            <w:tcMar>
              <w:top w:w="0" w:type="dxa"/>
              <w:left w:w="40" w:type="dxa"/>
              <w:bottom w:w="0" w:type="dxa"/>
              <w:right w:w="40" w:type="dxa"/>
            </w:tcMar>
            <w:vAlign w:val="bottom"/>
          </w:tcPr>
          <w:p w14:paraId="1D87BA6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President of the association</w:t>
            </w:r>
          </w:p>
        </w:tc>
        <w:tc>
          <w:tcPr>
            <w:tcW w:w="3604" w:type="dxa"/>
            <w:tcMar>
              <w:top w:w="0" w:type="dxa"/>
              <w:left w:w="40" w:type="dxa"/>
              <w:bottom w:w="0" w:type="dxa"/>
              <w:right w:w="40" w:type="dxa"/>
            </w:tcMar>
            <w:vAlign w:val="bottom"/>
          </w:tcPr>
          <w:p w14:paraId="7B074E0B"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Youth Association Cezar, Srbac</w:t>
            </w:r>
          </w:p>
        </w:tc>
        <w:tc>
          <w:tcPr>
            <w:tcW w:w="3330" w:type="dxa"/>
            <w:tcBorders>
              <w:right w:val="single" w:sz="4" w:space="0" w:color="auto"/>
            </w:tcBorders>
            <w:tcMar>
              <w:top w:w="0" w:type="dxa"/>
              <w:left w:w="40" w:type="dxa"/>
              <w:bottom w:w="0" w:type="dxa"/>
              <w:right w:w="40" w:type="dxa"/>
            </w:tcMar>
            <w:vAlign w:val="bottom"/>
          </w:tcPr>
          <w:p w14:paraId="6249FE85" w14:textId="77777777" w:rsidR="00094D4C" w:rsidRPr="00457BCB" w:rsidRDefault="00094D4C" w:rsidP="00A5744A">
            <w:pPr>
              <w:widowControl w:val="0"/>
              <w:spacing w:line="276" w:lineRule="auto"/>
              <w:rPr>
                <w:rFonts w:ascii="Calibri" w:hAnsi="Calibri"/>
                <w:sz w:val="20"/>
                <w:szCs w:val="20"/>
                <w:lang w:val="en-US"/>
              </w:rPr>
            </w:pPr>
            <w:hyperlink r:id="rId141" w:history="1">
              <w:r w:rsidRPr="00457BCB">
                <w:rPr>
                  <w:rStyle w:val="Hyperlink"/>
                  <w:rFonts w:ascii="Calibri" w:hAnsi="Calibri"/>
                  <w:sz w:val="20"/>
                  <w:szCs w:val="20"/>
                  <w:lang w:val="en-US"/>
                </w:rPr>
                <w:t>zdravosrbac@yahoo.com</w:t>
              </w:r>
            </w:hyperlink>
            <w:r w:rsidRPr="00457BCB">
              <w:rPr>
                <w:rFonts w:ascii="Calibri" w:hAnsi="Calibri"/>
                <w:sz w:val="20"/>
                <w:szCs w:val="20"/>
                <w:lang w:val="en-US"/>
              </w:rPr>
              <w:t xml:space="preserve"> </w:t>
            </w:r>
          </w:p>
        </w:tc>
        <w:tc>
          <w:tcPr>
            <w:tcW w:w="818" w:type="dxa"/>
            <w:tcBorders>
              <w:top w:val="single" w:sz="4" w:space="0" w:color="auto"/>
              <w:left w:val="single" w:sz="4" w:space="0" w:color="auto"/>
              <w:bottom w:val="single" w:sz="4" w:space="0" w:color="auto"/>
              <w:right w:val="single" w:sz="4" w:space="0" w:color="auto"/>
            </w:tcBorders>
          </w:tcPr>
          <w:p w14:paraId="4BB61E31"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r w:rsidR="00094D4C" w:rsidRPr="00F569AE" w14:paraId="490E6430" w14:textId="77777777" w:rsidTr="212A59DF">
        <w:trPr>
          <w:trHeight w:val="315"/>
        </w:trPr>
        <w:tc>
          <w:tcPr>
            <w:tcW w:w="0" w:type="auto"/>
            <w:tcBorders>
              <w:left w:val="single" w:sz="12" w:space="0" w:color="000000" w:themeColor="text1"/>
            </w:tcBorders>
            <w:tcMar>
              <w:top w:w="0" w:type="dxa"/>
              <w:left w:w="40" w:type="dxa"/>
              <w:bottom w:w="0" w:type="dxa"/>
              <w:right w:w="40" w:type="dxa"/>
            </w:tcMar>
            <w:vAlign w:val="bottom"/>
          </w:tcPr>
          <w:p w14:paraId="36EDB6E2"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 xml:space="preserve">Vesna </w:t>
            </w:r>
          </w:p>
        </w:tc>
        <w:tc>
          <w:tcPr>
            <w:tcW w:w="0" w:type="auto"/>
            <w:tcMar>
              <w:top w:w="0" w:type="dxa"/>
              <w:left w:w="40" w:type="dxa"/>
              <w:bottom w:w="0" w:type="dxa"/>
              <w:right w:w="40" w:type="dxa"/>
            </w:tcMar>
            <w:vAlign w:val="bottom"/>
          </w:tcPr>
          <w:p w14:paraId="588DCDC6"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Smiljanic</w:t>
            </w:r>
          </w:p>
        </w:tc>
        <w:tc>
          <w:tcPr>
            <w:tcW w:w="0" w:type="auto"/>
            <w:tcMar>
              <w:top w:w="0" w:type="dxa"/>
              <w:left w:w="40" w:type="dxa"/>
              <w:bottom w:w="0" w:type="dxa"/>
              <w:right w:w="40" w:type="dxa"/>
            </w:tcMar>
            <w:vAlign w:val="bottom"/>
          </w:tcPr>
          <w:p w14:paraId="531BFE51"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President of the association</w:t>
            </w:r>
          </w:p>
        </w:tc>
        <w:tc>
          <w:tcPr>
            <w:tcW w:w="3604" w:type="dxa"/>
            <w:tcMar>
              <w:top w:w="0" w:type="dxa"/>
              <w:left w:w="40" w:type="dxa"/>
              <w:bottom w:w="0" w:type="dxa"/>
              <w:right w:w="40" w:type="dxa"/>
            </w:tcMar>
            <w:vAlign w:val="bottom"/>
          </w:tcPr>
          <w:p w14:paraId="73F85E03" w14:textId="77777777" w:rsidR="00094D4C" w:rsidRPr="00457BCB" w:rsidRDefault="00094D4C" w:rsidP="00A5744A">
            <w:pPr>
              <w:widowControl w:val="0"/>
              <w:spacing w:line="276" w:lineRule="auto"/>
              <w:rPr>
                <w:rFonts w:ascii="Calibri" w:hAnsi="Calibri" w:cs="Calibri"/>
                <w:sz w:val="20"/>
                <w:szCs w:val="20"/>
                <w:lang w:val="en-US"/>
              </w:rPr>
            </w:pPr>
            <w:r w:rsidRPr="00457BCB">
              <w:rPr>
                <w:rFonts w:ascii="Calibri" w:hAnsi="Calibri" w:cs="Calibri"/>
                <w:sz w:val="20"/>
                <w:szCs w:val="20"/>
                <w:lang w:val="en-US"/>
              </w:rPr>
              <w:t>Women association, Srbac</w:t>
            </w:r>
          </w:p>
        </w:tc>
        <w:tc>
          <w:tcPr>
            <w:tcW w:w="3330" w:type="dxa"/>
            <w:tcBorders>
              <w:right w:val="single" w:sz="4" w:space="0" w:color="auto"/>
            </w:tcBorders>
            <w:tcMar>
              <w:top w:w="0" w:type="dxa"/>
              <w:left w:w="40" w:type="dxa"/>
              <w:bottom w:w="0" w:type="dxa"/>
              <w:right w:w="40" w:type="dxa"/>
            </w:tcMar>
            <w:vAlign w:val="bottom"/>
          </w:tcPr>
          <w:p w14:paraId="1A3B8B35" w14:textId="77777777" w:rsidR="00094D4C" w:rsidRPr="00457BCB" w:rsidRDefault="00094D4C" w:rsidP="00A5744A">
            <w:pPr>
              <w:widowControl w:val="0"/>
              <w:spacing w:line="276" w:lineRule="auto"/>
              <w:rPr>
                <w:rFonts w:ascii="Calibri" w:hAnsi="Calibri"/>
                <w:color w:val="0F4761" w:themeColor="accent1" w:themeShade="BF"/>
                <w:sz w:val="20"/>
                <w:szCs w:val="20"/>
                <w:lang w:val="en-US"/>
              </w:rPr>
            </w:pPr>
            <w:r w:rsidRPr="00457BCB">
              <w:rPr>
                <w:rFonts w:ascii="Calibri" w:hAnsi="Calibri"/>
                <w:color w:val="0F4761" w:themeColor="accent1" w:themeShade="BF"/>
                <w:sz w:val="20"/>
                <w:szCs w:val="20"/>
                <w:lang w:val="en-US"/>
              </w:rPr>
              <w:t>Tel: 065 750 712</w:t>
            </w:r>
          </w:p>
        </w:tc>
        <w:tc>
          <w:tcPr>
            <w:tcW w:w="818" w:type="dxa"/>
            <w:tcBorders>
              <w:top w:val="single" w:sz="4" w:space="0" w:color="auto"/>
              <w:left w:val="single" w:sz="4" w:space="0" w:color="auto"/>
              <w:bottom w:val="single" w:sz="4" w:space="0" w:color="auto"/>
              <w:right w:val="single" w:sz="4" w:space="0" w:color="auto"/>
            </w:tcBorders>
          </w:tcPr>
          <w:p w14:paraId="79583C4E" w14:textId="77777777" w:rsidR="00094D4C" w:rsidRPr="00457BCB" w:rsidRDefault="00094D4C" w:rsidP="00A5744A">
            <w:pPr>
              <w:widowControl w:val="0"/>
              <w:spacing w:line="276" w:lineRule="auto"/>
              <w:rPr>
                <w:rFonts w:ascii="Calibri" w:hAnsi="Calibri"/>
                <w:lang w:val="en-US"/>
              </w:rPr>
            </w:pPr>
            <w:r w:rsidRPr="00457BCB">
              <w:rPr>
                <w:rFonts w:ascii="Calibri" w:hAnsi="Calibri"/>
                <w:lang w:val="en-US"/>
              </w:rPr>
              <w:t>F</w:t>
            </w:r>
          </w:p>
        </w:tc>
      </w:tr>
    </w:tbl>
    <w:p w14:paraId="0C84332A" w14:textId="77777777" w:rsidR="00094D4C" w:rsidRPr="00F569AE" w:rsidRDefault="00094D4C" w:rsidP="00507809">
      <w:pPr>
        <w:pStyle w:val="Heading2"/>
        <w:spacing w:line="276" w:lineRule="auto"/>
        <w:rPr>
          <w:rFonts w:ascii="Calibri" w:hAnsi="Calibri" w:cs="Calibri"/>
          <w:b/>
          <w:i/>
        </w:rPr>
      </w:pPr>
    </w:p>
    <w:p w14:paraId="6673CFCD" w14:textId="77777777" w:rsidR="007F6750" w:rsidRPr="00F569AE" w:rsidRDefault="007F6750" w:rsidP="007F6750">
      <w:pPr>
        <w:rPr>
          <w:lang w:val="en-US"/>
        </w:rPr>
      </w:pPr>
    </w:p>
    <w:p w14:paraId="552B0AC8" w14:textId="77777777" w:rsidR="007F6750" w:rsidRPr="00F569AE" w:rsidRDefault="007F6750" w:rsidP="007F6750">
      <w:pPr>
        <w:rPr>
          <w:lang w:val="en-US"/>
        </w:rPr>
      </w:pPr>
    </w:p>
    <w:p w14:paraId="73655702" w14:textId="77777777" w:rsidR="007F6750" w:rsidRPr="00F569AE" w:rsidRDefault="007F6750" w:rsidP="007F6750">
      <w:pPr>
        <w:rPr>
          <w:lang w:val="en-US"/>
        </w:rPr>
      </w:pPr>
    </w:p>
    <w:p w14:paraId="3BBAB6FC" w14:textId="77777777" w:rsidR="007F6750" w:rsidRPr="00F569AE" w:rsidRDefault="007F6750" w:rsidP="007F6750">
      <w:pPr>
        <w:rPr>
          <w:lang w:val="en-US"/>
        </w:rPr>
      </w:pPr>
    </w:p>
    <w:p w14:paraId="0958E468" w14:textId="77777777" w:rsidR="007F6750" w:rsidRPr="00F569AE" w:rsidRDefault="007F6750" w:rsidP="007F6750">
      <w:pPr>
        <w:rPr>
          <w:lang w:val="en-US"/>
        </w:rPr>
      </w:pPr>
    </w:p>
    <w:p w14:paraId="39696920" w14:textId="77777777" w:rsidR="007F6750" w:rsidRPr="00F569AE" w:rsidRDefault="007F6750" w:rsidP="007F6750">
      <w:pPr>
        <w:rPr>
          <w:lang w:val="en-US"/>
        </w:rPr>
      </w:pPr>
    </w:p>
    <w:p w14:paraId="4A84FD77" w14:textId="77777777" w:rsidR="007F6750" w:rsidRPr="00F569AE" w:rsidRDefault="007F6750" w:rsidP="007F6750">
      <w:pPr>
        <w:rPr>
          <w:lang w:val="en-US"/>
        </w:rPr>
      </w:pPr>
    </w:p>
    <w:p w14:paraId="77C757AE" w14:textId="77777777" w:rsidR="007F6750" w:rsidRPr="00F569AE" w:rsidRDefault="007F6750" w:rsidP="007F6750">
      <w:pPr>
        <w:rPr>
          <w:lang w:val="en-US"/>
        </w:rPr>
      </w:pPr>
    </w:p>
    <w:p w14:paraId="66321AFE" w14:textId="77777777" w:rsidR="007F6750" w:rsidRPr="00F569AE" w:rsidRDefault="007F6750" w:rsidP="007F6750">
      <w:pPr>
        <w:rPr>
          <w:lang w:val="en-US"/>
        </w:rPr>
      </w:pPr>
    </w:p>
    <w:p w14:paraId="2EABD57D" w14:textId="77777777" w:rsidR="007F6750" w:rsidRPr="00F569AE" w:rsidRDefault="007F6750" w:rsidP="007F6750">
      <w:pPr>
        <w:rPr>
          <w:lang w:val="en-US"/>
        </w:rPr>
      </w:pPr>
    </w:p>
    <w:p w14:paraId="3F6C957E" w14:textId="77777777" w:rsidR="00094D4C" w:rsidRPr="00F569AE" w:rsidRDefault="00094D4C" w:rsidP="00507809">
      <w:pPr>
        <w:pStyle w:val="Heading2"/>
        <w:spacing w:line="276" w:lineRule="auto"/>
        <w:rPr>
          <w:rFonts w:ascii="Calibri" w:hAnsi="Calibri" w:cs="Calibri"/>
          <w:b/>
          <w:i/>
        </w:rPr>
      </w:pPr>
    </w:p>
    <w:p w14:paraId="6D6E6E70" w14:textId="46AB947F" w:rsidR="008118E1" w:rsidRPr="00F569AE" w:rsidRDefault="00E65AAB" w:rsidP="00507809">
      <w:pPr>
        <w:pStyle w:val="Heading2"/>
        <w:spacing w:line="276" w:lineRule="auto"/>
        <w:rPr>
          <w:rFonts w:ascii="Calibri" w:hAnsi="Calibri" w:cs="Calibri"/>
          <w:i/>
        </w:rPr>
      </w:pPr>
      <w:bookmarkStart w:id="214" w:name="_Toc210058540"/>
      <w:r w:rsidRPr="00F569AE">
        <w:rPr>
          <w:rFonts w:ascii="Calibri" w:hAnsi="Calibri" w:cs="Calibri"/>
          <w:i/>
        </w:rPr>
        <w:t xml:space="preserve">Annex </w:t>
      </w:r>
      <w:r w:rsidR="000C52E4" w:rsidRPr="00F569AE">
        <w:rPr>
          <w:rFonts w:ascii="Calibri" w:hAnsi="Calibri" w:cs="Calibri"/>
          <w:i/>
        </w:rPr>
        <w:t>5</w:t>
      </w:r>
      <w:r w:rsidRPr="00F569AE">
        <w:rPr>
          <w:rFonts w:ascii="Calibri" w:hAnsi="Calibri" w:cs="Calibri"/>
          <w:i/>
        </w:rPr>
        <w:t>: List of literature reviewed</w:t>
      </w:r>
      <w:bookmarkEnd w:id="214"/>
    </w:p>
    <w:p w14:paraId="286B1077" w14:textId="5159FE25" w:rsidR="00507809" w:rsidRPr="00F569AE" w:rsidRDefault="00507809" w:rsidP="00507809">
      <w:pPr>
        <w:spacing w:line="276" w:lineRule="auto"/>
        <w:jc w:val="both"/>
        <w:rPr>
          <w:rFonts w:ascii="Calibri" w:hAnsi="Calibri" w:cs="Calibri"/>
          <w:lang w:val="en-US"/>
        </w:rPr>
      </w:pPr>
      <w:r w:rsidRPr="00F569AE">
        <w:rPr>
          <w:rFonts w:ascii="Calibri" w:hAnsi="Calibri" w:cs="Calibri"/>
          <w:lang w:val="en-US"/>
        </w:rPr>
        <w:t xml:space="preserve">The list below is an indication of </w:t>
      </w:r>
      <w:r w:rsidRPr="00F569AE">
        <w:rPr>
          <w:rFonts w:ascii="Calibri" w:hAnsi="Calibri" w:cs="Calibri"/>
          <w:b/>
          <w:i/>
          <w:lang w:val="en-US"/>
        </w:rPr>
        <w:t>some of the documents</w:t>
      </w:r>
      <w:r w:rsidRPr="00F569AE">
        <w:rPr>
          <w:rFonts w:ascii="Calibri" w:hAnsi="Calibri" w:cs="Calibri"/>
          <w:lang w:val="en-US"/>
        </w:rPr>
        <w:t>, besides those indicated as footnotes, that the evaluation team analyzed for the purpose of this evaluation.</w:t>
      </w:r>
    </w:p>
    <w:p w14:paraId="00DE1935" w14:textId="77777777" w:rsidR="00507809" w:rsidRPr="00F569AE" w:rsidRDefault="00507809" w:rsidP="00507809">
      <w:pPr>
        <w:spacing w:line="276" w:lineRule="auto"/>
        <w:rPr>
          <w:lang w:val="en-US"/>
        </w:rPr>
      </w:pPr>
    </w:p>
    <w:p w14:paraId="744BE3E1" w14:textId="77777777" w:rsidR="00507809" w:rsidRPr="00F569AE" w:rsidRDefault="00507809" w:rsidP="00507809">
      <w:pPr>
        <w:spacing w:line="276" w:lineRule="auto"/>
        <w:ind w:left="720" w:hanging="360"/>
        <w:rPr>
          <w:rFonts w:ascii="Calibri" w:hAnsi="Calibri" w:cs="Calibri"/>
          <w:b/>
          <w:i/>
          <w:lang w:val="en-US"/>
        </w:rPr>
      </w:pPr>
      <w:r w:rsidRPr="00F569AE">
        <w:rPr>
          <w:rFonts w:ascii="Calibri" w:hAnsi="Calibri" w:cs="Calibri"/>
          <w:b/>
          <w:i/>
          <w:lang w:val="en-US"/>
        </w:rPr>
        <w:t>Project documents</w:t>
      </w:r>
    </w:p>
    <w:p w14:paraId="1E72268D" w14:textId="225F68E7" w:rsidR="00507809" w:rsidRPr="00F569AE" w:rsidRDefault="00507809" w:rsidP="0033780B">
      <w:pPr>
        <w:pStyle w:val="Default"/>
        <w:numPr>
          <w:ilvl w:val="0"/>
          <w:numId w:val="29"/>
        </w:numPr>
        <w:spacing w:line="276" w:lineRule="auto"/>
      </w:pPr>
      <w:r w:rsidRPr="00F569AE">
        <w:t>Project Document, Municipal Environmental Governance Project (Phase II), July 2020 + Annexes</w:t>
      </w:r>
    </w:p>
    <w:p w14:paraId="1C3DB3C9" w14:textId="77777777" w:rsidR="00507809" w:rsidRPr="00F569AE" w:rsidRDefault="00507809" w:rsidP="0033780B">
      <w:pPr>
        <w:pStyle w:val="ListParagraph"/>
        <w:numPr>
          <w:ilvl w:val="0"/>
          <w:numId w:val="29"/>
        </w:numPr>
        <w:spacing w:line="276" w:lineRule="auto"/>
        <w:rPr>
          <w:rFonts w:ascii="Calibri" w:hAnsi="Calibri" w:cs="Calibri"/>
        </w:rPr>
      </w:pPr>
      <w:r w:rsidRPr="00F569AE">
        <w:rPr>
          <w:rFonts w:ascii="Calibri" w:hAnsi="Calibri" w:cs="Calibri"/>
          <w:color w:val="000000"/>
        </w:rPr>
        <w:t>European Union Support to Sustainable Management of Water Services in Bosnia and Herzegovina (EU4MEG), Description of the Action, Annex I to Contribution Agreement, Nov 2021</w:t>
      </w:r>
    </w:p>
    <w:p w14:paraId="0626E137" w14:textId="1875A2C4" w:rsidR="00507809" w:rsidRPr="00F569AE" w:rsidRDefault="00507809" w:rsidP="0033780B">
      <w:pPr>
        <w:pStyle w:val="ListParagraph"/>
        <w:numPr>
          <w:ilvl w:val="0"/>
          <w:numId w:val="29"/>
        </w:numPr>
        <w:spacing w:line="276" w:lineRule="auto"/>
        <w:rPr>
          <w:rFonts w:ascii="Calibri" w:hAnsi="Calibri" w:cs="Calibri"/>
        </w:rPr>
      </w:pPr>
      <w:r w:rsidRPr="00F569AE">
        <w:rPr>
          <w:rFonts w:ascii="Calibri" w:hAnsi="Calibri" w:cs="Calibri"/>
        </w:rPr>
        <w:t>Financing agreement CzDA MEG II, Dec 2021 + Amendments (1-3)</w:t>
      </w:r>
    </w:p>
    <w:p w14:paraId="1C9AC17E" w14:textId="77777777" w:rsidR="00507809" w:rsidRPr="00F569AE" w:rsidRDefault="00507809" w:rsidP="0033780B">
      <w:pPr>
        <w:pStyle w:val="ListParagraph"/>
        <w:numPr>
          <w:ilvl w:val="0"/>
          <w:numId w:val="29"/>
        </w:numPr>
        <w:spacing w:line="276" w:lineRule="auto"/>
        <w:rPr>
          <w:rFonts w:ascii="Calibri" w:hAnsi="Calibri" w:cs="Calibri"/>
        </w:rPr>
      </w:pPr>
      <w:r w:rsidRPr="00F569AE">
        <w:rPr>
          <w:rFonts w:ascii="Calibri" w:hAnsi="Calibri" w:cs="Calibri"/>
        </w:rPr>
        <w:t>European Union Contribution Agreement No 2022/431-671, March 2022 + Annex</w:t>
      </w:r>
    </w:p>
    <w:p w14:paraId="77FDAF53" w14:textId="77777777" w:rsidR="00507809" w:rsidRPr="00F569AE" w:rsidRDefault="00507809" w:rsidP="0033780B">
      <w:pPr>
        <w:pStyle w:val="ListParagraph"/>
        <w:numPr>
          <w:ilvl w:val="0"/>
          <w:numId w:val="29"/>
        </w:numPr>
        <w:spacing w:line="276" w:lineRule="auto"/>
        <w:rPr>
          <w:rFonts w:ascii="Calibri" w:hAnsi="Calibri" w:cs="Calibri"/>
        </w:rPr>
      </w:pPr>
      <w:r w:rsidRPr="00F569AE">
        <w:rPr>
          <w:rFonts w:ascii="Calibri" w:hAnsi="Calibri" w:cs="Calibri"/>
        </w:rPr>
        <w:t>Request for Addendum No 1 to the EU Contribution Agreement No 2022/431-671</w:t>
      </w:r>
    </w:p>
    <w:p w14:paraId="5A3BF7F7" w14:textId="77777777" w:rsidR="00507809" w:rsidRPr="00F569AE" w:rsidRDefault="00507809" w:rsidP="0033780B">
      <w:pPr>
        <w:pStyle w:val="ListParagraph"/>
        <w:numPr>
          <w:ilvl w:val="0"/>
          <w:numId w:val="29"/>
        </w:numPr>
        <w:spacing w:line="276" w:lineRule="auto"/>
        <w:rPr>
          <w:rFonts w:ascii="Calibri" w:hAnsi="Calibri" w:cs="Calibri"/>
        </w:rPr>
      </w:pPr>
      <w:r w:rsidRPr="00F569AE">
        <w:rPr>
          <w:rFonts w:ascii="Calibri" w:hAnsi="Calibri" w:cs="Calibri"/>
        </w:rPr>
        <w:t>Financing Agreement Sida MEG II, July 2021</w:t>
      </w:r>
    </w:p>
    <w:p w14:paraId="49A49F76" w14:textId="77777777" w:rsidR="00507809" w:rsidRPr="00F569AE" w:rsidRDefault="00507809" w:rsidP="0033780B">
      <w:pPr>
        <w:pStyle w:val="ListParagraph"/>
        <w:numPr>
          <w:ilvl w:val="0"/>
          <w:numId w:val="29"/>
        </w:numPr>
        <w:spacing w:line="276" w:lineRule="auto"/>
        <w:rPr>
          <w:rFonts w:ascii="Calibri" w:hAnsi="Calibri" w:cs="Calibri"/>
        </w:rPr>
      </w:pPr>
      <w:r w:rsidRPr="00F569AE">
        <w:rPr>
          <w:rFonts w:ascii="Calibri" w:hAnsi="Calibri" w:cs="Calibri"/>
        </w:rPr>
        <w:t>SDC-UNDP Cost – Sharing Agreement, March 2021</w:t>
      </w:r>
    </w:p>
    <w:p w14:paraId="4B865ED0" w14:textId="77777777" w:rsidR="00507809" w:rsidRPr="00F569AE" w:rsidRDefault="00507809" w:rsidP="0033780B">
      <w:pPr>
        <w:pStyle w:val="ListParagraph"/>
        <w:numPr>
          <w:ilvl w:val="0"/>
          <w:numId w:val="29"/>
        </w:numPr>
        <w:spacing w:line="276" w:lineRule="auto"/>
        <w:rPr>
          <w:rFonts w:ascii="Calibri" w:hAnsi="Calibri" w:cs="Calibri"/>
        </w:rPr>
      </w:pPr>
      <w:r w:rsidRPr="00F569AE">
        <w:rPr>
          <w:rFonts w:ascii="Calibri" w:hAnsi="Calibri" w:cs="Calibri"/>
        </w:rPr>
        <w:t>No-cost Extension Request, Jan 2025</w:t>
      </w:r>
    </w:p>
    <w:p w14:paraId="2559191C" w14:textId="77777777" w:rsidR="00507809" w:rsidRPr="00F569AE" w:rsidRDefault="00507809" w:rsidP="0033780B">
      <w:pPr>
        <w:pStyle w:val="NoSpacing"/>
        <w:numPr>
          <w:ilvl w:val="0"/>
          <w:numId w:val="29"/>
        </w:numPr>
        <w:spacing w:line="276" w:lineRule="auto"/>
        <w:rPr>
          <w:rFonts w:ascii="Calibri" w:hAnsi="Calibri" w:cs="Calibri"/>
          <w:sz w:val="24"/>
          <w:szCs w:val="24"/>
        </w:rPr>
      </w:pPr>
      <w:r w:rsidRPr="00F569AE">
        <w:rPr>
          <w:rFonts w:ascii="Calibri" w:hAnsi="Calibri" w:cs="Calibri"/>
          <w:sz w:val="24"/>
          <w:szCs w:val="24"/>
        </w:rPr>
        <w:t>Municipal Environmental Governance, (MEG) Project, Annual Progress Reports, 2022, 2023, 2024</w:t>
      </w:r>
    </w:p>
    <w:p w14:paraId="702B9CB6" w14:textId="4C09C7C0" w:rsidR="00507809" w:rsidRPr="00F569AE" w:rsidRDefault="00507809" w:rsidP="0033780B">
      <w:pPr>
        <w:pStyle w:val="NoSpacing"/>
        <w:numPr>
          <w:ilvl w:val="0"/>
          <w:numId w:val="29"/>
        </w:numPr>
        <w:spacing w:line="276" w:lineRule="auto"/>
        <w:rPr>
          <w:rFonts w:ascii="Calibri" w:hAnsi="Calibri" w:cs="Calibri"/>
          <w:sz w:val="24"/>
          <w:szCs w:val="24"/>
        </w:rPr>
      </w:pPr>
      <w:r w:rsidRPr="00F569AE">
        <w:rPr>
          <w:rFonts w:ascii="Calibri" w:hAnsi="Calibri" w:cs="Calibri"/>
          <w:color w:val="000000"/>
          <w:sz w:val="24"/>
          <w:szCs w:val="24"/>
        </w:rPr>
        <w:t xml:space="preserve">EU4MEG </w:t>
      </w:r>
      <w:r w:rsidRPr="00F569AE">
        <w:rPr>
          <w:rFonts w:ascii="Calibri" w:hAnsi="Calibri" w:cs="Calibri"/>
          <w:sz w:val="24"/>
          <w:szCs w:val="24"/>
        </w:rPr>
        <w:t>Annual progress report, May 2023-May 2024</w:t>
      </w:r>
    </w:p>
    <w:p w14:paraId="5427E44F" w14:textId="77777777" w:rsidR="00507809" w:rsidRPr="00F569AE" w:rsidRDefault="00507809" w:rsidP="00507809">
      <w:pPr>
        <w:spacing w:line="276" w:lineRule="auto"/>
        <w:rPr>
          <w:rFonts w:ascii="Calibri" w:hAnsi="Calibri" w:cs="Calibri"/>
          <w:b/>
          <w:i/>
          <w:lang w:val="en-US"/>
        </w:rPr>
      </w:pPr>
      <w:r w:rsidRPr="00F569AE">
        <w:rPr>
          <w:rFonts w:ascii="Calibri" w:hAnsi="Calibri" w:cs="Calibri"/>
          <w:b/>
          <w:i/>
          <w:lang w:val="en-US"/>
        </w:rPr>
        <w:t>Bord meetings</w:t>
      </w:r>
    </w:p>
    <w:p w14:paraId="196E7DA6" w14:textId="77777777" w:rsidR="00507809" w:rsidRPr="00F569AE" w:rsidRDefault="00507809" w:rsidP="0033780B">
      <w:pPr>
        <w:pStyle w:val="ListParagraph"/>
        <w:numPr>
          <w:ilvl w:val="0"/>
          <w:numId w:val="30"/>
        </w:numPr>
        <w:spacing w:line="276" w:lineRule="auto"/>
        <w:rPr>
          <w:rFonts w:ascii="Calibri" w:hAnsi="Calibri" w:cs="Calibri"/>
        </w:rPr>
      </w:pPr>
      <w:r w:rsidRPr="00F569AE">
        <w:rPr>
          <w:rFonts w:ascii="Calibri" w:hAnsi="Calibri" w:cs="Calibri"/>
        </w:rPr>
        <w:t>Project Board Meeting No 1 Minutes and ppt, Oct 2021</w:t>
      </w:r>
    </w:p>
    <w:p w14:paraId="3ED6FFB4" w14:textId="77777777" w:rsidR="00507809" w:rsidRPr="00F569AE" w:rsidRDefault="00507809" w:rsidP="0033780B">
      <w:pPr>
        <w:pStyle w:val="ListParagraph"/>
        <w:numPr>
          <w:ilvl w:val="0"/>
          <w:numId w:val="30"/>
        </w:numPr>
        <w:spacing w:line="276" w:lineRule="auto"/>
        <w:rPr>
          <w:rFonts w:ascii="Calibri" w:hAnsi="Calibri" w:cs="Calibri"/>
        </w:rPr>
      </w:pPr>
      <w:r w:rsidRPr="00F569AE">
        <w:rPr>
          <w:rFonts w:ascii="Calibri" w:hAnsi="Calibri" w:cs="Calibri"/>
        </w:rPr>
        <w:t>Project Board Meeting No 2 Minutes and ppt,  April 2022</w:t>
      </w:r>
    </w:p>
    <w:p w14:paraId="591C7148" w14:textId="77777777" w:rsidR="00507809" w:rsidRPr="00F569AE" w:rsidRDefault="00507809" w:rsidP="0033780B">
      <w:pPr>
        <w:pStyle w:val="ListParagraph"/>
        <w:numPr>
          <w:ilvl w:val="0"/>
          <w:numId w:val="30"/>
        </w:numPr>
        <w:spacing w:line="276" w:lineRule="auto"/>
        <w:rPr>
          <w:rFonts w:ascii="Calibri" w:hAnsi="Calibri" w:cs="Calibri"/>
        </w:rPr>
      </w:pPr>
      <w:r w:rsidRPr="00F569AE">
        <w:rPr>
          <w:rFonts w:ascii="Calibri" w:hAnsi="Calibri" w:cs="Calibri"/>
        </w:rPr>
        <w:t>Project Board Meeting No 3 Minutes and ppt, Dec 2022</w:t>
      </w:r>
    </w:p>
    <w:p w14:paraId="3332CFA4" w14:textId="77777777" w:rsidR="00507809" w:rsidRPr="00F569AE" w:rsidRDefault="00507809" w:rsidP="0033780B">
      <w:pPr>
        <w:pStyle w:val="ListParagraph"/>
        <w:numPr>
          <w:ilvl w:val="0"/>
          <w:numId w:val="30"/>
        </w:numPr>
        <w:spacing w:line="276" w:lineRule="auto"/>
        <w:rPr>
          <w:rFonts w:ascii="Calibri" w:hAnsi="Calibri" w:cs="Calibri"/>
        </w:rPr>
      </w:pPr>
      <w:r w:rsidRPr="00F569AE">
        <w:rPr>
          <w:rFonts w:ascii="Calibri" w:hAnsi="Calibri" w:cs="Calibri"/>
        </w:rPr>
        <w:t>Project Board Meeting No 4 Minutes and ppt, June 2023</w:t>
      </w:r>
    </w:p>
    <w:p w14:paraId="3F54A36A" w14:textId="77777777" w:rsidR="00507809" w:rsidRPr="00F569AE" w:rsidRDefault="00507809" w:rsidP="0033780B">
      <w:pPr>
        <w:pStyle w:val="ListParagraph"/>
        <w:numPr>
          <w:ilvl w:val="0"/>
          <w:numId w:val="30"/>
        </w:numPr>
        <w:spacing w:line="276" w:lineRule="auto"/>
        <w:rPr>
          <w:rFonts w:ascii="Calibri" w:hAnsi="Calibri" w:cs="Calibri"/>
        </w:rPr>
      </w:pPr>
      <w:r w:rsidRPr="00F569AE">
        <w:rPr>
          <w:rFonts w:ascii="Calibri" w:hAnsi="Calibri" w:cs="Calibri"/>
        </w:rPr>
        <w:t>Project Board Meeting No 5 Minutes and ppt, Dec 2023</w:t>
      </w:r>
    </w:p>
    <w:p w14:paraId="2D0DF55F" w14:textId="77777777" w:rsidR="00507809" w:rsidRPr="00F569AE" w:rsidRDefault="00507809" w:rsidP="0033780B">
      <w:pPr>
        <w:pStyle w:val="ListParagraph"/>
        <w:numPr>
          <w:ilvl w:val="0"/>
          <w:numId w:val="30"/>
        </w:numPr>
        <w:spacing w:line="276" w:lineRule="auto"/>
        <w:rPr>
          <w:rFonts w:ascii="Calibri" w:hAnsi="Calibri" w:cs="Calibri"/>
        </w:rPr>
      </w:pPr>
      <w:r w:rsidRPr="00F569AE">
        <w:rPr>
          <w:rFonts w:ascii="Calibri" w:hAnsi="Calibri" w:cs="Calibri"/>
        </w:rPr>
        <w:t>Project Board Meeting No 6 Minutes and ppt, July 2024</w:t>
      </w:r>
    </w:p>
    <w:p w14:paraId="0B8B0B84" w14:textId="77777777" w:rsidR="00507809" w:rsidRPr="00F569AE" w:rsidRDefault="00507809" w:rsidP="0033780B">
      <w:pPr>
        <w:pStyle w:val="ListParagraph"/>
        <w:numPr>
          <w:ilvl w:val="0"/>
          <w:numId w:val="30"/>
        </w:numPr>
        <w:spacing w:line="276" w:lineRule="auto"/>
        <w:rPr>
          <w:rFonts w:ascii="Calibri" w:hAnsi="Calibri" w:cs="Calibri"/>
        </w:rPr>
      </w:pPr>
      <w:r w:rsidRPr="00F569AE">
        <w:rPr>
          <w:rFonts w:ascii="Calibri" w:hAnsi="Calibri" w:cs="Calibri"/>
        </w:rPr>
        <w:lastRenderedPageBreak/>
        <w:t>Project Board Meeting No 7 Minutes and ppt, Dec 2024</w:t>
      </w:r>
    </w:p>
    <w:p w14:paraId="34F7F9D0" w14:textId="41483245" w:rsidR="00507809" w:rsidRPr="00F569AE" w:rsidRDefault="00507809" w:rsidP="00507809">
      <w:pPr>
        <w:spacing w:line="276" w:lineRule="auto"/>
        <w:rPr>
          <w:rFonts w:ascii="Calibri" w:hAnsi="Calibri" w:cs="Calibri"/>
          <w:lang w:val="en-US"/>
        </w:rPr>
      </w:pPr>
      <w:r w:rsidRPr="00F569AE">
        <w:rPr>
          <w:rFonts w:ascii="Calibri" w:hAnsi="Calibri" w:cs="Calibri"/>
          <w:lang w:val="en-US"/>
        </w:rPr>
        <w:t> </w:t>
      </w:r>
      <w:r w:rsidRPr="00F569AE">
        <w:rPr>
          <w:rFonts w:ascii="Calibri" w:hAnsi="Calibri" w:cs="Calibri"/>
          <w:b/>
          <w:i/>
          <w:lang w:val="en-US"/>
        </w:rPr>
        <w:t>Project deliverables</w:t>
      </w:r>
    </w:p>
    <w:p w14:paraId="28378066" w14:textId="77777777" w:rsidR="00507809" w:rsidRPr="00F569AE" w:rsidRDefault="00507809" w:rsidP="0033780B">
      <w:pPr>
        <w:pStyle w:val="Default"/>
        <w:numPr>
          <w:ilvl w:val="0"/>
          <w:numId w:val="31"/>
        </w:numPr>
        <w:spacing w:line="276" w:lineRule="auto"/>
      </w:pPr>
      <w:r w:rsidRPr="00F569AE">
        <w:t>Grant methodology for allocating results-based financial support to partner local governments units (LGU) from Phase I of the MEG Project, revised November 2023</w:t>
      </w:r>
    </w:p>
    <w:p w14:paraId="744588BE" w14:textId="77777777" w:rsidR="00507809" w:rsidRPr="00F569AE" w:rsidRDefault="00507809" w:rsidP="0033780B">
      <w:pPr>
        <w:pStyle w:val="Default"/>
        <w:numPr>
          <w:ilvl w:val="0"/>
          <w:numId w:val="31"/>
        </w:numPr>
        <w:spacing w:line="276" w:lineRule="auto"/>
      </w:pPr>
      <w:r w:rsidRPr="00F569AE">
        <w:t>Methodology for allocating results-based financial support to newly elected partner local government units (LGs), revised November 2023</w:t>
      </w:r>
    </w:p>
    <w:p w14:paraId="2A9BCA00" w14:textId="77777777" w:rsidR="00507809" w:rsidRPr="00F569AE" w:rsidRDefault="00507809" w:rsidP="0033780B">
      <w:pPr>
        <w:pStyle w:val="Default"/>
        <w:numPr>
          <w:ilvl w:val="0"/>
          <w:numId w:val="31"/>
        </w:numPr>
        <w:spacing w:line="276" w:lineRule="auto"/>
      </w:pPr>
      <w:r w:rsidRPr="00F569AE">
        <w:t>Short-term Action Plans (SAPs) for LGs</w:t>
      </w:r>
    </w:p>
    <w:p w14:paraId="35A127E9" w14:textId="77777777" w:rsidR="00507809" w:rsidRPr="00F569AE" w:rsidRDefault="00507809" w:rsidP="0033780B">
      <w:pPr>
        <w:pStyle w:val="Default"/>
        <w:numPr>
          <w:ilvl w:val="0"/>
          <w:numId w:val="31"/>
        </w:numPr>
        <w:spacing w:line="276" w:lineRule="auto"/>
      </w:pPr>
      <w:r w:rsidRPr="00F569AE">
        <w:t>Revised Mid-term Action Plans (MAPs) for LGs</w:t>
      </w:r>
    </w:p>
    <w:p w14:paraId="0284DB2F" w14:textId="77777777" w:rsidR="00507809" w:rsidRPr="00F569AE" w:rsidRDefault="00507809" w:rsidP="0033780B">
      <w:pPr>
        <w:pStyle w:val="Default"/>
        <w:numPr>
          <w:ilvl w:val="0"/>
          <w:numId w:val="31"/>
        </w:numPr>
        <w:spacing w:line="276" w:lineRule="auto"/>
      </w:pPr>
      <w:r w:rsidRPr="00F569AE">
        <w:t>Independent evidence-based annual evaaluation of MEG partner LGs, May 2024</w:t>
      </w:r>
    </w:p>
    <w:p w14:paraId="3DD93CC4" w14:textId="77777777" w:rsidR="00507809" w:rsidRPr="00F569AE" w:rsidRDefault="00507809" w:rsidP="0033780B">
      <w:pPr>
        <w:pStyle w:val="Default"/>
        <w:numPr>
          <w:ilvl w:val="0"/>
          <w:numId w:val="31"/>
        </w:numPr>
        <w:spacing w:line="276" w:lineRule="auto"/>
      </w:pPr>
      <w:r w:rsidRPr="00F569AE">
        <w:t>LOT 1&amp; 2 All LGs – Performance monitoring 2023-2024, Cedes, Tron Systems and Cabinet</w:t>
      </w:r>
    </w:p>
    <w:p w14:paraId="51FD08DD" w14:textId="77777777" w:rsidR="00507809" w:rsidRPr="00F569AE" w:rsidRDefault="00507809" w:rsidP="0033780B">
      <w:pPr>
        <w:pStyle w:val="Default"/>
        <w:numPr>
          <w:ilvl w:val="0"/>
          <w:numId w:val="31"/>
        </w:numPr>
        <w:spacing w:line="276" w:lineRule="auto"/>
      </w:pPr>
      <w:r w:rsidRPr="00F569AE">
        <w:t>CSS reports, 2024, 2025</w:t>
      </w:r>
    </w:p>
    <w:p w14:paraId="7349F913" w14:textId="77777777" w:rsidR="00507809" w:rsidRPr="00F569AE" w:rsidRDefault="00507809" w:rsidP="0033780B">
      <w:pPr>
        <w:pStyle w:val="Default"/>
        <w:numPr>
          <w:ilvl w:val="0"/>
          <w:numId w:val="31"/>
        </w:numPr>
        <w:spacing w:line="276" w:lineRule="auto"/>
      </w:pPr>
      <w:r w:rsidRPr="00F569AE">
        <w:t>Implementation methodology for annual CSS surveys (February 2022) and training materials</w:t>
      </w:r>
    </w:p>
    <w:p w14:paraId="77E5323A" w14:textId="77777777" w:rsidR="00507809" w:rsidRPr="00F569AE" w:rsidRDefault="00507809" w:rsidP="0033780B">
      <w:pPr>
        <w:pStyle w:val="Default"/>
        <w:numPr>
          <w:ilvl w:val="0"/>
          <w:numId w:val="31"/>
        </w:numPr>
        <w:spacing w:line="276" w:lineRule="auto"/>
      </w:pPr>
      <w:r w:rsidRPr="00F569AE">
        <w:rPr>
          <w:rStyle w:val="normaltextrun"/>
        </w:rPr>
        <w:t>eCitizen Platform reporting documentation (</w:t>
      </w:r>
      <w:hyperlink r:id="rId142" w:history="1">
        <w:r w:rsidRPr="00F569AE">
          <w:rPr>
            <w:rStyle w:val="Hyperlink"/>
          </w:rPr>
          <w:t>www.ecitizen.ba</w:t>
        </w:r>
      </w:hyperlink>
      <w:r w:rsidRPr="00F569AE">
        <w:rPr>
          <w:rStyle w:val="normaltextrun"/>
        </w:rPr>
        <w:t xml:space="preserve"> )</w:t>
      </w:r>
    </w:p>
    <w:p w14:paraId="7E44F73E" w14:textId="77777777" w:rsidR="00507809" w:rsidRPr="00B5174F" w:rsidRDefault="00507809" w:rsidP="0033780B">
      <w:pPr>
        <w:pStyle w:val="Default"/>
        <w:numPr>
          <w:ilvl w:val="0"/>
          <w:numId w:val="31"/>
        </w:numPr>
        <w:spacing w:line="276" w:lineRule="auto"/>
        <w:rPr>
          <w:lang w:val="nl-NL"/>
        </w:rPr>
      </w:pPr>
      <w:r w:rsidRPr="00B5174F">
        <w:rPr>
          <w:lang w:val="nl-NL"/>
        </w:rPr>
        <w:t>CAF ToT Report, EIPA, December, 2024</w:t>
      </w:r>
    </w:p>
    <w:p w14:paraId="525ECFB1" w14:textId="77777777" w:rsidR="00507809" w:rsidRPr="00F569AE" w:rsidRDefault="00507809" w:rsidP="0033780B">
      <w:pPr>
        <w:pStyle w:val="Default"/>
        <w:numPr>
          <w:ilvl w:val="0"/>
          <w:numId w:val="31"/>
        </w:numPr>
        <w:spacing w:line="276" w:lineRule="auto"/>
      </w:pPr>
      <w:r w:rsidRPr="00F569AE">
        <w:t xml:space="preserve">Manual for Integrity Plan Development, 2022 </w:t>
      </w:r>
    </w:p>
    <w:p w14:paraId="1A529876" w14:textId="77777777" w:rsidR="00507809" w:rsidRPr="00F569AE" w:rsidRDefault="00507809" w:rsidP="0033780B">
      <w:pPr>
        <w:pStyle w:val="Default"/>
        <w:numPr>
          <w:ilvl w:val="0"/>
          <w:numId w:val="31"/>
        </w:numPr>
        <w:spacing w:line="276" w:lineRule="auto"/>
      </w:pPr>
      <w:r w:rsidRPr="00F569AE">
        <w:t xml:space="preserve">LGs Integrity Plans </w:t>
      </w:r>
    </w:p>
    <w:p w14:paraId="6DAFB491" w14:textId="77777777" w:rsidR="00507809" w:rsidRPr="00F569AE" w:rsidRDefault="00507809" w:rsidP="0033780B">
      <w:pPr>
        <w:pStyle w:val="Default"/>
        <w:numPr>
          <w:ilvl w:val="0"/>
          <w:numId w:val="31"/>
        </w:numPr>
        <w:spacing w:line="276" w:lineRule="auto"/>
      </w:pPr>
      <w:r w:rsidRPr="00F569AE">
        <w:t>Regulatory Impact assessment for FBiH, ReSPA, Sept 2023</w:t>
      </w:r>
    </w:p>
    <w:p w14:paraId="3D9479B3" w14:textId="100FFCF8" w:rsidR="00507809" w:rsidRPr="00F569AE" w:rsidRDefault="00507809" w:rsidP="0033780B">
      <w:pPr>
        <w:pStyle w:val="Default"/>
        <w:numPr>
          <w:ilvl w:val="0"/>
          <w:numId w:val="31"/>
        </w:numPr>
        <w:spacing w:line="276" w:lineRule="auto"/>
      </w:pPr>
      <w:r w:rsidRPr="00F569AE">
        <w:t>Trainings materials assembly/council members, June 2025</w:t>
      </w:r>
    </w:p>
    <w:p w14:paraId="040DA64B" w14:textId="77777777" w:rsidR="00507809" w:rsidRPr="00F569AE" w:rsidRDefault="00507809" w:rsidP="00507809">
      <w:pPr>
        <w:pStyle w:val="Default"/>
        <w:spacing w:line="276" w:lineRule="auto"/>
        <w:rPr>
          <w:b/>
          <w:bCs/>
          <w:i/>
          <w:iCs/>
        </w:rPr>
      </w:pPr>
      <w:r w:rsidRPr="00F569AE">
        <w:rPr>
          <w:b/>
          <w:bCs/>
          <w:i/>
          <w:iCs/>
        </w:rPr>
        <w:t>Legal and regulatory documents</w:t>
      </w:r>
    </w:p>
    <w:p w14:paraId="1AB12BB1" w14:textId="77777777" w:rsidR="00507809" w:rsidRPr="00F569AE" w:rsidRDefault="00507809" w:rsidP="0033780B">
      <w:pPr>
        <w:pStyle w:val="paragraph"/>
        <w:numPr>
          <w:ilvl w:val="0"/>
          <w:numId w:val="32"/>
        </w:numPr>
        <w:spacing w:before="0" w:beforeAutospacing="0" w:after="0" w:afterAutospacing="0" w:line="276" w:lineRule="auto"/>
        <w:textAlignment w:val="baseline"/>
        <w:rPr>
          <w:rFonts w:ascii="Calibri" w:hAnsi="Calibri" w:cs="Calibri"/>
        </w:rPr>
      </w:pPr>
      <w:r w:rsidRPr="00F569AE">
        <w:rPr>
          <w:rStyle w:val="normaltextrun"/>
          <w:rFonts w:ascii="Calibri" w:eastAsiaTheme="majorEastAsia" w:hAnsi="Calibri" w:cs="Calibri"/>
        </w:rPr>
        <w:t>Water management strategy of the Federation of BiH, 2022-2032, Government of the Federation of BiH, August 2022</w:t>
      </w:r>
    </w:p>
    <w:p w14:paraId="19E5F1BB" w14:textId="77777777" w:rsidR="00507809" w:rsidRPr="00F569AE" w:rsidRDefault="00507809" w:rsidP="0033780B">
      <w:pPr>
        <w:pStyle w:val="paragraph"/>
        <w:numPr>
          <w:ilvl w:val="0"/>
          <w:numId w:val="32"/>
        </w:numPr>
        <w:spacing w:before="0" w:beforeAutospacing="0" w:after="0" w:afterAutospacing="0" w:line="276" w:lineRule="auto"/>
        <w:textAlignment w:val="baseline"/>
        <w:rPr>
          <w:rFonts w:ascii="Calibri" w:hAnsi="Calibri" w:cs="Calibri"/>
        </w:rPr>
      </w:pPr>
      <w:r w:rsidRPr="00F569AE">
        <w:rPr>
          <w:rStyle w:val="normaltextrun"/>
          <w:rFonts w:ascii="Calibri" w:eastAsiaTheme="majorEastAsia" w:hAnsi="Calibri" w:cs="Calibri"/>
        </w:rPr>
        <w:t>Water Management Plan for the Sava River Basin in the Federation of BiH (2022-2027), Agency for Sava river Basin, Sarajevo, October 2021</w:t>
      </w:r>
    </w:p>
    <w:p w14:paraId="257750E7" w14:textId="77777777" w:rsidR="00507809" w:rsidRPr="00F569AE" w:rsidRDefault="00507809" w:rsidP="0033780B">
      <w:pPr>
        <w:pStyle w:val="paragraph"/>
        <w:numPr>
          <w:ilvl w:val="0"/>
          <w:numId w:val="32"/>
        </w:numPr>
        <w:spacing w:before="0" w:beforeAutospacing="0" w:after="0" w:afterAutospacing="0" w:line="276" w:lineRule="auto"/>
        <w:textAlignment w:val="baseline"/>
        <w:rPr>
          <w:rFonts w:ascii="Calibri" w:hAnsi="Calibri" w:cs="Calibri"/>
        </w:rPr>
      </w:pPr>
      <w:r w:rsidRPr="00F569AE">
        <w:rPr>
          <w:rStyle w:val="normaltextrun"/>
          <w:rFonts w:ascii="Calibri" w:eastAsiaTheme="majorEastAsia" w:hAnsi="Calibri" w:cs="Calibri"/>
        </w:rPr>
        <w:t>Integral water management strategy of the Republika Srpska, 2015-2024, RS Government, July 2015</w:t>
      </w:r>
    </w:p>
    <w:p w14:paraId="6D6769B5" w14:textId="77777777" w:rsidR="00507809" w:rsidRPr="00F569AE" w:rsidRDefault="00507809" w:rsidP="0033780B">
      <w:pPr>
        <w:pStyle w:val="paragraph"/>
        <w:numPr>
          <w:ilvl w:val="0"/>
          <w:numId w:val="32"/>
        </w:numPr>
        <w:spacing w:before="0" w:beforeAutospacing="0" w:after="0" w:afterAutospacing="0" w:line="276" w:lineRule="auto"/>
        <w:textAlignment w:val="baseline"/>
        <w:rPr>
          <w:rFonts w:ascii="Calibri" w:hAnsi="Calibri" w:cs="Calibri"/>
        </w:rPr>
      </w:pPr>
      <w:r w:rsidRPr="00F569AE">
        <w:rPr>
          <w:rStyle w:val="normaltextrun"/>
          <w:rFonts w:ascii="Calibri" w:eastAsiaTheme="majorEastAsia" w:hAnsi="Calibri" w:cs="Calibri"/>
        </w:rPr>
        <w:t>Water Management Plan for the Sava River Basin in the Republika Srpska, Vode Srpske, Nov 2017</w:t>
      </w:r>
    </w:p>
    <w:p w14:paraId="01D7A5C1" w14:textId="2C077A62" w:rsidR="008118E1" w:rsidRPr="00F569AE" w:rsidRDefault="00507809" w:rsidP="0033780B">
      <w:pPr>
        <w:pStyle w:val="paragraph"/>
        <w:numPr>
          <w:ilvl w:val="0"/>
          <w:numId w:val="32"/>
        </w:numPr>
        <w:spacing w:before="0" w:beforeAutospacing="0" w:after="0" w:afterAutospacing="0" w:line="276" w:lineRule="auto"/>
        <w:textAlignment w:val="baseline"/>
        <w:rPr>
          <w:rFonts w:ascii="Calibri" w:hAnsi="Calibri" w:cs="Calibri"/>
        </w:rPr>
      </w:pPr>
      <w:r w:rsidRPr="00F569AE">
        <w:rPr>
          <w:rStyle w:val="normaltextrun"/>
          <w:rFonts w:ascii="Calibri" w:eastAsiaTheme="majorEastAsia" w:hAnsi="Calibri" w:cs="Calibri"/>
        </w:rPr>
        <w:t>Water Management Plan for the Trebisnjica River Basin in the Republika Srpska, Vode Srpske, Nov 2017</w:t>
      </w:r>
    </w:p>
    <w:p w14:paraId="51E0B285" w14:textId="77777777" w:rsidR="008118E1" w:rsidRPr="00F569AE" w:rsidRDefault="008118E1" w:rsidP="008118E1">
      <w:pPr>
        <w:rPr>
          <w:highlight w:val="yellow"/>
          <w:lang w:val="en-US"/>
        </w:rPr>
        <w:sectPr w:rsidR="008118E1" w:rsidRPr="00F569AE" w:rsidSect="002A7FBF">
          <w:pgSz w:w="16820" w:h="11900" w:orient="landscape"/>
          <w:pgMar w:top="1440" w:right="1440" w:bottom="1440" w:left="1440" w:header="708" w:footer="708" w:gutter="0"/>
          <w:cols w:space="708"/>
          <w:titlePg/>
          <w:docGrid w:linePitch="360"/>
        </w:sectPr>
      </w:pPr>
    </w:p>
    <w:p w14:paraId="667E670E" w14:textId="3F26D016" w:rsidR="009E4C2E" w:rsidRPr="00F569AE" w:rsidRDefault="009E4C2E" w:rsidP="006D6474">
      <w:pPr>
        <w:pStyle w:val="Heading2"/>
        <w:rPr>
          <w:rFonts w:ascii="Calibri" w:hAnsi="Calibri" w:cs="Calibri"/>
          <w:i/>
        </w:rPr>
      </w:pPr>
      <w:bookmarkStart w:id="215" w:name="_Toc210058541"/>
      <w:r w:rsidRPr="00F569AE">
        <w:rPr>
          <w:rFonts w:ascii="Calibri" w:hAnsi="Calibri" w:cs="Calibri"/>
          <w:i/>
        </w:rPr>
        <w:lastRenderedPageBreak/>
        <w:t xml:space="preserve">Annex </w:t>
      </w:r>
      <w:r w:rsidR="000C52E4" w:rsidRPr="00F569AE">
        <w:rPr>
          <w:rFonts w:ascii="Calibri" w:hAnsi="Calibri" w:cs="Calibri"/>
          <w:i/>
        </w:rPr>
        <w:t>6</w:t>
      </w:r>
      <w:r w:rsidRPr="00F569AE">
        <w:rPr>
          <w:rFonts w:ascii="Calibri" w:hAnsi="Calibri" w:cs="Calibri"/>
          <w:i/>
        </w:rPr>
        <w:t xml:space="preserve">: </w:t>
      </w:r>
      <w:r w:rsidR="00E92E7C" w:rsidRPr="00F569AE">
        <w:rPr>
          <w:rFonts w:ascii="Calibri" w:hAnsi="Calibri" w:cs="Calibri"/>
          <w:i/>
        </w:rPr>
        <w:t>System analysis</w:t>
      </w:r>
      <w:bookmarkEnd w:id="215"/>
      <w:r w:rsidR="00E92E7C" w:rsidRPr="00F569AE">
        <w:rPr>
          <w:rFonts w:ascii="Calibri" w:hAnsi="Calibri" w:cs="Calibri"/>
          <w:i/>
        </w:rPr>
        <w:t xml:space="preserve"> </w:t>
      </w:r>
    </w:p>
    <w:p w14:paraId="1A92236E" w14:textId="77777777" w:rsidR="008118E1" w:rsidRPr="00F569AE" w:rsidRDefault="008118E1" w:rsidP="008118E1">
      <w:pPr>
        <w:rPr>
          <w:rFonts w:ascii="Calibri" w:hAnsi="Calibri" w:cs="Calibri"/>
          <w:b/>
          <w:sz w:val="32"/>
          <w:szCs w:val="32"/>
          <w:lang w:val="en-US"/>
        </w:rPr>
      </w:pPr>
    </w:p>
    <w:p w14:paraId="7365EFCD" w14:textId="6B7687CD" w:rsidR="008118E1" w:rsidRPr="00F569AE" w:rsidRDefault="008118E1" w:rsidP="008118E1">
      <w:pPr>
        <w:rPr>
          <w:rFonts w:ascii="Calibri" w:hAnsi="Calibri" w:cs="Calibri"/>
          <w:b/>
          <w:sz w:val="32"/>
          <w:szCs w:val="32"/>
          <w:lang w:val="en-US"/>
        </w:rPr>
      </w:pPr>
      <w:r w:rsidRPr="00F569AE">
        <w:rPr>
          <w:rFonts w:ascii="Calibri" w:hAnsi="Calibri" w:cs="Calibri"/>
          <w:b/>
          <w:color w:val="4C94D8" w:themeColor="text2" w:themeTint="80"/>
          <w:sz w:val="32"/>
          <w:szCs w:val="32"/>
          <w:lang w:val="en-US"/>
        </w:rPr>
        <w:t xml:space="preserve">SYSTEM ANALYSIS </w:t>
      </w:r>
      <w:r w:rsidR="00885FF3">
        <w:rPr>
          <w:rFonts w:ascii="Calibri" w:hAnsi="Calibri" w:cs="Calibri"/>
          <w:b/>
          <w:color w:val="4C94D8" w:themeColor="text2" w:themeTint="80"/>
          <w:sz w:val="32"/>
          <w:szCs w:val="32"/>
          <w:lang w:val="en-US"/>
        </w:rPr>
        <w:t xml:space="preserve">OF THE </w:t>
      </w:r>
      <w:r w:rsidRPr="00F569AE">
        <w:rPr>
          <w:rFonts w:ascii="Calibri" w:hAnsi="Calibri" w:cs="Calibri"/>
          <w:b/>
          <w:color w:val="4C94D8" w:themeColor="text2" w:themeTint="80"/>
          <w:sz w:val="32"/>
          <w:szCs w:val="32"/>
          <w:lang w:val="en-US"/>
        </w:rPr>
        <w:t>WATER SERVIES SYSTEM IN BOSNIA AND HERTZEGOVINA</w:t>
      </w:r>
      <w:r w:rsidRPr="00F569AE">
        <w:rPr>
          <w:rFonts w:ascii="Calibri" w:hAnsi="Calibri" w:cs="Calibri"/>
          <w:b/>
          <w:sz w:val="32"/>
          <w:szCs w:val="32"/>
          <w:lang w:val="en-US"/>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AE9F7" w:themeFill="text2" w:themeFillTint="1A"/>
        <w:tblLook w:val="04A0" w:firstRow="1" w:lastRow="0" w:firstColumn="1" w:lastColumn="0" w:noHBand="0" w:noVBand="1"/>
      </w:tblPr>
      <w:tblGrid>
        <w:gridCol w:w="9016"/>
      </w:tblGrid>
      <w:tr w:rsidR="008118E1" w:rsidRPr="00F569AE" w14:paraId="3E25453A" w14:textId="77777777" w:rsidTr="008118E1">
        <w:tc>
          <w:tcPr>
            <w:tcW w:w="9016" w:type="dxa"/>
            <w:shd w:val="clear" w:color="auto" w:fill="DAE9F7" w:themeFill="text2" w:themeFillTint="1A"/>
          </w:tcPr>
          <w:p w14:paraId="28AD7832" w14:textId="77777777" w:rsidR="008118E1" w:rsidRPr="00F569AE" w:rsidRDefault="008118E1" w:rsidP="00A5744A">
            <w:pPr>
              <w:rPr>
                <w:rFonts w:ascii="Calibri" w:hAnsi="Calibri" w:cs="Calibri"/>
                <w:b/>
                <w:i/>
                <w:lang w:val="en-US"/>
              </w:rPr>
            </w:pPr>
            <w:r w:rsidRPr="00F569AE">
              <w:rPr>
                <w:rFonts w:ascii="Calibri" w:hAnsi="Calibri" w:cs="Calibri"/>
                <w:b/>
                <w:i/>
                <w:lang w:val="en-US"/>
              </w:rPr>
              <w:t>Background remarks</w:t>
            </w:r>
          </w:p>
          <w:p w14:paraId="21E8DF39" w14:textId="77777777" w:rsidR="008118E1" w:rsidRPr="00F569AE" w:rsidRDefault="008118E1" w:rsidP="00A5744A">
            <w:pPr>
              <w:rPr>
                <w:rFonts w:ascii="Calibri" w:hAnsi="Calibri" w:cs="Calibri"/>
                <w:b/>
                <w:sz w:val="32"/>
                <w:szCs w:val="32"/>
                <w:lang w:val="en-US"/>
              </w:rPr>
            </w:pPr>
          </w:p>
          <w:p w14:paraId="7DC84500" w14:textId="77777777" w:rsidR="008118E1" w:rsidRPr="00F569AE" w:rsidRDefault="008118E1" w:rsidP="00A5744A">
            <w:pPr>
              <w:spacing w:line="276" w:lineRule="auto"/>
              <w:jc w:val="both"/>
              <w:rPr>
                <w:rFonts w:ascii="Calibri" w:hAnsi="Calibri" w:cs="Calibri"/>
                <w:lang w:val="en-US"/>
              </w:rPr>
            </w:pPr>
            <w:r w:rsidRPr="00F569AE">
              <w:rPr>
                <w:rFonts w:ascii="Calibri" w:hAnsi="Calibri" w:cs="Calibri"/>
                <w:lang w:val="en-US"/>
              </w:rPr>
              <w:t xml:space="preserve">The most influential actor in the water services sector in BiH are </w:t>
            </w:r>
            <w:r w:rsidRPr="00F569AE">
              <w:rPr>
                <w:rFonts w:ascii="Calibri" w:hAnsi="Calibri" w:cs="Calibri"/>
                <w:u w:val="single"/>
                <w:lang w:val="en-US"/>
              </w:rPr>
              <w:t>Local Self-Government</w:t>
            </w:r>
            <w:r w:rsidRPr="00F569AE">
              <w:rPr>
                <w:rFonts w:ascii="Calibri" w:hAnsi="Calibri" w:cs="Calibri"/>
                <w:lang w:val="en-US"/>
              </w:rPr>
              <w:t xml:space="preserve"> Units (LGs) as they regulate the area of water services and organize the delivery of water services to their communities. LGs establish their own Water Utility Companies (WUCs) and manage them through the legally established WUC bodies: assembly, supervisory board, director (management). WUC bodies are established according to the Law on Public Enterprises and the Law on Business Companies.</w:t>
            </w:r>
          </w:p>
          <w:p w14:paraId="070C1327" w14:textId="77777777" w:rsidR="008118E1" w:rsidRPr="00F569AE" w:rsidRDefault="008118E1" w:rsidP="00A5744A">
            <w:pPr>
              <w:spacing w:line="276" w:lineRule="auto"/>
              <w:jc w:val="both"/>
              <w:rPr>
                <w:rFonts w:ascii="Calibri" w:hAnsi="Calibri" w:cs="Calibri"/>
                <w:lang w:val="en-US"/>
              </w:rPr>
            </w:pPr>
          </w:p>
          <w:p w14:paraId="75478646" w14:textId="77777777" w:rsidR="008118E1" w:rsidRPr="00F569AE" w:rsidRDefault="008118E1" w:rsidP="00A5744A">
            <w:pPr>
              <w:spacing w:line="276" w:lineRule="auto"/>
              <w:jc w:val="both"/>
              <w:rPr>
                <w:rFonts w:ascii="Calibri" w:hAnsi="Calibri" w:cs="Calibri"/>
                <w:lang w:val="en-US"/>
              </w:rPr>
            </w:pPr>
            <w:r w:rsidRPr="00F569AE">
              <w:rPr>
                <w:rFonts w:ascii="Calibri" w:hAnsi="Calibri" w:cs="Calibri"/>
                <w:lang w:val="en-US"/>
              </w:rPr>
              <w:t>WUC body members are exclusively appointed by LGs as founders of PUCs and their 100% or majority owners of fixed assets/infrastructure. LGs entrust fixed assets for the management and maintenance to/for WUCs.</w:t>
            </w:r>
          </w:p>
          <w:p w14:paraId="53F713BB" w14:textId="77777777" w:rsidR="008118E1" w:rsidRPr="00F569AE" w:rsidRDefault="008118E1" w:rsidP="00A5744A">
            <w:pPr>
              <w:spacing w:line="276" w:lineRule="auto"/>
              <w:jc w:val="both"/>
              <w:rPr>
                <w:rFonts w:ascii="Calibri" w:hAnsi="Calibri" w:cs="Calibri"/>
                <w:lang w:val="en-US"/>
              </w:rPr>
            </w:pPr>
          </w:p>
          <w:p w14:paraId="48BCC0C7" w14:textId="77777777" w:rsidR="008118E1" w:rsidRPr="00F569AE" w:rsidRDefault="008118E1" w:rsidP="00A5744A">
            <w:pPr>
              <w:spacing w:line="276" w:lineRule="auto"/>
              <w:jc w:val="both"/>
              <w:rPr>
                <w:rFonts w:ascii="Calibri" w:hAnsi="Calibri" w:cs="Calibri"/>
                <w:lang w:val="en-US"/>
              </w:rPr>
            </w:pPr>
            <w:r w:rsidRPr="00F569AE">
              <w:rPr>
                <w:rFonts w:ascii="Calibri" w:hAnsi="Calibri" w:cs="Calibri"/>
                <w:lang w:val="en-US"/>
              </w:rPr>
              <w:t>In addition, LGs, at their Assemblies, decide on the tariff methodology to be applied for the calculation of tariffs and adopt tariffs for water services (water supply, wastewater collection and treatment) according to it. LGs at their Assemblies decide on the development of the water supply or sewage system / increase in the number of water services users, invest financial resources from their budget in capital infrastructure for water services, decide on possible credit indebtedness to the LG or WUC for the construction of communal infrastructure. At their Assemblies, LGs adopt the WUC Business Plan, Master Plans for water supply and wastewater collection and treatment and adopt annual reports on WUC operations.</w:t>
            </w:r>
          </w:p>
          <w:p w14:paraId="0C3C75F3" w14:textId="77777777" w:rsidR="008118E1" w:rsidRPr="00F569AE" w:rsidRDefault="008118E1" w:rsidP="00A5744A">
            <w:pPr>
              <w:spacing w:line="276" w:lineRule="auto"/>
              <w:jc w:val="both"/>
              <w:rPr>
                <w:rFonts w:ascii="Calibri" w:hAnsi="Calibri" w:cs="Calibri"/>
                <w:lang w:val="en-US"/>
              </w:rPr>
            </w:pPr>
          </w:p>
          <w:p w14:paraId="0685B516" w14:textId="77777777" w:rsidR="008118E1" w:rsidRPr="00F569AE" w:rsidRDefault="008118E1" w:rsidP="00A5744A">
            <w:pPr>
              <w:spacing w:line="276" w:lineRule="auto"/>
              <w:jc w:val="both"/>
              <w:rPr>
                <w:rFonts w:ascii="Calibri" w:hAnsi="Calibri" w:cs="Calibri"/>
                <w:lang w:val="en-US"/>
              </w:rPr>
            </w:pPr>
            <w:r w:rsidRPr="00F569AE">
              <w:rPr>
                <w:rFonts w:ascii="Calibri" w:hAnsi="Calibri" w:cs="Calibri"/>
                <w:lang w:val="en-US"/>
              </w:rPr>
              <w:t>According to the Water Law, LGs have direct responsibility for establishing sanitary protection zones for drinking water sources on their territory. WUCs are not responsible for this legal obligation of LGs at all, except that they must establish physical protection of the first sanitary protection zone of the source they use for water supply.</w:t>
            </w:r>
          </w:p>
          <w:p w14:paraId="5280BD3F" w14:textId="77777777" w:rsidR="008118E1" w:rsidRPr="00F569AE" w:rsidRDefault="008118E1" w:rsidP="00A5744A">
            <w:pPr>
              <w:spacing w:line="276" w:lineRule="auto"/>
              <w:jc w:val="both"/>
              <w:rPr>
                <w:rFonts w:ascii="Calibri" w:hAnsi="Calibri" w:cs="Calibri"/>
                <w:lang w:val="en-US"/>
              </w:rPr>
            </w:pPr>
          </w:p>
          <w:p w14:paraId="2FE8F2D4" w14:textId="77777777" w:rsidR="008118E1" w:rsidRPr="00F569AE" w:rsidRDefault="008118E1" w:rsidP="00A5744A">
            <w:pPr>
              <w:spacing w:line="276" w:lineRule="auto"/>
              <w:jc w:val="both"/>
              <w:rPr>
                <w:rFonts w:ascii="Calibri" w:hAnsi="Calibri" w:cs="Calibri"/>
                <w:lang w:val="en-US"/>
              </w:rPr>
            </w:pPr>
            <w:r w:rsidRPr="00F569AE">
              <w:rPr>
                <w:rFonts w:ascii="Calibri" w:hAnsi="Calibri" w:cs="Calibri"/>
                <w:b/>
                <w:i/>
                <w:u w:val="single"/>
                <w:lang w:val="en-US"/>
              </w:rPr>
              <w:t>Conclusion:</w:t>
            </w:r>
            <w:r w:rsidRPr="00F569AE">
              <w:rPr>
                <w:rFonts w:ascii="Calibri" w:hAnsi="Calibri" w:cs="Calibri"/>
                <w:lang w:val="en-US"/>
              </w:rPr>
              <w:t xml:space="preserve"> </w:t>
            </w:r>
            <w:r w:rsidRPr="00F569AE">
              <w:rPr>
                <w:rFonts w:ascii="Calibri" w:hAnsi="Calibri" w:cs="Calibri"/>
                <w:b/>
                <w:i/>
                <w:lang w:val="en-US"/>
              </w:rPr>
              <w:t>Significant changes / improvements in the operational and financial performance of the WUCs can happened only in case LGs change their modus operandi towards the organization and provision of water services and management (e.g. legal WUCs bodies) of the WUCs.</w:t>
            </w:r>
          </w:p>
          <w:p w14:paraId="16B879CC" w14:textId="77777777" w:rsidR="008118E1" w:rsidRPr="00F569AE" w:rsidRDefault="008118E1" w:rsidP="00A5744A">
            <w:pPr>
              <w:rPr>
                <w:rFonts w:ascii="Calibri" w:hAnsi="Calibri" w:cs="Calibri"/>
                <w:b/>
                <w:sz w:val="32"/>
                <w:szCs w:val="32"/>
                <w:lang w:val="en-US"/>
              </w:rPr>
            </w:pPr>
          </w:p>
        </w:tc>
      </w:tr>
    </w:tbl>
    <w:p w14:paraId="3242F38F" w14:textId="77777777" w:rsidR="008118E1" w:rsidRPr="00F569AE" w:rsidRDefault="008118E1" w:rsidP="008118E1">
      <w:pPr>
        <w:rPr>
          <w:rFonts w:ascii="Calibri" w:hAnsi="Calibri" w:cs="Calibri"/>
          <w:b/>
          <w:sz w:val="32"/>
          <w:szCs w:val="32"/>
          <w:lang w:val="en-US"/>
        </w:rPr>
      </w:pPr>
      <w:r w:rsidRPr="00F569AE">
        <w:rPr>
          <w:rFonts w:ascii="Calibri" w:hAnsi="Calibri" w:cs="Calibri"/>
          <w:b/>
          <w:sz w:val="32"/>
          <w:szCs w:val="32"/>
          <w:lang w:val="en-US"/>
        </w:rPr>
        <w:lastRenderedPageBreak/>
        <w:t xml:space="preserve">System analysis: Key elements of the Water service system in BiH at its </w:t>
      </w:r>
      <w:r w:rsidRPr="00F569AE">
        <w:rPr>
          <w:rFonts w:ascii="Calibri" w:hAnsi="Calibri" w:cs="Calibri"/>
          <w:b/>
          <w:sz w:val="32"/>
          <w:szCs w:val="32"/>
          <w:u w:val="single"/>
          <w:lang w:val="en-US"/>
        </w:rPr>
        <w:t>governance</w:t>
      </w:r>
      <w:r w:rsidRPr="00F569AE">
        <w:rPr>
          <w:rFonts w:ascii="Calibri" w:hAnsi="Calibri" w:cs="Calibri"/>
          <w:b/>
          <w:sz w:val="32"/>
          <w:szCs w:val="32"/>
          <w:lang w:val="en-US"/>
        </w:rPr>
        <w:t xml:space="preserve"> level</w:t>
      </w:r>
    </w:p>
    <w:p w14:paraId="4D867696" w14:textId="77777777" w:rsidR="008118E1" w:rsidRPr="00F569AE" w:rsidRDefault="008118E1" w:rsidP="008118E1">
      <w:pPr>
        <w:rPr>
          <w:lang w:val="en-US"/>
        </w:rPr>
      </w:pPr>
    </w:p>
    <w:p w14:paraId="3A8036D4" w14:textId="77777777" w:rsidR="008118E1" w:rsidRPr="00F569AE" w:rsidRDefault="008118E1" w:rsidP="008118E1">
      <w:pPr>
        <w:rPr>
          <w:lang w:val="en-US"/>
        </w:rPr>
      </w:pPr>
      <w:r w:rsidRPr="00F569AE">
        <w:rPr>
          <w:noProof/>
          <w:lang w:val="en-US"/>
        </w:rPr>
        <w:drawing>
          <wp:inline distT="0" distB="0" distL="0" distR="0" wp14:anchorId="1DDE200F" wp14:editId="36EB6A6E">
            <wp:extent cx="5339443" cy="2909304"/>
            <wp:effectExtent l="0" t="0" r="0" b="0"/>
            <wp:docPr id="429641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641535" name=""/>
                    <pic:cNvPicPr/>
                  </pic:nvPicPr>
                  <pic:blipFill>
                    <a:blip r:embed="rId143"/>
                    <a:stretch>
                      <a:fillRect/>
                    </a:stretch>
                  </pic:blipFill>
                  <pic:spPr>
                    <a:xfrm>
                      <a:off x="0" y="0"/>
                      <a:ext cx="5379573" cy="2931170"/>
                    </a:xfrm>
                    <a:prstGeom prst="rect">
                      <a:avLst/>
                    </a:prstGeom>
                  </pic:spPr>
                </pic:pic>
              </a:graphicData>
            </a:graphic>
          </wp:inline>
        </w:drawing>
      </w:r>
    </w:p>
    <w:p w14:paraId="63C430CA" w14:textId="77777777" w:rsidR="008118E1" w:rsidRPr="00F569AE" w:rsidRDefault="008118E1" w:rsidP="008118E1">
      <w:pPr>
        <w:rPr>
          <w:sz w:val="20"/>
          <w:szCs w:val="20"/>
          <w:lang w:val="en-US"/>
        </w:rPr>
      </w:pPr>
    </w:p>
    <w:p w14:paraId="7890A40C"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1: Absence of water service regulatory framework in BiH</w:t>
      </w:r>
    </w:p>
    <w:p w14:paraId="5FF26B6D"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2: Absence of proper tariff methodology and sustainable tariff setting</w:t>
      </w:r>
    </w:p>
    <w:p w14:paraId="7210133B"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 xml:space="preserve">3: Too low tariff level insufficient to cover operational and maintenance costs </w:t>
      </w:r>
    </w:p>
    <w:p w14:paraId="6DBEA814" w14:textId="045AE015"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 xml:space="preserve">4: </w:t>
      </w:r>
      <w:r w:rsidRPr="00F569AE">
        <w:rPr>
          <w:rFonts w:ascii="Calibri" w:hAnsi="Calibri" w:cs="Calibri"/>
          <w:kern w:val="2"/>
          <w:sz w:val="20"/>
          <w:szCs w:val="20"/>
          <w:lang w:val="en-US"/>
        </w:rPr>
        <w:t xml:space="preserve">Inadequate </w:t>
      </w:r>
      <w:r w:rsidR="00727422" w:rsidRPr="00F569AE">
        <w:rPr>
          <w:rFonts w:ascii="Calibri" w:hAnsi="Calibri" w:cs="Calibri"/>
          <w:kern w:val="2"/>
          <w:sz w:val="20"/>
          <w:szCs w:val="20"/>
          <w:lang w:val="en-US"/>
        </w:rPr>
        <w:t>organization</w:t>
      </w:r>
      <w:r w:rsidRPr="00F569AE">
        <w:rPr>
          <w:rFonts w:ascii="Calibri" w:hAnsi="Calibri" w:cs="Calibri"/>
          <w:kern w:val="2"/>
          <w:sz w:val="20"/>
          <w:szCs w:val="20"/>
          <w:lang w:val="en-US"/>
        </w:rPr>
        <w:t xml:space="preserve"> and </w:t>
      </w:r>
      <w:r w:rsidR="00727422" w:rsidRPr="00F569AE">
        <w:rPr>
          <w:rFonts w:ascii="Calibri" w:hAnsi="Calibri" w:cs="Calibri"/>
          <w:kern w:val="2"/>
          <w:sz w:val="20"/>
          <w:szCs w:val="20"/>
          <w:lang w:val="en-US"/>
        </w:rPr>
        <w:t>systematization</w:t>
      </w:r>
      <w:r w:rsidRPr="00F569AE">
        <w:rPr>
          <w:rFonts w:ascii="Calibri" w:hAnsi="Calibri" w:cs="Calibri"/>
          <w:kern w:val="2"/>
          <w:sz w:val="20"/>
          <w:szCs w:val="20"/>
          <w:lang w:val="en-US"/>
        </w:rPr>
        <w:t xml:space="preserve"> of working places of the WUCs in relation to Full Time Equivalent standard</w:t>
      </w:r>
      <w:r w:rsidRPr="00F569AE">
        <w:rPr>
          <w:rFonts w:ascii="Calibri" w:hAnsi="Calibri" w:cs="Calibri"/>
          <w:sz w:val="20"/>
          <w:szCs w:val="20"/>
          <w:lang w:val="en-US"/>
        </w:rPr>
        <w:t xml:space="preserve"> </w:t>
      </w:r>
    </w:p>
    <w:p w14:paraId="46430BD0"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5: High sensitivity of water service tariff for political (populist) reasons in the absence of direct subventions for social/vulnerable categories</w:t>
      </w:r>
    </w:p>
    <w:p w14:paraId="152910D8"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6: Very strong political influence on tariff setting (through local Assemblies)</w:t>
      </w:r>
    </w:p>
    <w:p w14:paraId="6377DF9F"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 xml:space="preserve">7: Insufficient accountability of WUCs due to absence of performance management tools </w:t>
      </w:r>
    </w:p>
    <w:p w14:paraId="08CAB699"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8: Lack of clear division of roles and responsibilities between LGs and WUs</w:t>
      </w:r>
    </w:p>
    <w:p w14:paraId="63CBCB45"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 xml:space="preserve">9: Lack of citizens engagement </w:t>
      </w:r>
      <w:r w:rsidRPr="00F569AE">
        <w:rPr>
          <w:rFonts w:ascii="Calibri" w:hAnsi="Calibri" w:cs="Calibri"/>
          <w:i/>
          <w:sz w:val="20"/>
          <w:szCs w:val="20"/>
          <w:lang w:val="en-US"/>
        </w:rPr>
        <w:t>(9a: gender, 9b: youth, 9c: ethnic minorities, and 9d: disabled people)</w:t>
      </w:r>
    </w:p>
    <w:p w14:paraId="1C41FF0B"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10: Lack of quality standards for good governance for communal services</w:t>
      </w:r>
    </w:p>
    <w:p w14:paraId="2AE20ED5" w14:textId="14D71933"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11: Lack of staff competences (knowledge, skills, experience and practice) and sharing among WUs</w:t>
      </w:r>
      <w:r w:rsidR="00DF348D" w:rsidRPr="00F569AE">
        <w:rPr>
          <w:rFonts w:ascii="Calibri" w:hAnsi="Calibri" w:cs="Calibri"/>
          <w:sz w:val="20"/>
          <w:szCs w:val="20"/>
          <w:lang w:val="en-US"/>
        </w:rPr>
        <w:t>, especially with young professionals</w:t>
      </w:r>
    </w:p>
    <w:p w14:paraId="3D5FBFF2"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12: Lack of staff competences (knowledge, skills, experience and practice) and sharing among LGs</w:t>
      </w:r>
    </w:p>
    <w:p w14:paraId="1D537418" w14:textId="137EFE6F"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 xml:space="preserve">13: Low efficiency of LG institutions. The existing job description in the rulebook of the internal </w:t>
      </w:r>
      <w:r w:rsidR="00727422" w:rsidRPr="00F569AE">
        <w:rPr>
          <w:rFonts w:ascii="Calibri" w:hAnsi="Calibri" w:cs="Calibri"/>
          <w:sz w:val="20"/>
          <w:szCs w:val="20"/>
          <w:lang w:val="en-US"/>
        </w:rPr>
        <w:t>organization</w:t>
      </w:r>
      <w:r w:rsidRPr="00F569AE">
        <w:rPr>
          <w:rFonts w:ascii="Calibri" w:hAnsi="Calibri" w:cs="Calibri"/>
          <w:sz w:val="20"/>
          <w:szCs w:val="20"/>
          <w:lang w:val="en-US"/>
        </w:rPr>
        <w:t xml:space="preserve"> and </w:t>
      </w:r>
      <w:r w:rsidR="00727422" w:rsidRPr="00F569AE">
        <w:rPr>
          <w:rFonts w:ascii="Calibri" w:hAnsi="Calibri" w:cs="Calibri"/>
          <w:sz w:val="20"/>
          <w:szCs w:val="20"/>
          <w:lang w:val="en-US"/>
        </w:rPr>
        <w:t>systematization</w:t>
      </w:r>
      <w:r w:rsidRPr="00F569AE">
        <w:rPr>
          <w:rFonts w:ascii="Calibri" w:hAnsi="Calibri" w:cs="Calibri"/>
          <w:sz w:val="20"/>
          <w:szCs w:val="20"/>
          <w:lang w:val="en-US"/>
        </w:rPr>
        <w:t xml:space="preserve"> of working places </w:t>
      </w:r>
      <w:r w:rsidR="00727422" w:rsidRPr="00F569AE">
        <w:rPr>
          <w:rFonts w:ascii="Calibri" w:hAnsi="Calibri" w:cs="Calibri"/>
          <w:sz w:val="20"/>
          <w:szCs w:val="20"/>
          <w:lang w:val="en-US"/>
        </w:rPr>
        <w:t>doesn’t</w:t>
      </w:r>
      <w:r w:rsidRPr="00F569AE">
        <w:rPr>
          <w:rFonts w:ascii="Calibri" w:hAnsi="Calibri" w:cs="Calibri"/>
          <w:sz w:val="20"/>
          <w:szCs w:val="20"/>
          <w:lang w:val="en-US"/>
        </w:rPr>
        <w:t xml:space="preserve"> include all </w:t>
      </w:r>
      <w:r w:rsidR="00727422" w:rsidRPr="00F569AE">
        <w:rPr>
          <w:rFonts w:ascii="Calibri" w:hAnsi="Calibri" w:cs="Calibri"/>
          <w:sz w:val="20"/>
          <w:szCs w:val="20"/>
          <w:lang w:val="en-US"/>
        </w:rPr>
        <w:t>responsibilities</w:t>
      </w:r>
      <w:r w:rsidRPr="00F569AE">
        <w:rPr>
          <w:rFonts w:ascii="Calibri" w:hAnsi="Calibri" w:cs="Calibri"/>
          <w:sz w:val="20"/>
          <w:szCs w:val="20"/>
          <w:lang w:val="en-US"/>
        </w:rPr>
        <w:t xml:space="preserve"> in accordance with existing laws and by-laws related to water services.</w:t>
      </w:r>
    </w:p>
    <w:p w14:paraId="259973A5"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14: Low efficiency of WUs</w:t>
      </w:r>
    </w:p>
    <w:p w14:paraId="0AF639E4" w14:textId="77777777" w:rsidR="008118E1" w:rsidRPr="00F569AE" w:rsidRDefault="008118E1" w:rsidP="002554D0">
      <w:pPr>
        <w:spacing w:line="276" w:lineRule="auto"/>
        <w:rPr>
          <w:rFonts w:ascii="Calibri" w:hAnsi="Calibri" w:cs="Calibri"/>
          <w:sz w:val="20"/>
          <w:szCs w:val="20"/>
          <w:lang w:val="en-US"/>
        </w:rPr>
      </w:pPr>
      <w:r w:rsidRPr="00F569AE">
        <w:rPr>
          <w:rFonts w:ascii="Calibri" w:hAnsi="Calibri" w:cs="Calibri"/>
          <w:sz w:val="20"/>
          <w:szCs w:val="20"/>
          <w:lang w:val="en-US"/>
        </w:rPr>
        <w:t>15: Lack of citizens trust towards LGs/WUs</w:t>
      </w:r>
    </w:p>
    <w:p w14:paraId="6CDEC7B2" w14:textId="77777777" w:rsidR="00280729" w:rsidRPr="00F569AE" w:rsidRDefault="00280729" w:rsidP="002554D0">
      <w:pPr>
        <w:spacing w:line="276" w:lineRule="auto"/>
        <w:rPr>
          <w:rFonts w:ascii="Calibri" w:hAnsi="Calibri" w:cs="Calibri"/>
          <w:lang w:val="en-US"/>
        </w:rPr>
      </w:pPr>
    </w:p>
    <w:p w14:paraId="2317951B" w14:textId="77777777" w:rsidR="008118E1" w:rsidRPr="00F569AE" w:rsidRDefault="008118E1" w:rsidP="00BC0EF3">
      <w:pPr>
        <w:spacing w:line="276" w:lineRule="auto"/>
        <w:jc w:val="both"/>
        <w:rPr>
          <w:rFonts w:ascii="Calibri" w:hAnsi="Calibri" w:cs="Calibri"/>
          <w:color w:val="3A7C22" w:themeColor="accent6" w:themeShade="BF"/>
          <w:lang w:val="en-US"/>
        </w:rPr>
      </w:pPr>
      <w:r w:rsidRPr="00F569AE">
        <w:rPr>
          <w:rFonts w:ascii="Calibri" w:hAnsi="Calibri" w:cs="Calibri"/>
          <w:color w:val="3A7C22" w:themeColor="accent6" w:themeShade="BF"/>
          <w:lang w:val="en-US"/>
        </w:rPr>
        <w:t>#1 (law on water services), #9 (citizens engagement), and #10 (quality standards for good governance for communal services) – are the most influential factors in water service sector</w:t>
      </w:r>
    </w:p>
    <w:p w14:paraId="5ABFE5E7" w14:textId="77777777" w:rsidR="008118E1" w:rsidRPr="00F569AE" w:rsidRDefault="008118E1" w:rsidP="00BC0EF3">
      <w:pPr>
        <w:spacing w:line="276" w:lineRule="auto"/>
        <w:jc w:val="both"/>
        <w:rPr>
          <w:color w:val="D86DCB" w:themeColor="accent5" w:themeTint="99"/>
          <w:lang w:val="en-US"/>
        </w:rPr>
      </w:pPr>
      <w:r w:rsidRPr="00F569AE">
        <w:rPr>
          <w:color w:val="D86DCB" w:themeColor="accent5" w:themeTint="99"/>
          <w:lang w:val="en-US"/>
        </w:rPr>
        <w:t>#8 (lack of clear division of roles between LGs and WUs) and # 14 (inefficiency of WUs) are the most challenging factors because a range of issues are to be addressed in order to tackle them</w:t>
      </w:r>
    </w:p>
    <w:p w14:paraId="0EE3B87F" w14:textId="77777777" w:rsidR="008118E1" w:rsidRPr="00F569AE" w:rsidRDefault="008118E1" w:rsidP="008118E1">
      <w:pPr>
        <w:spacing w:line="276" w:lineRule="auto"/>
        <w:rPr>
          <w:lang w:val="en-US"/>
        </w:rPr>
      </w:pPr>
    </w:p>
    <w:p w14:paraId="512990FD" w14:textId="77777777" w:rsidR="008118E1" w:rsidRPr="00F569AE" w:rsidRDefault="008118E1" w:rsidP="008118E1">
      <w:pPr>
        <w:spacing w:line="276" w:lineRule="auto"/>
        <w:rPr>
          <w:lang w:val="en-US"/>
        </w:rPr>
      </w:pPr>
    </w:p>
    <w:p w14:paraId="7A47CE91" w14:textId="5D5E50B4" w:rsidR="008118E1" w:rsidRPr="00F569AE" w:rsidRDefault="008118E1" w:rsidP="008118E1">
      <w:pPr>
        <w:spacing w:line="276" w:lineRule="auto"/>
        <w:rPr>
          <w:rFonts w:ascii="Calibri" w:hAnsi="Calibri" w:cs="Calibri"/>
          <w:b/>
          <w:sz w:val="32"/>
          <w:szCs w:val="32"/>
          <w:u w:val="single"/>
          <w:lang w:val="en-US"/>
        </w:rPr>
      </w:pPr>
      <w:r w:rsidRPr="00F569AE">
        <w:rPr>
          <w:rFonts w:ascii="Calibri" w:hAnsi="Calibri" w:cs="Calibri"/>
          <w:b/>
          <w:sz w:val="32"/>
          <w:szCs w:val="32"/>
          <w:lang w:val="en-US"/>
        </w:rPr>
        <w:t>System analysis: Key elements of the Water service system in BiH</w:t>
      </w:r>
      <w:r w:rsidRPr="00F569AE">
        <w:rPr>
          <w:rFonts w:ascii="Calibri" w:hAnsi="Calibri" w:cs="Calibri"/>
          <w:b/>
          <w:sz w:val="32"/>
          <w:szCs w:val="32"/>
          <w:u w:val="single"/>
          <w:lang w:val="en-US"/>
        </w:rPr>
        <w:t xml:space="preserve"> at its infrastructure level</w:t>
      </w:r>
    </w:p>
    <w:p w14:paraId="2FCC8AF6" w14:textId="77777777" w:rsidR="008118E1" w:rsidRPr="00F569AE" w:rsidRDefault="008118E1" w:rsidP="008118E1">
      <w:pPr>
        <w:spacing w:line="276" w:lineRule="auto"/>
        <w:rPr>
          <w:color w:val="D86DCB" w:themeColor="accent5" w:themeTint="99"/>
          <w:lang w:val="en-US"/>
        </w:rPr>
      </w:pPr>
    </w:p>
    <w:p w14:paraId="54FBC3A0" w14:textId="77777777" w:rsidR="008118E1" w:rsidRPr="00F569AE" w:rsidRDefault="008118E1" w:rsidP="008118E1">
      <w:pPr>
        <w:spacing w:line="276" w:lineRule="auto"/>
        <w:rPr>
          <w:color w:val="D86DCB" w:themeColor="accent5" w:themeTint="99"/>
          <w:lang w:val="en-US"/>
        </w:rPr>
      </w:pPr>
      <w:r w:rsidRPr="00F569AE">
        <w:rPr>
          <w:noProof/>
          <w:color w:val="D86DCB" w:themeColor="accent5" w:themeTint="99"/>
          <w:lang w:val="en-US"/>
        </w:rPr>
        <w:drawing>
          <wp:inline distT="0" distB="0" distL="0" distR="0" wp14:anchorId="7CE40DFA" wp14:editId="753B57DF">
            <wp:extent cx="5241471" cy="2896572"/>
            <wp:effectExtent l="0" t="0" r="3810" b="0"/>
            <wp:docPr id="1098484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484136" name=""/>
                    <pic:cNvPicPr/>
                  </pic:nvPicPr>
                  <pic:blipFill>
                    <a:blip r:embed="rId144"/>
                    <a:stretch>
                      <a:fillRect/>
                    </a:stretch>
                  </pic:blipFill>
                  <pic:spPr>
                    <a:xfrm>
                      <a:off x="0" y="0"/>
                      <a:ext cx="5274376" cy="2914756"/>
                    </a:xfrm>
                    <a:prstGeom prst="rect">
                      <a:avLst/>
                    </a:prstGeom>
                  </pic:spPr>
                </pic:pic>
              </a:graphicData>
            </a:graphic>
          </wp:inline>
        </w:drawing>
      </w:r>
    </w:p>
    <w:p w14:paraId="598CBD2C" w14:textId="77777777" w:rsidR="008118E1" w:rsidRPr="00F569AE" w:rsidRDefault="008118E1" w:rsidP="008118E1">
      <w:pPr>
        <w:spacing w:line="276" w:lineRule="auto"/>
        <w:rPr>
          <w:color w:val="D86DCB" w:themeColor="accent5" w:themeTint="99"/>
          <w:lang w:val="en-US"/>
        </w:rPr>
      </w:pPr>
    </w:p>
    <w:p w14:paraId="074217FB" w14:textId="77777777" w:rsidR="008118E1" w:rsidRPr="00F569AE" w:rsidRDefault="008118E1" w:rsidP="008118E1">
      <w:pPr>
        <w:spacing w:line="276" w:lineRule="auto"/>
        <w:rPr>
          <w:color w:val="D86DCB" w:themeColor="accent5" w:themeTint="99"/>
          <w:lang w:val="en-US"/>
        </w:rPr>
      </w:pPr>
    </w:p>
    <w:p w14:paraId="0D9EA73E" w14:textId="77777777" w:rsidR="008118E1" w:rsidRPr="00F569AE" w:rsidRDefault="008118E1" w:rsidP="008118E1">
      <w:pPr>
        <w:spacing w:line="276" w:lineRule="auto"/>
        <w:rPr>
          <w:rFonts w:ascii="Calibri" w:hAnsi="Calibri" w:cs="Calibri"/>
          <w:color w:val="000000" w:themeColor="text1"/>
          <w:sz w:val="20"/>
          <w:szCs w:val="20"/>
          <w:lang w:val="en-US"/>
        </w:rPr>
      </w:pPr>
      <w:r w:rsidRPr="00F569AE">
        <w:rPr>
          <w:rFonts w:ascii="Calibri" w:hAnsi="Calibri" w:cs="Calibri"/>
          <w:color w:val="000000" w:themeColor="text1"/>
          <w:sz w:val="20"/>
          <w:szCs w:val="20"/>
          <w:lang w:val="en-US"/>
        </w:rPr>
        <w:t>1: Asset ownership and weak (legal) practices associated with property transfer / entrustment of the assets from LGs to WUs for operation and maintenance.</w:t>
      </w:r>
    </w:p>
    <w:p w14:paraId="1A82ABB3" w14:textId="77777777" w:rsidR="008118E1" w:rsidRPr="00F569AE" w:rsidRDefault="008118E1" w:rsidP="008118E1">
      <w:pPr>
        <w:spacing w:line="276" w:lineRule="auto"/>
        <w:rPr>
          <w:rFonts w:ascii="Calibri" w:hAnsi="Calibri" w:cs="Calibri"/>
          <w:color w:val="000000" w:themeColor="text1"/>
          <w:sz w:val="20"/>
          <w:szCs w:val="20"/>
          <w:lang w:val="en-US"/>
        </w:rPr>
      </w:pPr>
      <w:r w:rsidRPr="00F569AE">
        <w:rPr>
          <w:rFonts w:ascii="Calibri" w:hAnsi="Calibri" w:cs="Calibri"/>
          <w:color w:val="000000" w:themeColor="text1"/>
          <w:sz w:val="20"/>
          <w:szCs w:val="20"/>
          <w:lang w:val="en-US"/>
        </w:rPr>
        <w:t xml:space="preserve">2: Safety of drinking water (drinking water quality) / </w:t>
      </w:r>
      <w:r w:rsidRPr="00F569AE">
        <w:rPr>
          <w:rFonts w:ascii="Calibri" w:hAnsi="Calibri" w:cs="Calibri"/>
          <w:color w:val="000000" w:themeColor="text1"/>
          <w:kern w:val="2"/>
          <w:sz w:val="20"/>
          <w:szCs w:val="20"/>
          <w:lang w:val="en-US"/>
        </w:rPr>
        <w:t>Drinking water protection zones established (at least physically at the water sources), disinfection automated, periodic monitoring of the water quality by the autonomous institution (direct responsibility of the LGs defined by the Water Law)</w:t>
      </w:r>
    </w:p>
    <w:p w14:paraId="2201B205" w14:textId="77777777" w:rsidR="008118E1" w:rsidRPr="00F569AE" w:rsidRDefault="008118E1" w:rsidP="008118E1">
      <w:pPr>
        <w:spacing w:line="276" w:lineRule="auto"/>
        <w:rPr>
          <w:rFonts w:ascii="Calibri" w:hAnsi="Calibri" w:cs="Calibri"/>
          <w:color w:val="000000" w:themeColor="text1"/>
          <w:sz w:val="20"/>
          <w:szCs w:val="20"/>
          <w:lang w:val="en-US"/>
        </w:rPr>
      </w:pPr>
      <w:r w:rsidRPr="00F569AE">
        <w:rPr>
          <w:rFonts w:ascii="Calibri" w:hAnsi="Calibri" w:cs="Calibri"/>
          <w:color w:val="000000" w:themeColor="text1"/>
          <w:sz w:val="20"/>
          <w:szCs w:val="20"/>
          <w:lang w:val="en-US"/>
        </w:rPr>
        <w:t>3: Security of drinking water (drinking water accessibility)</w:t>
      </w:r>
    </w:p>
    <w:p w14:paraId="361721F0" w14:textId="77777777" w:rsidR="008118E1" w:rsidRPr="00F569AE" w:rsidRDefault="008118E1" w:rsidP="008118E1">
      <w:pPr>
        <w:spacing w:line="276" w:lineRule="auto"/>
        <w:rPr>
          <w:rFonts w:ascii="Calibri" w:hAnsi="Calibri" w:cs="Calibri"/>
          <w:color w:val="000000" w:themeColor="text1"/>
          <w:sz w:val="20"/>
          <w:szCs w:val="20"/>
          <w:lang w:val="en-US"/>
        </w:rPr>
      </w:pPr>
      <w:r w:rsidRPr="00F569AE">
        <w:rPr>
          <w:rFonts w:ascii="Calibri" w:hAnsi="Calibri" w:cs="Calibri"/>
          <w:color w:val="000000" w:themeColor="text1"/>
          <w:sz w:val="20"/>
          <w:szCs w:val="20"/>
          <w:lang w:val="en-US"/>
        </w:rPr>
        <w:t xml:space="preserve">4: Quality of infrastructure </w:t>
      </w:r>
    </w:p>
    <w:p w14:paraId="307DCFE7" w14:textId="77777777" w:rsidR="008118E1" w:rsidRPr="00F569AE" w:rsidRDefault="008118E1" w:rsidP="008118E1">
      <w:pPr>
        <w:spacing w:line="276" w:lineRule="auto"/>
        <w:rPr>
          <w:rFonts w:ascii="Calibri" w:hAnsi="Calibri" w:cs="Calibri"/>
          <w:color w:val="000000" w:themeColor="text1"/>
          <w:sz w:val="20"/>
          <w:szCs w:val="20"/>
          <w:lang w:val="en-US"/>
        </w:rPr>
      </w:pPr>
      <w:r w:rsidRPr="00F569AE">
        <w:rPr>
          <w:rFonts w:ascii="Calibri" w:hAnsi="Calibri" w:cs="Calibri"/>
          <w:color w:val="000000" w:themeColor="text1"/>
          <w:sz w:val="20"/>
          <w:szCs w:val="20"/>
          <w:lang w:val="en-US"/>
        </w:rPr>
        <w:t>5: Access to external funding</w:t>
      </w:r>
    </w:p>
    <w:p w14:paraId="659D90FB" w14:textId="77777777" w:rsidR="008118E1" w:rsidRPr="00F569AE" w:rsidRDefault="008118E1" w:rsidP="008118E1">
      <w:pPr>
        <w:spacing w:line="276" w:lineRule="auto"/>
        <w:rPr>
          <w:rFonts w:ascii="Calibri" w:hAnsi="Calibri" w:cs="Calibri"/>
          <w:color w:val="000000" w:themeColor="text1"/>
          <w:sz w:val="20"/>
          <w:szCs w:val="20"/>
          <w:lang w:val="en-US"/>
        </w:rPr>
      </w:pPr>
      <w:r w:rsidRPr="00F569AE">
        <w:rPr>
          <w:rFonts w:ascii="Calibri" w:hAnsi="Calibri" w:cs="Calibri"/>
          <w:color w:val="000000" w:themeColor="text1"/>
          <w:sz w:val="20"/>
          <w:szCs w:val="20"/>
          <w:lang w:val="en-US"/>
        </w:rPr>
        <w:t>6: Insufficient service fees not able to cover operational , depreciation, and maintenance costs for infrastructure (in addition to new infrastructural investments)</w:t>
      </w:r>
    </w:p>
    <w:p w14:paraId="68CFD2A2" w14:textId="77777777" w:rsidR="008118E1" w:rsidRPr="00F569AE" w:rsidRDefault="008118E1" w:rsidP="008118E1">
      <w:pPr>
        <w:spacing w:line="276" w:lineRule="auto"/>
        <w:rPr>
          <w:rFonts w:ascii="Calibri" w:hAnsi="Calibri" w:cs="Calibri"/>
          <w:color w:val="000000" w:themeColor="text1"/>
          <w:sz w:val="20"/>
          <w:szCs w:val="20"/>
          <w:lang w:val="en-US"/>
        </w:rPr>
      </w:pPr>
      <w:r w:rsidRPr="00F569AE">
        <w:rPr>
          <w:rFonts w:ascii="Calibri" w:hAnsi="Calibri" w:cs="Calibri"/>
          <w:color w:val="000000" w:themeColor="text1"/>
          <w:sz w:val="20"/>
          <w:szCs w:val="20"/>
          <w:lang w:val="en-US"/>
        </w:rPr>
        <w:t>7: Safety quality standards (regulated under the BiH Agency for food safety in line with the EU standards)</w:t>
      </w:r>
    </w:p>
    <w:p w14:paraId="07D08ECF" w14:textId="77777777" w:rsidR="008118E1" w:rsidRPr="00F569AE" w:rsidRDefault="008118E1" w:rsidP="008118E1">
      <w:pPr>
        <w:spacing w:line="276" w:lineRule="auto"/>
        <w:rPr>
          <w:rFonts w:ascii="Calibri" w:hAnsi="Calibri" w:cs="Calibri"/>
          <w:color w:val="000000" w:themeColor="text1"/>
          <w:sz w:val="20"/>
          <w:szCs w:val="20"/>
          <w:lang w:val="en-US"/>
        </w:rPr>
      </w:pPr>
      <w:r w:rsidRPr="00F569AE">
        <w:rPr>
          <w:rFonts w:ascii="Calibri" w:hAnsi="Calibri" w:cs="Calibri"/>
          <w:color w:val="000000" w:themeColor="text1"/>
          <w:sz w:val="20"/>
          <w:szCs w:val="20"/>
          <w:lang w:val="en-US"/>
        </w:rPr>
        <w:t>8: Security quality standards (absent or from the former Yugoslavia time)</w:t>
      </w:r>
    </w:p>
    <w:p w14:paraId="67035BA3" w14:textId="77777777" w:rsidR="008118E1" w:rsidRPr="00F569AE" w:rsidRDefault="008118E1" w:rsidP="008118E1">
      <w:pPr>
        <w:spacing w:line="276" w:lineRule="auto"/>
        <w:rPr>
          <w:color w:val="000000" w:themeColor="text1"/>
          <w:lang w:val="en-US"/>
        </w:rPr>
      </w:pPr>
    </w:p>
    <w:p w14:paraId="56E6F6CB" w14:textId="20EDD680" w:rsidR="00DC6101" w:rsidRPr="00F569AE" w:rsidRDefault="008118E1" w:rsidP="00BC0EF3">
      <w:pPr>
        <w:spacing w:line="276" w:lineRule="auto"/>
        <w:jc w:val="both"/>
        <w:rPr>
          <w:color w:val="D86DCB" w:themeColor="accent5" w:themeTint="99"/>
          <w:lang w:val="en-US"/>
        </w:rPr>
      </w:pPr>
      <w:r w:rsidRPr="00F569AE">
        <w:rPr>
          <w:color w:val="D86DCB" w:themeColor="accent5" w:themeTint="99"/>
          <w:lang w:val="en-US"/>
        </w:rPr>
        <w:t>The interdependencies between #8 (infrastructure quality standards), #7 (drinking water quality standards), #6 (maintenance costs) and #5 (access to external funding) are critical for the safety and security of drinking water in BiH</w:t>
      </w:r>
      <w:r w:rsidR="00E16730" w:rsidRPr="00F569AE">
        <w:rPr>
          <w:color w:val="D86DCB" w:themeColor="accent5" w:themeTint="99"/>
          <w:lang w:val="en-US"/>
        </w:rPr>
        <w:t>.</w:t>
      </w:r>
    </w:p>
    <w:p w14:paraId="5089D0A7" w14:textId="77777777" w:rsidR="002554D0" w:rsidRPr="00F569AE" w:rsidRDefault="002554D0" w:rsidP="00E16730">
      <w:pPr>
        <w:spacing w:line="276" w:lineRule="auto"/>
        <w:rPr>
          <w:color w:val="D86DCB" w:themeColor="accent5" w:themeTint="99"/>
          <w:lang w:val="en-US"/>
        </w:rPr>
      </w:pPr>
    </w:p>
    <w:p w14:paraId="450EC6F2" w14:textId="77777777" w:rsidR="002554D0" w:rsidRPr="00F569AE" w:rsidRDefault="002554D0" w:rsidP="00E16730">
      <w:pPr>
        <w:spacing w:line="276" w:lineRule="auto"/>
        <w:rPr>
          <w:color w:val="D86DCB" w:themeColor="accent5" w:themeTint="99"/>
          <w:lang w:val="en-US"/>
        </w:rPr>
      </w:pPr>
    </w:p>
    <w:p w14:paraId="448C2261" w14:textId="77777777" w:rsidR="002554D0" w:rsidRPr="00F569AE" w:rsidRDefault="002554D0" w:rsidP="00E16730">
      <w:pPr>
        <w:spacing w:line="276" w:lineRule="auto"/>
        <w:rPr>
          <w:color w:val="D86DCB" w:themeColor="accent5" w:themeTint="99"/>
          <w:lang w:val="en-US"/>
        </w:rPr>
      </w:pPr>
    </w:p>
    <w:p w14:paraId="2010A29D" w14:textId="77777777" w:rsidR="002554D0" w:rsidRPr="00F569AE" w:rsidRDefault="002554D0" w:rsidP="00E16730">
      <w:pPr>
        <w:spacing w:line="276" w:lineRule="auto"/>
        <w:rPr>
          <w:color w:val="D86DCB" w:themeColor="accent5" w:themeTint="99"/>
          <w:lang w:val="en-US"/>
        </w:rPr>
      </w:pPr>
    </w:p>
    <w:p w14:paraId="3938857B" w14:textId="422A02B5" w:rsidR="00980BAE" w:rsidRPr="00F569AE" w:rsidRDefault="00980BAE" w:rsidP="00980BAE">
      <w:pPr>
        <w:pStyle w:val="Heading2"/>
        <w:rPr>
          <w:rFonts w:ascii="Calibri" w:hAnsi="Calibri" w:cs="Calibri"/>
          <w:i/>
        </w:rPr>
      </w:pPr>
      <w:bookmarkStart w:id="216" w:name="_Toc210058542"/>
      <w:r w:rsidRPr="00F569AE">
        <w:rPr>
          <w:rFonts w:ascii="Calibri" w:hAnsi="Calibri" w:cs="Calibri"/>
          <w:i/>
        </w:rPr>
        <w:lastRenderedPageBreak/>
        <w:t xml:space="preserve">Annex </w:t>
      </w:r>
      <w:r w:rsidR="000C52E4" w:rsidRPr="00F569AE">
        <w:rPr>
          <w:rFonts w:ascii="Calibri" w:hAnsi="Calibri" w:cs="Calibri"/>
          <w:i/>
        </w:rPr>
        <w:t>7</w:t>
      </w:r>
      <w:r w:rsidRPr="00F569AE">
        <w:rPr>
          <w:rFonts w:ascii="Calibri" w:hAnsi="Calibri" w:cs="Calibri"/>
          <w:i/>
        </w:rPr>
        <w:t xml:space="preserve">: Annual progress of citizens participation in </w:t>
      </w:r>
      <w:r w:rsidR="00932085" w:rsidRPr="00F569AE">
        <w:rPr>
          <w:rFonts w:ascii="Calibri" w:hAnsi="Calibri" w:cs="Calibri"/>
          <w:i/>
        </w:rPr>
        <w:t xml:space="preserve">municipal </w:t>
      </w:r>
      <w:r w:rsidRPr="00F569AE">
        <w:rPr>
          <w:rFonts w:ascii="Calibri" w:hAnsi="Calibri" w:cs="Calibri"/>
          <w:i/>
        </w:rPr>
        <w:t>decision-making</w:t>
      </w:r>
      <w:bookmarkEnd w:id="216"/>
    </w:p>
    <w:p w14:paraId="6D9F5419" w14:textId="77777777" w:rsidR="00DC6101" w:rsidRPr="00F569AE" w:rsidRDefault="00DC6101" w:rsidP="00980BAE">
      <w:pPr>
        <w:spacing w:after="160" w:line="276" w:lineRule="auto"/>
        <w:rPr>
          <w:rFonts w:ascii="Calibri" w:eastAsia="Calibri" w:hAnsi="Calibri" w:cs="Calibri"/>
          <w:lang w:val="en-US"/>
        </w:rPr>
      </w:pPr>
    </w:p>
    <w:tbl>
      <w:tblPr>
        <w:tblW w:w="0" w:type="auto"/>
        <w:tblInd w:w="93" w:type="dxa"/>
        <w:tblLook w:val="04A0" w:firstRow="1" w:lastRow="0" w:firstColumn="1" w:lastColumn="0" w:noHBand="0" w:noVBand="1"/>
      </w:tblPr>
      <w:tblGrid>
        <w:gridCol w:w="586"/>
        <w:gridCol w:w="2848"/>
        <w:gridCol w:w="1831"/>
        <w:gridCol w:w="1826"/>
        <w:gridCol w:w="1826"/>
      </w:tblGrid>
      <w:tr w:rsidR="00980BAE" w:rsidRPr="00F569AE" w14:paraId="3EBBCD4D" w14:textId="77777777" w:rsidTr="007742FA">
        <w:trPr>
          <w:trHeight w:val="900"/>
        </w:trPr>
        <w:tc>
          <w:tcPr>
            <w:tcW w:w="3743" w:type="dxa"/>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38AD00F7" w14:textId="77777777" w:rsidR="00980BAE" w:rsidRPr="00F569AE" w:rsidRDefault="00980BAE" w:rsidP="00A5744A">
            <w:pPr>
              <w:rPr>
                <w:rFonts w:ascii="Calibri" w:hAnsi="Calibri"/>
                <w:b/>
                <w:color w:val="000000"/>
                <w:lang w:val="en-US"/>
              </w:rPr>
            </w:pPr>
          </w:p>
          <w:p w14:paraId="600ACD15" w14:textId="77777777" w:rsidR="00980BAE" w:rsidRPr="00F569AE" w:rsidRDefault="00980BAE" w:rsidP="00A5744A">
            <w:pPr>
              <w:rPr>
                <w:rFonts w:ascii="Calibri" w:hAnsi="Calibri"/>
                <w:b/>
                <w:color w:val="000000"/>
                <w:lang w:val="en-US"/>
              </w:rPr>
            </w:pPr>
            <w:r w:rsidRPr="00F569AE">
              <w:rPr>
                <w:rFonts w:ascii="Calibri" w:hAnsi="Calibri"/>
                <w:b/>
                <w:color w:val="000000"/>
                <w:lang w:val="en-US"/>
              </w:rPr>
              <w:t xml:space="preserve">City/municipality </w:t>
            </w:r>
          </w:p>
        </w:tc>
        <w:tc>
          <w:tcPr>
            <w:tcW w:w="1725" w:type="dxa"/>
            <w:tcBorders>
              <w:top w:val="single" w:sz="4" w:space="0" w:color="000000"/>
              <w:left w:val="nil"/>
              <w:bottom w:val="single" w:sz="4" w:space="0" w:color="000000"/>
              <w:right w:val="single" w:sz="4" w:space="0" w:color="000000"/>
            </w:tcBorders>
            <w:shd w:val="clear" w:color="auto" w:fill="DAE9F7" w:themeFill="text2" w:themeFillTint="1A"/>
            <w:vAlign w:val="center"/>
            <w:hideMark/>
          </w:tcPr>
          <w:p w14:paraId="196A982A" w14:textId="77777777" w:rsidR="00980BAE" w:rsidRPr="00F569AE" w:rsidRDefault="00980BAE" w:rsidP="00A5744A">
            <w:pPr>
              <w:jc w:val="center"/>
              <w:rPr>
                <w:rFonts w:ascii="Calibri" w:hAnsi="Calibri"/>
                <w:b/>
                <w:color w:val="000000"/>
                <w:lang w:val="en-US"/>
              </w:rPr>
            </w:pPr>
            <w:r w:rsidRPr="00F569AE">
              <w:rPr>
                <w:rFonts w:ascii="Calibri" w:hAnsi="Calibri"/>
                <w:b/>
                <w:color w:val="000000"/>
                <w:lang w:val="en-US"/>
              </w:rPr>
              <w:t xml:space="preserve">2022 </w:t>
            </w:r>
          </w:p>
          <w:p w14:paraId="295C4E90" w14:textId="77777777" w:rsidR="00980BAE" w:rsidRPr="00F569AE" w:rsidRDefault="00980BAE" w:rsidP="00A5744A">
            <w:pPr>
              <w:jc w:val="center"/>
              <w:rPr>
                <w:rFonts w:ascii="Calibri" w:hAnsi="Calibri"/>
                <w:b/>
                <w:color w:val="000000"/>
                <w:lang w:val="en-US"/>
              </w:rPr>
            </w:pPr>
            <w:r w:rsidRPr="00F569AE">
              <w:rPr>
                <w:rFonts w:ascii="Calibri" w:hAnsi="Calibri"/>
                <w:b/>
                <w:color w:val="000000"/>
                <w:lang w:val="en-US"/>
              </w:rPr>
              <w:t xml:space="preserve">% of MAP Implementation </w:t>
            </w:r>
          </w:p>
        </w:tc>
        <w:tc>
          <w:tcPr>
            <w:tcW w:w="1817" w:type="dxa"/>
            <w:tcBorders>
              <w:top w:val="single" w:sz="4" w:space="0" w:color="000000"/>
              <w:left w:val="nil"/>
              <w:bottom w:val="single" w:sz="4" w:space="0" w:color="auto"/>
              <w:right w:val="single" w:sz="4" w:space="0" w:color="auto"/>
            </w:tcBorders>
            <w:shd w:val="clear" w:color="auto" w:fill="DAE9F7" w:themeFill="text2" w:themeFillTint="1A"/>
            <w:vAlign w:val="center"/>
            <w:hideMark/>
          </w:tcPr>
          <w:p w14:paraId="553EB2D8" w14:textId="77777777" w:rsidR="00980BAE" w:rsidRPr="00F569AE" w:rsidRDefault="00980BAE" w:rsidP="00A5744A">
            <w:pPr>
              <w:jc w:val="center"/>
              <w:rPr>
                <w:rFonts w:ascii="Calibri" w:hAnsi="Calibri"/>
                <w:b/>
                <w:color w:val="000000"/>
                <w:lang w:val="en-US"/>
              </w:rPr>
            </w:pPr>
            <w:r w:rsidRPr="00F569AE">
              <w:rPr>
                <w:rFonts w:ascii="Calibri" w:hAnsi="Calibri"/>
                <w:b/>
                <w:color w:val="000000"/>
                <w:lang w:val="en-US"/>
              </w:rPr>
              <w:t>2023</w:t>
            </w:r>
          </w:p>
          <w:p w14:paraId="615FDBB6" w14:textId="77777777" w:rsidR="00980BAE" w:rsidRPr="00F569AE" w:rsidRDefault="00980BAE" w:rsidP="00A5744A">
            <w:pPr>
              <w:jc w:val="center"/>
              <w:rPr>
                <w:rFonts w:ascii="Calibri" w:hAnsi="Calibri"/>
                <w:b/>
                <w:color w:val="000000"/>
                <w:lang w:val="en-US"/>
              </w:rPr>
            </w:pPr>
            <w:r w:rsidRPr="00F569AE">
              <w:rPr>
                <w:rFonts w:ascii="Calibri" w:hAnsi="Calibri"/>
                <w:b/>
                <w:color w:val="000000"/>
                <w:lang w:val="en-US"/>
              </w:rPr>
              <w:t>% of MAP implementation</w:t>
            </w:r>
          </w:p>
        </w:tc>
        <w:tc>
          <w:tcPr>
            <w:tcW w:w="1632" w:type="dxa"/>
            <w:tcBorders>
              <w:top w:val="single" w:sz="4" w:space="0" w:color="auto"/>
              <w:left w:val="single" w:sz="4" w:space="0" w:color="auto"/>
              <w:bottom w:val="nil"/>
              <w:right w:val="single" w:sz="4" w:space="0" w:color="auto"/>
            </w:tcBorders>
            <w:shd w:val="clear" w:color="auto" w:fill="DAE9F7" w:themeFill="text2" w:themeFillTint="1A"/>
            <w:vAlign w:val="center"/>
            <w:hideMark/>
          </w:tcPr>
          <w:p w14:paraId="357CCDC1" w14:textId="77777777" w:rsidR="00980BAE" w:rsidRPr="00F569AE" w:rsidRDefault="00980BAE" w:rsidP="00A5744A">
            <w:pPr>
              <w:jc w:val="center"/>
              <w:rPr>
                <w:rFonts w:ascii="Calibri" w:hAnsi="Calibri"/>
                <w:b/>
                <w:color w:val="000000"/>
                <w:lang w:val="en-US"/>
              </w:rPr>
            </w:pPr>
            <w:r w:rsidRPr="00F569AE">
              <w:rPr>
                <w:rFonts w:ascii="Calibri" w:hAnsi="Calibri"/>
                <w:b/>
                <w:color w:val="000000"/>
                <w:lang w:val="en-US"/>
              </w:rPr>
              <w:t>2024</w:t>
            </w:r>
          </w:p>
          <w:p w14:paraId="0FEE2987" w14:textId="77777777" w:rsidR="00980BAE" w:rsidRPr="00F569AE" w:rsidRDefault="00980BAE" w:rsidP="00A5744A">
            <w:pPr>
              <w:jc w:val="center"/>
              <w:rPr>
                <w:rFonts w:ascii="Calibri" w:hAnsi="Calibri"/>
                <w:b/>
                <w:color w:val="000000"/>
                <w:lang w:val="en-US"/>
              </w:rPr>
            </w:pPr>
            <w:r w:rsidRPr="00F569AE">
              <w:rPr>
                <w:rFonts w:ascii="Calibri" w:hAnsi="Calibri"/>
                <w:b/>
                <w:color w:val="000000"/>
                <w:lang w:val="en-US"/>
              </w:rPr>
              <w:t xml:space="preserve">% of MAP implementation </w:t>
            </w:r>
          </w:p>
        </w:tc>
      </w:tr>
      <w:tr w:rsidR="00980BAE" w:rsidRPr="00F569AE" w14:paraId="4EABDD4E"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45BFD1B9" w14:textId="77777777" w:rsidR="00980BAE" w:rsidRPr="00F569AE" w:rsidRDefault="00980BAE" w:rsidP="00A5744A">
            <w:pPr>
              <w:rPr>
                <w:rFonts w:ascii="Calibri" w:hAnsi="Calibri"/>
                <w:color w:val="000000"/>
                <w:lang w:val="en-US"/>
              </w:rPr>
            </w:pPr>
            <w:r w:rsidRPr="00F569AE">
              <w:rPr>
                <w:rFonts w:ascii="Calibri" w:hAnsi="Calibri"/>
                <w:color w:val="000000"/>
                <w:lang w:val="en-US"/>
              </w:rPr>
              <w:t>1.</w:t>
            </w:r>
          </w:p>
        </w:tc>
        <w:tc>
          <w:tcPr>
            <w:tcW w:w="2848" w:type="dxa"/>
            <w:tcBorders>
              <w:top w:val="single" w:sz="4" w:space="0" w:color="000000"/>
              <w:left w:val="single" w:sz="4" w:space="0" w:color="000000"/>
              <w:bottom w:val="single" w:sz="4" w:space="0" w:color="000000"/>
              <w:right w:val="single" w:sz="4" w:space="0" w:color="000000"/>
            </w:tcBorders>
            <w:noWrap/>
            <w:vAlign w:val="center"/>
            <w:hideMark/>
          </w:tcPr>
          <w:p w14:paraId="6ADD7C5F"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Bosanska Krupa </w:t>
            </w:r>
          </w:p>
        </w:tc>
        <w:tc>
          <w:tcPr>
            <w:tcW w:w="1725" w:type="dxa"/>
            <w:tcBorders>
              <w:top w:val="single" w:sz="4" w:space="0" w:color="auto"/>
              <w:left w:val="single" w:sz="4" w:space="0" w:color="auto"/>
              <w:bottom w:val="single" w:sz="4" w:space="0" w:color="auto"/>
              <w:right w:val="single" w:sz="4" w:space="0" w:color="auto"/>
            </w:tcBorders>
            <w:noWrap/>
            <w:vAlign w:val="center"/>
            <w:hideMark/>
          </w:tcPr>
          <w:p w14:paraId="4DF9445E"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47,37%</w:t>
            </w:r>
          </w:p>
        </w:tc>
        <w:tc>
          <w:tcPr>
            <w:tcW w:w="1817" w:type="dxa"/>
            <w:tcBorders>
              <w:top w:val="single" w:sz="4" w:space="0" w:color="auto"/>
              <w:left w:val="single" w:sz="4" w:space="0" w:color="auto"/>
              <w:bottom w:val="single" w:sz="4" w:space="0" w:color="auto"/>
              <w:right w:val="single" w:sz="4" w:space="0" w:color="auto"/>
            </w:tcBorders>
            <w:noWrap/>
            <w:vAlign w:val="center"/>
            <w:hideMark/>
          </w:tcPr>
          <w:p w14:paraId="6EC0ADBA"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47,37%</w:t>
            </w:r>
          </w:p>
        </w:tc>
        <w:tc>
          <w:tcPr>
            <w:tcW w:w="1632" w:type="dxa"/>
            <w:tcBorders>
              <w:top w:val="single" w:sz="4" w:space="0" w:color="auto"/>
              <w:left w:val="single" w:sz="4" w:space="0" w:color="auto"/>
              <w:bottom w:val="single" w:sz="4" w:space="0" w:color="auto"/>
              <w:right w:val="single" w:sz="4" w:space="0" w:color="auto"/>
            </w:tcBorders>
            <w:noWrap/>
            <w:vAlign w:val="center"/>
            <w:hideMark/>
          </w:tcPr>
          <w:p w14:paraId="70D5A1C4"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57,89%</w:t>
            </w:r>
          </w:p>
        </w:tc>
      </w:tr>
      <w:tr w:rsidR="00980BAE" w:rsidRPr="00F569AE" w14:paraId="6D175329"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3255D1FA" w14:textId="77777777" w:rsidR="00980BAE" w:rsidRPr="00F569AE" w:rsidRDefault="00980BAE" w:rsidP="00A5744A">
            <w:pPr>
              <w:rPr>
                <w:rFonts w:ascii="Calibri" w:hAnsi="Calibri"/>
                <w:color w:val="000000"/>
                <w:lang w:val="en-US"/>
              </w:rPr>
            </w:pPr>
            <w:r w:rsidRPr="00F569AE">
              <w:rPr>
                <w:rFonts w:ascii="Calibri" w:hAnsi="Calibri"/>
                <w:color w:val="000000"/>
                <w:lang w:val="en-US"/>
              </w:rPr>
              <w:t>2.</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21653917"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Bosanski Petrovac </w:t>
            </w:r>
          </w:p>
        </w:tc>
        <w:tc>
          <w:tcPr>
            <w:tcW w:w="1725" w:type="dxa"/>
            <w:tcBorders>
              <w:top w:val="single" w:sz="4" w:space="0" w:color="auto"/>
              <w:left w:val="single" w:sz="4" w:space="0" w:color="auto"/>
              <w:bottom w:val="single" w:sz="4" w:space="0" w:color="auto"/>
              <w:right w:val="single" w:sz="4" w:space="0" w:color="auto"/>
            </w:tcBorders>
            <w:noWrap/>
            <w:vAlign w:val="center"/>
          </w:tcPr>
          <w:p w14:paraId="434BF5F5"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15,38%</w:t>
            </w:r>
          </w:p>
        </w:tc>
        <w:tc>
          <w:tcPr>
            <w:tcW w:w="1817" w:type="dxa"/>
            <w:tcBorders>
              <w:top w:val="single" w:sz="4" w:space="0" w:color="auto"/>
              <w:left w:val="single" w:sz="4" w:space="0" w:color="auto"/>
              <w:bottom w:val="single" w:sz="4" w:space="0" w:color="auto"/>
              <w:right w:val="single" w:sz="4" w:space="0" w:color="auto"/>
            </w:tcBorders>
            <w:noWrap/>
            <w:vAlign w:val="center"/>
          </w:tcPr>
          <w:p w14:paraId="5427803C"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34,62%</w:t>
            </w:r>
          </w:p>
        </w:tc>
        <w:tc>
          <w:tcPr>
            <w:tcW w:w="1632" w:type="dxa"/>
            <w:tcBorders>
              <w:top w:val="single" w:sz="4" w:space="0" w:color="auto"/>
              <w:left w:val="single" w:sz="4" w:space="0" w:color="auto"/>
              <w:bottom w:val="single" w:sz="4" w:space="0" w:color="auto"/>
              <w:right w:val="single" w:sz="4" w:space="0" w:color="auto"/>
            </w:tcBorders>
            <w:noWrap/>
            <w:vAlign w:val="center"/>
          </w:tcPr>
          <w:p w14:paraId="0A6F5B89"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30,77%</w:t>
            </w:r>
          </w:p>
        </w:tc>
      </w:tr>
      <w:tr w:rsidR="00980BAE" w:rsidRPr="00F569AE" w14:paraId="436DA226"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32DE352B" w14:textId="77777777" w:rsidR="00980BAE" w:rsidRPr="00F569AE" w:rsidRDefault="00980BAE" w:rsidP="00A5744A">
            <w:pPr>
              <w:rPr>
                <w:rFonts w:ascii="Calibri" w:hAnsi="Calibri"/>
                <w:color w:val="000000"/>
                <w:lang w:val="en-US"/>
              </w:rPr>
            </w:pPr>
            <w:r w:rsidRPr="00F569AE">
              <w:rPr>
                <w:rFonts w:ascii="Calibri" w:hAnsi="Calibri"/>
                <w:color w:val="000000"/>
                <w:lang w:val="en-US"/>
              </w:rPr>
              <w:t>3.</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11AA9468"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Busovača </w:t>
            </w:r>
          </w:p>
        </w:tc>
        <w:tc>
          <w:tcPr>
            <w:tcW w:w="1725" w:type="dxa"/>
            <w:tcBorders>
              <w:top w:val="single" w:sz="4" w:space="0" w:color="auto"/>
              <w:left w:val="single" w:sz="4" w:space="0" w:color="auto"/>
              <w:bottom w:val="single" w:sz="4" w:space="0" w:color="auto"/>
              <w:right w:val="single" w:sz="4" w:space="0" w:color="auto"/>
            </w:tcBorders>
            <w:noWrap/>
            <w:vAlign w:val="center"/>
          </w:tcPr>
          <w:p w14:paraId="580C0ED4"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5,56%</w:t>
            </w:r>
          </w:p>
        </w:tc>
        <w:tc>
          <w:tcPr>
            <w:tcW w:w="1817" w:type="dxa"/>
            <w:tcBorders>
              <w:top w:val="single" w:sz="4" w:space="0" w:color="auto"/>
              <w:left w:val="single" w:sz="4" w:space="0" w:color="auto"/>
              <w:bottom w:val="single" w:sz="4" w:space="0" w:color="auto"/>
              <w:right w:val="single" w:sz="4" w:space="0" w:color="auto"/>
            </w:tcBorders>
            <w:noWrap/>
            <w:vAlign w:val="center"/>
          </w:tcPr>
          <w:p w14:paraId="61A1CBEE"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5,56%</w:t>
            </w:r>
          </w:p>
        </w:tc>
        <w:tc>
          <w:tcPr>
            <w:tcW w:w="1632" w:type="dxa"/>
            <w:tcBorders>
              <w:top w:val="single" w:sz="4" w:space="0" w:color="auto"/>
              <w:left w:val="single" w:sz="4" w:space="0" w:color="auto"/>
              <w:bottom w:val="single" w:sz="4" w:space="0" w:color="auto"/>
              <w:right w:val="single" w:sz="4" w:space="0" w:color="auto"/>
            </w:tcBorders>
            <w:noWrap/>
            <w:vAlign w:val="center"/>
          </w:tcPr>
          <w:p w14:paraId="17195F67"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16,67%</w:t>
            </w:r>
          </w:p>
        </w:tc>
      </w:tr>
      <w:tr w:rsidR="00980BAE" w:rsidRPr="00F569AE" w14:paraId="7A3DC3E2"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5FF25A54" w14:textId="77777777" w:rsidR="00980BAE" w:rsidRPr="00F569AE" w:rsidRDefault="00980BAE" w:rsidP="00A5744A">
            <w:pPr>
              <w:rPr>
                <w:rFonts w:ascii="Calibri" w:hAnsi="Calibri"/>
                <w:color w:val="000000"/>
                <w:lang w:val="en-US"/>
              </w:rPr>
            </w:pPr>
            <w:r w:rsidRPr="00F569AE">
              <w:rPr>
                <w:rFonts w:ascii="Calibri" w:hAnsi="Calibri"/>
                <w:color w:val="000000"/>
                <w:lang w:val="en-US"/>
              </w:rPr>
              <w:t>4.</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6F803024"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Čapljina </w:t>
            </w:r>
          </w:p>
        </w:tc>
        <w:tc>
          <w:tcPr>
            <w:tcW w:w="1725" w:type="dxa"/>
            <w:tcBorders>
              <w:top w:val="single" w:sz="4" w:space="0" w:color="auto"/>
              <w:left w:val="single" w:sz="4" w:space="0" w:color="auto"/>
              <w:bottom w:val="single" w:sz="4" w:space="0" w:color="auto"/>
              <w:right w:val="single" w:sz="4" w:space="0" w:color="auto"/>
            </w:tcBorders>
            <w:noWrap/>
            <w:vAlign w:val="center"/>
          </w:tcPr>
          <w:p w14:paraId="23C3B6F0"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25,00%</w:t>
            </w:r>
          </w:p>
        </w:tc>
        <w:tc>
          <w:tcPr>
            <w:tcW w:w="1817" w:type="dxa"/>
            <w:tcBorders>
              <w:top w:val="single" w:sz="4" w:space="0" w:color="auto"/>
              <w:left w:val="single" w:sz="4" w:space="0" w:color="auto"/>
              <w:bottom w:val="single" w:sz="4" w:space="0" w:color="auto"/>
              <w:right w:val="single" w:sz="4" w:space="0" w:color="auto"/>
            </w:tcBorders>
            <w:noWrap/>
            <w:vAlign w:val="center"/>
          </w:tcPr>
          <w:p w14:paraId="264DD135"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62,50%</w:t>
            </w:r>
          </w:p>
        </w:tc>
        <w:tc>
          <w:tcPr>
            <w:tcW w:w="1632" w:type="dxa"/>
            <w:tcBorders>
              <w:top w:val="single" w:sz="4" w:space="0" w:color="auto"/>
              <w:left w:val="single" w:sz="4" w:space="0" w:color="auto"/>
              <w:bottom w:val="single" w:sz="4" w:space="0" w:color="auto"/>
              <w:right w:val="single" w:sz="4" w:space="0" w:color="auto"/>
            </w:tcBorders>
            <w:noWrap/>
            <w:vAlign w:val="center"/>
          </w:tcPr>
          <w:p w14:paraId="125FA4B1"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75,00%</w:t>
            </w:r>
          </w:p>
        </w:tc>
      </w:tr>
      <w:tr w:rsidR="00980BAE" w:rsidRPr="00F569AE" w14:paraId="58BDBC4A"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2E90AE0A" w14:textId="77777777" w:rsidR="00980BAE" w:rsidRPr="00F569AE" w:rsidRDefault="00980BAE" w:rsidP="00A5744A">
            <w:pPr>
              <w:rPr>
                <w:rFonts w:ascii="Calibri" w:hAnsi="Calibri"/>
                <w:color w:val="000000"/>
                <w:lang w:val="en-US"/>
              </w:rPr>
            </w:pPr>
            <w:r w:rsidRPr="00F569AE">
              <w:rPr>
                <w:rFonts w:ascii="Calibri" w:hAnsi="Calibri"/>
                <w:color w:val="000000"/>
                <w:lang w:val="en-US"/>
              </w:rPr>
              <w:t>5.</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7F716F8D"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Bihać </w:t>
            </w:r>
          </w:p>
        </w:tc>
        <w:tc>
          <w:tcPr>
            <w:tcW w:w="1725" w:type="dxa"/>
            <w:tcBorders>
              <w:top w:val="single" w:sz="4" w:space="0" w:color="auto"/>
              <w:left w:val="single" w:sz="4" w:space="0" w:color="auto"/>
              <w:bottom w:val="single" w:sz="4" w:space="0" w:color="auto"/>
              <w:right w:val="single" w:sz="4" w:space="0" w:color="auto"/>
            </w:tcBorders>
            <w:noWrap/>
            <w:vAlign w:val="center"/>
          </w:tcPr>
          <w:p w14:paraId="3DD15DB9"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53,85%</w:t>
            </w:r>
          </w:p>
        </w:tc>
        <w:tc>
          <w:tcPr>
            <w:tcW w:w="1817" w:type="dxa"/>
            <w:tcBorders>
              <w:top w:val="single" w:sz="4" w:space="0" w:color="auto"/>
              <w:left w:val="single" w:sz="4" w:space="0" w:color="auto"/>
              <w:bottom w:val="single" w:sz="4" w:space="0" w:color="auto"/>
              <w:right w:val="single" w:sz="4" w:space="0" w:color="auto"/>
            </w:tcBorders>
            <w:noWrap/>
            <w:vAlign w:val="center"/>
          </w:tcPr>
          <w:p w14:paraId="24055275"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61,54%</w:t>
            </w:r>
          </w:p>
        </w:tc>
        <w:tc>
          <w:tcPr>
            <w:tcW w:w="1632" w:type="dxa"/>
            <w:tcBorders>
              <w:top w:val="single" w:sz="4" w:space="0" w:color="auto"/>
              <w:left w:val="single" w:sz="4" w:space="0" w:color="auto"/>
              <w:bottom w:val="single" w:sz="4" w:space="0" w:color="auto"/>
              <w:right w:val="single" w:sz="4" w:space="0" w:color="auto"/>
            </w:tcBorders>
            <w:noWrap/>
            <w:vAlign w:val="center"/>
          </w:tcPr>
          <w:p w14:paraId="7B391A95"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76,92%</w:t>
            </w:r>
          </w:p>
        </w:tc>
      </w:tr>
      <w:tr w:rsidR="00980BAE" w:rsidRPr="00F569AE" w14:paraId="59DD1FDF"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01ED4DF6" w14:textId="77777777" w:rsidR="00980BAE" w:rsidRPr="00F569AE" w:rsidRDefault="00980BAE" w:rsidP="00A5744A">
            <w:pPr>
              <w:rPr>
                <w:rFonts w:ascii="Calibri" w:hAnsi="Calibri"/>
                <w:color w:val="000000"/>
                <w:lang w:val="en-US"/>
              </w:rPr>
            </w:pPr>
            <w:r w:rsidRPr="00F569AE">
              <w:rPr>
                <w:rFonts w:ascii="Calibri" w:hAnsi="Calibri"/>
                <w:color w:val="000000"/>
                <w:lang w:val="en-US"/>
              </w:rPr>
              <w:t>6.</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07D47923"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Čelinac </w:t>
            </w:r>
          </w:p>
        </w:tc>
        <w:tc>
          <w:tcPr>
            <w:tcW w:w="1725" w:type="dxa"/>
            <w:tcBorders>
              <w:top w:val="single" w:sz="4" w:space="0" w:color="auto"/>
              <w:left w:val="single" w:sz="4" w:space="0" w:color="auto"/>
              <w:bottom w:val="single" w:sz="4" w:space="0" w:color="auto"/>
              <w:right w:val="single" w:sz="4" w:space="0" w:color="auto"/>
            </w:tcBorders>
            <w:noWrap/>
            <w:vAlign w:val="center"/>
          </w:tcPr>
          <w:p w14:paraId="7D37F1FB"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23,08%</w:t>
            </w:r>
          </w:p>
        </w:tc>
        <w:tc>
          <w:tcPr>
            <w:tcW w:w="1817" w:type="dxa"/>
            <w:tcBorders>
              <w:top w:val="single" w:sz="4" w:space="0" w:color="auto"/>
              <w:left w:val="single" w:sz="4" w:space="0" w:color="auto"/>
              <w:bottom w:val="single" w:sz="4" w:space="0" w:color="auto"/>
              <w:right w:val="single" w:sz="4" w:space="0" w:color="auto"/>
            </w:tcBorders>
            <w:noWrap/>
            <w:vAlign w:val="center"/>
          </w:tcPr>
          <w:p w14:paraId="664B18D7"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26,92%</w:t>
            </w:r>
          </w:p>
        </w:tc>
        <w:tc>
          <w:tcPr>
            <w:tcW w:w="1632" w:type="dxa"/>
            <w:tcBorders>
              <w:top w:val="single" w:sz="4" w:space="0" w:color="auto"/>
              <w:left w:val="single" w:sz="4" w:space="0" w:color="auto"/>
              <w:bottom w:val="single" w:sz="4" w:space="0" w:color="auto"/>
              <w:right w:val="single" w:sz="4" w:space="0" w:color="auto"/>
            </w:tcBorders>
            <w:noWrap/>
            <w:vAlign w:val="center"/>
          </w:tcPr>
          <w:p w14:paraId="6A04EBF6"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26,92%</w:t>
            </w:r>
          </w:p>
        </w:tc>
      </w:tr>
      <w:tr w:rsidR="00980BAE" w:rsidRPr="00F569AE" w14:paraId="5F731758"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131C903F" w14:textId="77777777" w:rsidR="00980BAE" w:rsidRPr="00F569AE" w:rsidRDefault="00980BAE" w:rsidP="00A5744A">
            <w:pPr>
              <w:rPr>
                <w:rFonts w:ascii="Calibri" w:hAnsi="Calibri"/>
                <w:color w:val="000000"/>
                <w:lang w:val="en-US"/>
              </w:rPr>
            </w:pPr>
            <w:r w:rsidRPr="00F569AE">
              <w:rPr>
                <w:rFonts w:ascii="Calibri" w:hAnsi="Calibri"/>
                <w:color w:val="000000"/>
                <w:lang w:val="en-US"/>
              </w:rPr>
              <w:t>7.</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49D67962"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Čitluk </w:t>
            </w:r>
          </w:p>
        </w:tc>
        <w:tc>
          <w:tcPr>
            <w:tcW w:w="1725" w:type="dxa"/>
            <w:tcBorders>
              <w:top w:val="single" w:sz="4" w:space="0" w:color="auto"/>
              <w:left w:val="single" w:sz="4" w:space="0" w:color="auto"/>
              <w:bottom w:val="single" w:sz="4" w:space="0" w:color="auto"/>
              <w:right w:val="single" w:sz="4" w:space="0" w:color="auto"/>
            </w:tcBorders>
            <w:noWrap/>
            <w:vAlign w:val="center"/>
          </w:tcPr>
          <w:p w14:paraId="43FB7CCB"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17,24%</w:t>
            </w:r>
          </w:p>
        </w:tc>
        <w:tc>
          <w:tcPr>
            <w:tcW w:w="1817" w:type="dxa"/>
            <w:tcBorders>
              <w:top w:val="single" w:sz="4" w:space="0" w:color="auto"/>
              <w:left w:val="single" w:sz="4" w:space="0" w:color="auto"/>
              <w:bottom w:val="single" w:sz="4" w:space="0" w:color="auto"/>
              <w:right w:val="single" w:sz="4" w:space="0" w:color="auto"/>
            </w:tcBorders>
            <w:noWrap/>
            <w:vAlign w:val="center"/>
          </w:tcPr>
          <w:p w14:paraId="21EF4992"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20,69%</w:t>
            </w:r>
          </w:p>
        </w:tc>
        <w:tc>
          <w:tcPr>
            <w:tcW w:w="1632" w:type="dxa"/>
            <w:tcBorders>
              <w:top w:val="single" w:sz="4" w:space="0" w:color="auto"/>
              <w:left w:val="single" w:sz="4" w:space="0" w:color="auto"/>
              <w:bottom w:val="single" w:sz="4" w:space="0" w:color="auto"/>
              <w:right w:val="single" w:sz="4" w:space="0" w:color="auto"/>
            </w:tcBorders>
            <w:noWrap/>
            <w:vAlign w:val="center"/>
          </w:tcPr>
          <w:p w14:paraId="73E62700" w14:textId="77777777" w:rsidR="00980BAE" w:rsidRPr="00F569AE" w:rsidRDefault="00980BAE" w:rsidP="00A5744A">
            <w:pPr>
              <w:jc w:val="center"/>
              <w:rPr>
                <w:rFonts w:ascii="Calibri" w:hAnsi="Calibri"/>
                <w:color w:val="FF0000"/>
                <w:lang w:val="en-US"/>
              </w:rPr>
            </w:pPr>
            <w:r w:rsidRPr="00F569AE">
              <w:rPr>
                <w:rFonts w:ascii="Calibri" w:hAnsi="Calibri"/>
                <w:color w:val="FF0000"/>
                <w:lang w:val="en-US"/>
              </w:rPr>
              <w:t>0,00%</w:t>
            </w:r>
          </w:p>
        </w:tc>
      </w:tr>
      <w:tr w:rsidR="00980BAE" w:rsidRPr="00F569AE" w14:paraId="0AB59765"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5D537DD5" w14:textId="77777777" w:rsidR="00980BAE" w:rsidRPr="00F569AE" w:rsidRDefault="00980BAE" w:rsidP="00A5744A">
            <w:pPr>
              <w:rPr>
                <w:rFonts w:ascii="Calibri" w:hAnsi="Calibri"/>
                <w:color w:val="000000"/>
                <w:lang w:val="en-US"/>
              </w:rPr>
            </w:pPr>
            <w:r w:rsidRPr="00F569AE">
              <w:rPr>
                <w:rFonts w:ascii="Calibri" w:hAnsi="Calibri"/>
                <w:color w:val="000000"/>
                <w:lang w:val="en-US"/>
              </w:rPr>
              <w:t>8.</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670F3FAD"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Doboj Istok </w:t>
            </w:r>
          </w:p>
        </w:tc>
        <w:tc>
          <w:tcPr>
            <w:tcW w:w="1725" w:type="dxa"/>
            <w:tcBorders>
              <w:top w:val="single" w:sz="4" w:space="0" w:color="auto"/>
              <w:left w:val="single" w:sz="4" w:space="0" w:color="auto"/>
              <w:bottom w:val="single" w:sz="4" w:space="0" w:color="auto"/>
              <w:right w:val="single" w:sz="4" w:space="0" w:color="auto"/>
            </w:tcBorders>
            <w:noWrap/>
            <w:vAlign w:val="center"/>
          </w:tcPr>
          <w:p w14:paraId="4F0AADE2"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31,03%</w:t>
            </w:r>
          </w:p>
        </w:tc>
        <w:tc>
          <w:tcPr>
            <w:tcW w:w="1817" w:type="dxa"/>
            <w:tcBorders>
              <w:top w:val="single" w:sz="4" w:space="0" w:color="auto"/>
              <w:left w:val="single" w:sz="4" w:space="0" w:color="auto"/>
              <w:bottom w:val="single" w:sz="4" w:space="0" w:color="auto"/>
              <w:right w:val="single" w:sz="4" w:space="0" w:color="auto"/>
            </w:tcBorders>
            <w:noWrap/>
            <w:vAlign w:val="center"/>
          </w:tcPr>
          <w:p w14:paraId="67BD8F5D"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37,93%</w:t>
            </w:r>
          </w:p>
        </w:tc>
        <w:tc>
          <w:tcPr>
            <w:tcW w:w="1632" w:type="dxa"/>
            <w:tcBorders>
              <w:top w:val="single" w:sz="4" w:space="0" w:color="auto"/>
              <w:left w:val="single" w:sz="4" w:space="0" w:color="auto"/>
              <w:bottom w:val="single" w:sz="4" w:space="0" w:color="auto"/>
              <w:right w:val="single" w:sz="4" w:space="0" w:color="auto"/>
            </w:tcBorders>
            <w:noWrap/>
            <w:vAlign w:val="center"/>
          </w:tcPr>
          <w:p w14:paraId="6E31E1F0"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44,83%</w:t>
            </w:r>
          </w:p>
        </w:tc>
      </w:tr>
      <w:tr w:rsidR="00980BAE" w:rsidRPr="00F569AE" w14:paraId="31B86A3D"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737DC40C" w14:textId="77777777" w:rsidR="00980BAE" w:rsidRPr="00F569AE" w:rsidRDefault="00980BAE" w:rsidP="00A5744A">
            <w:pPr>
              <w:rPr>
                <w:rFonts w:ascii="Calibri" w:hAnsi="Calibri"/>
                <w:color w:val="000000"/>
                <w:lang w:val="en-US"/>
              </w:rPr>
            </w:pPr>
            <w:r w:rsidRPr="00F569AE">
              <w:rPr>
                <w:rFonts w:ascii="Calibri" w:hAnsi="Calibri"/>
                <w:color w:val="000000"/>
                <w:lang w:val="en-US"/>
              </w:rPr>
              <w:t>9.</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3AD6EFB4"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Gračanica </w:t>
            </w:r>
          </w:p>
        </w:tc>
        <w:tc>
          <w:tcPr>
            <w:tcW w:w="1725" w:type="dxa"/>
            <w:tcBorders>
              <w:top w:val="single" w:sz="4" w:space="0" w:color="auto"/>
              <w:left w:val="single" w:sz="4" w:space="0" w:color="auto"/>
              <w:bottom w:val="single" w:sz="4" w:space="0" w:color="auto"/>
              <w:right w:val="single" w:sz="4" w:space="0" w:color="auto"/>
            </w:tcBorders>
            <w:noWrap/>
            <w:vAlign w:val="center"/>
          </w:tcPr>
          <w:p w14:paraId="62B6A315"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61,11%</w:t>
            </w:r>
          </w:p>
        </w:tc>
        <w:tc>
          <w:tcPr>
            <w:tcW w:w="1817" w:type="dxa"/>
            <w:tcBorders>
              <w:top w:val="single" w:sz="4" w:space="0" w:color="auto"/>
              <w:left w:val="single" w:sz="4" w:space="0" w:color="auto"/>
              <w:bottom w:val="single" w:sz="4" w:space="0" w:color="auto"/>
              <w:right w:val="single" w:sz="4" w:space="0" w:color="auto"/>
            </w:tcBorders>
            <w:noWrap/>
            <w:vAlign w:val="center"/>
          </w:tcPr>
          <w:p w14:paraId="139B3C8A"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66,67%</w:t>
            </w:r>
          </w:p>
        </w:tc>
        <w:tc>
          <w:tcPr>
            <w:tcW w:w="1632" w:type="dxa"/>
            <w:tcBorders>
              <w:top w:val="single" w:sz="4" w:space="0" w:color="auto"/>
              <w:left w:val="single" w:sz="4" w:space="0" w:color="auto"/>
              <w:bottom w:val="single" w:sz="4" w:space="0" w:color="auto"/>
              <w:right w:val="single" w:sz="4" w:space="0" w:color="auto"/>
            </w:tcBorders>
            <w:noWrap/>
            <w:vAlign w:val="center"/>
          </w:tcPr>
          <w:p w14:paraId="456E40CA"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94,44%</w:t>
            </w:r>
          </w:p>
        </w:tc>
      </w:tr>
      <w:tr w:rsidR="00980BAE" w:rsidRPr="00F569AE" w14:paraId="54006568"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0AD06C5F" w14:textId="77777777" w:rsidR="00980BAE" w:rsidRPr="00F569AE" w:rsidRDefault="00980BAE" w:rsidP="00A5744A">
            <w:pPr>
              <w:rPr>
                <w:rFonts w:ascii="Calibri" w:hAnsi="Calibri"/>
                <w:color w:val="000000"/>
                <w:lang w:val="en-US"/>
              </w:rPr>
            </w:pPr>
            <w:r w:rsidRPr="00F569AE">
              <w:rPr>
                <w:rFonts w:ascii="Calibri" w:hAnsi="Calibri"/>
                <w:color w:val="000000"/>
                <w:lang w:val="en-US"/>
              </w:rPr>
              <w:t>10.</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78DA338D"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Gradiška </w:t>
            </w:r>
          </w:p>
        </w:tc>
        <w:tc>
          <w:tcPr>
            <w:tcW w:w="1725" w:type="dxa"/>
            <w:tcBorders>
              <w:top w:val="single" w:sz="4" w:space="0" w:color="auto"/>
              <w:left w:val="single" w:sz="4" w:space="0" w:color="auto"/>
              <w:bottom w:val="single" w:sz="4" w:space="0" w:color="auto"/>
              <w:right w:val="single" w:sz="4" w:space="0" w:color="auto"/>
            </w:tcBorders>
            <w:noWrap/>
            <w:vAlign w:val="center"/>
          </w:tcPr>
          <w:p w14:paraId="65F8AD85"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71,43%</w:t>
            </w:r>
          </w:p>
        </w:tc>
        <w:tc>
          <w:tcPr>
            <w:tcW w:w="1817" w:type="dxa"/>
            <w:tcBorders>
              <w:top w:val="single" w:sz="4" w:space="0" w:color="auto"/>
              <w:left w:val="single" w:sz="4" w:space="0" w:color="auto"/>
              <w:bottom w:val="single" w:sz="4" w:space="0" w:color="auto"/>
              <w:right w:val="single" w:sz="4" w:space="0" w:color="auto"/>
            </w:tcBorders>
            <w:noWrap/>
            <w:vAlign w:val="center"/>
          </w:tcPr>
          <w:p w14:paraId="1025A68E"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71,43%</w:t>
            </w:r>
          </w:p>
        </w:tc>
        <w:tc>
          <w:tcPr>
            <w:tcW w:w="1632" w:type="dxa"/>
            <w:tcBorders>
              <w:top w:val="single" w:sz="4" w:space="0" w:color="auto"/>
              <w:left w:val="single" w:sz="4" w:space="0" w:color="auto"/>
              <w:bottom w:val="single" w:sz="4" w:space="0" w:color="auto"/>
              <w:right w:val="single" w:sz="4" w:space="0" w:color="auto"/>
            </w:tcBorders>
            <w:noWrap/>
            <w:vAlign w:val="center"/>
          </w:tcPr>
          <w:p w14:paraId="0F7343E5"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100,00%</w:t>
            </w:r>
          </w:p>
        </w:tc>
      </w:tr>
      <w:tr w:rsidR="00980BAE" w:rsidRPr="00F569AE" w14:paraId="0EB78B87"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2E3F2FFB" w14:textId="77777777" w:rsidR="00980BAE" w:rsidRPr="00F569AE" w:rsidRDefault="00980BAE" w:rsidP="00A5744A">
            <w:pPr>
              <w:rPr>
                <w:rFonts w:ascii="Calibri" w:hAnsi="Calibri"/>
                <w:color w:val="000000"/>
                <w:lang w:val="en-US"/>
              </w:rPr>
            </w:pPr>
            <w:r w:rsidRPr="00F569AE">
              <w:rPr>
                <w:rFonts w:ascii="Calibri" w:hAnsi="Calibri"/>
                <w:color w:val="000000"/>
                <w:lang w:val="en-US"/>
              </w:rPr>
              <w:t>11.</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49208AEC"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Istočno Novo Sarajevo </w:t>
            </w:r>
          </w:p>
        </w:tc>
        <w:tc>
          <w:tcPr>
            <w:tcW w:w="1725" w:type="dxa"/>
            <w:tcBorders>
              <w:top w:val="single" w:sz="4" w:space="0" w:color="auto"/>
              <w:left w:val="single" w:sz="4" w:space="0" w:color="auto"/>
              <w:bottom w:val="single" w:sz="4" w:space="0" w:color="auto"/>
              <w:right w:val="single" w:sz="4" w:space="0" w:color="auto"/>
            </w:tcBorders>
            <w:noWrap/>
            <w:vAlign w:val="center"/>
          </w:tcPr>
          <w:p w14:paraId="007E584E"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9,52%</w:t>
            </w:r>
          </w:p>
        </w:tc>
        <w:tc>
          <w:tcPr>
            <w:tcW w:w="1817" w:type="dxa"/>
            <w:tcBorders>
              <w:top w:val="single" w:sz="4" w:space="0" w:color="auto"/>
              <w:left w:val="single" w:sz="4" w:space="0" w:color="auto"/>
              <w:bottom w:val="single" w:sz="4" w:space="0" w:color="auto"/>
              <w:right w:val="single" w:sz="4" w:space="0" w:color="auto"/>
            </w:tcBorders>
            <w:noWrap/>
            <w:vAlign w:val="center"/>
          </w:tcPr>
          <w:p w14:paraId="0A0E5047"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19,05%</w:t>
            </w:r>
          </w:p>
        </w:tc>
        <w:tc>
          <w:tcPr>
            <w:tcW w:w="1632" w:type="dxa"/>
            <w:tcBorders>
              <w:top w:val="single" w:sz="4" w:space="0" w:color="auto"/>
              <w:left w:val="single" w:sz="4" w:space="0" w:color="auto"/>
              <w:bottom w:val="single" w:sz="4" w:space="0" w:color="auto"/>
              <w:right w:val="single" w:sz="4" w:space="0" w:color="auto"/>
            </w:tcBorders>
            <w:noWrap/>
            <w:vAlign w:val="center"/>
          </w:tcPr>
          <w:p w14:paraId="622A6026"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90,48%</w:t>
            </w:r>
          </w:p>
        </w:tc>
      </w:tr>
      <w:tr w:rsidR="00980BAE" w:rsidRPr="00F569AE" w14:paraId="431C1E89"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327083A0" w14:textId="77777777" w:rsidR="00980BAE" w:rsidRPr="00F569AE" w:rsidRDefault="00980BAE" w:rsidP="00A5744A">
            <w:pPr>
              <w:rPr>
                <w:rFonts w:ascii="Calibri" w:hAnsi="Calibri" w:cs="Arial"/>
                <w:color w:val="000000"/>
                <w:lang w:val="en-US"/>
              </w:rPr>
            </w:pPr>
            <w:r w:rsidRPr="00F569AE">
              <w:rPr>
                <w:rFonts w:ascii="Calibri" w:hAnsi="Calibri" w:cs="Arial"/>
                <w:color w:val="000000"/>
                <w:lang w:val="en-US"/>
              </w:rPr>
              <w:t>12.</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217652D7" w14:textId="77777777" w:rsidR="00980BAE" w:rsidRPr="00F569AE" w:rsidRDefault="00980BAE" w:rsidP="00A5744A">
            <w:pPr>
              <w:rPr>
                <w:rFonts w:ascii="Calibri" w:hAnsi="Calibri" w:cs="Arial"/>
                <w:color w:val="000000"/>
                <w:lang w:val="en-US"/>
              </w:rPr>
            </w:pPr>
            <w:r w:rsidRPr="00F569AE">
              <w:rPr>
                <w:rFonts w:ascii="Calibri" w:hAnsi="Calibri" w:cs="Arial"/>
                <w:color w:val="000000"/>
                <w:lang w:val="en-US"/>
              </w:rPr>
              <w:t xml:space="preserve">Ilijas </w:t>
            </w:r>
          </w:p>
        </w:tc>
        <w:tc>
          <w:tcPr>
            <w:tcW w:w="1725" w:type="dxa"/>
            <w:tcBorders>
              <w:top w:val="single" w:sz="4" w:space="0" w:color="auto"/>
              <w:left w:val="single" w:sz="4" w:space="0" w:color="auto"/>
              <w:bottom w:val="single" w:sz="4" w:space="0" w:color="auto"/>
              <w:right w:val="single" w:sz="4" w:space="0" w:color="auto"/>
            </w:tcBorders>
            <w:noWrap/>
            <w:vAlign w:val="center"/>
          </w:tcPr>
          <w:p w14:paraId="5354C10B" w14:textId="77777777" w:rsidR="00980BAE" w:rsidRPr="00F569AE" w:rsidRDefault="00980BAE" w:rsidP="00A5744A">
            <w:pPr>
              <w:jc w:val="center"/>
              <w:rPr>
                <w:rFonts w:ascii="Calibri" w:hAnsi="Calibri" w:cs="Arial"/>
                <w:color w:val="000000"/>
                <w:lang w:val="en-US"/>
              </w:rPr>
            </w:pPr>
            <w:r w:rsidRPr="00F569AE">
              <w:rPr>
                <w:rFonts w:ascii="Calibri" w:hAnsi="Calibri" w:cs="Arial"/>
                <w:color w:val="000000"/>
                <w:lang w:val="en-US"/>
              </w:rPr>
              <w:t>23,81%</w:t>
            </w:r>
          </w:p>
        </w:tc>
        <w:tc>
          <w:tcPr>
            <w:tcW w:w="1817" w:type="dxa"/>
            <w:tcBorders>
              <w:top w:val="single" w:sz="4" w:space="0" w:color="auto"/>
              <w:left w:val="single" w:sz="4" w:space="0" w:color="auto"/>
              <w:bottom w:val="single" w:sz="4" w:space="0" w:color="auto"/>
              <w:right w:val="single" w:sz="4" w:space="0" w:color="auto"/>
            </w:tcBorders>
            <w:noWrap/>
            <w:vAlign w:val="center"/>
          </w:tcPr>
          <w:p w14:paraId="757EB303" w14:textId="77777777" w:rsidR="00980BAE" w:rsidRPr="00F569AE" w:rsidRDefault="00980BAE" w:rsidP="00A5744A">
            <w:pPr>
              <w:jc w:val="center"/>
              <w:rPr>
                <w:rFonts w:ascii="Calibri" w:hAnsi="Calibri" w:cs="Arial"/>
                <w:color w:val="000000"/>
                <w:lang w:val="en-US"/>
              </w:rPr>
            </w:pPr>
            <w:r w:rsidRPr="00F569AE">
              <w:rPr>
                <w:rFonts w:ascii="Calibri" w:hAnsi="Calibri" w:cs="Arial"/>
                <w:color w:val="000000"/>
                <w:lang w:val="en-US"/>
              </w:rPr>
              <w:t>71,43%</w:t>
            </w:r>
          </w:p>
        </w:tc>
        <w:tc>
          <w:tcPr>
            <w:tcW w:w="1632" w:type="dxa"/>
            <w:tcBorders>
              <w:top w:val="single" w:sz="4" w:space="0" w:color="auto"/>
              <w:left w:val="single" w:sz="4" w:space="0" w:color="auto"/>
              <w:bottom w:val="single" w:sz="4" w:space="0" w:color="auto"/>
              <w:right w:val="single" w:sz="4" w:space="0" w:color="auto"/>
            </w:tcBorders>
            <w:noWrap/>
            <w:vAlign w:val="center"/>
          </w:tcPr>
          <w:p w14:paraId="18A66923" w14:textId="77777777" w:rsidR="00980BAE" w:rsidRPr="00F569AE" w:rsidRDefault="00980BAE" w:rsidP="00A5744A">
            <w:pPr>
              <w:jc w:val="center"/>
              <w:rPr>
                <w:rFonts w:ascii="Calibri" w:hAnsi="Calibri" w:cs="Arial"/>
                <w:color w:val="000000"/>
                <w:lang w:val="en-US"/>
              </w:rPr>
            </w:pPr>
            <w:r w:rsidRPr="00F569AE">
              <w:rPr>
                <w:rFonts w:ascii="Calibri" w:hAnsi="Calibri" w:cs="Arial"/>
                <w:color w:val="000000"/>
                <w:lang w:val="en-US"/>
              </w:rPr>
              <w:t>90,48%</w:t>
            </w:r>
          </w:p>
        </w:tc>
      </w:tr>
      <w:tr w:rsidR="00980BAE" w:rsidRPr="00F569AE" w14:paraId="42CFAB2B"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28CC37CD" w14:textId="77777777" w:rsidR="00980BAE" w:rsidRPr="00F569AE" w:rsidRDefault="00980BAE" w:rsidP="00A5744A">
            <w:pPr>
              <w:rPr>
                <w:rFonts w:ascii="Calibri" w:hAnsi="Calibri"/>
                <w:color w:val="000000"/>
                <w:lang w:val="en-US"/>
              </w:rPr>
            </w:pPr>
            <w:r w:rsidRPr="00F569AE">
              <w:rPr>
                <w:rFonts w:ascii="Calibri" w:hAnsi="Calibri"/>
                <w:color w:val="000000"/>
                <w:lang w:val="en-US"/>
              </w:rPr>
              <w:t>13.</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3D8578A2"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Laktasi </w:t>
            </w:r>
          </w:p>
        </w:tc>
        <w:tc>
          <w:tcPr>
            <w:tcW w:w="1725" w:type="dxa"/>
            <w:tcBorders>
              <w:top w:val="single" w:sz="4" w:space="0" w:color="auto"/>
              <w:left w:val="single" w:sz="4" w:space="0" w:color="auto"/>
              <w:bottom w:val="single" w:sz="4" w:space="0" w:color="auto"/>
              <w:right w:val="single" w:sz="4" w:space="0" w:color="auto"/>
            </w:tcBorders>
            <w:noWrap/>
            <w:vAlign w:val="center"/>
          </w:tcPr>
          <w:p w14:paraId="4471AB6E"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42,86%</w:t>
            </w:r>
          </w:p>
        </w:tc>
        <w:tc>
          <w:tcPr>
            <w:tcW w:w="1817" w:type="dxa"/>
            <w:tcBorders>
              <w:top w:val="single" w:sz="4" w:space="0" w:color="auto"/>
              <w:left w:val="single" w:sz="4" w:space="0" w:color="auto"/>
              <w:bottom w:val="single" w:sz="4" w:space="0" w:color="auto"/>
              <w:right w:val="single" w:sz="4" w:space="0" w:color="auto"/>
            </w:tcBorders>
            <w:noWrap/>
            <w:vAlign w:val="center"/>
          </w:tcPr>
          <w:p w14:paraId="57CA66DD"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47,62%</w:t>
            </w:r>
          </w:p>
        </w:tc>
        <w:tc>
          <w:tcPr>
            <w:tcW w:w="1632" w:type="dxa"/>
            <w:tcBorders>
              <w:top w:val="single" w:sz="4" w:space="0" w:color="auto"/>
              <w:left w:val="single" w:sz="4" w:space="0" w:color="auto"/>
              <w:bottom w:val="single" w:sz="4" w:space="0" w:color="auto"/>
              <w:right w:val="single" w:sz="4" w:space="0" w:color="auto"/>
            </w:tcBorders>
            <w:noWrap/>
            <w:vAlign w:val="center"/>
          </w:tcPr>
          <w:p w14:paraId="0AD90634"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76,19%</w:t>
            </w:r>
          </w:p>
        </w:tc>
      </w:tr>
      <w:tr w:rsidR="00980BAE" w:rsidRPr="00F569AE" w14:paraId="31B13AF5"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33E665E4" w14:textId="77777777" w:rsidR="00980BAE" w:rsidRPr="00F569AE" w:rsidRDefault="00980BAE" w:rsidP="00A5744A">
            <w:pPr>
              <w:rPr>
                <w:rFonts w:ascii="Calibri" w:hAnsi="Calibri"/>
                <w:color w:val="000000"/>
                <w:lang w:val="en-US"/>
              </w:rPr>
            </w:pPr>
            <w:r w:rsidRPr="00F569AE">
              <w:rPr>
                <w:rFonts w:ascii="Calibri" w:hAnsi="Calibri"/>
                <w:color w:val="000000"/>
                <w:lang w:val="en-US"/>
              </w:rPr>
              <w:t>14.</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28DFAA6E" w14:textId="77777777" w:rsidR="00980BAE" w:rsidRPr="00F569AE" w:rsidRDefault="00980BAE" w:rsidP="00A5744A">
            <w:pPr>
              <w:rPr>
                <w:rFonts w:ascii="Calibri" w:hAnsi="Calibri"/>
                <w:color w:val="000000"/>
                <w:lang w:val="en-US"/>
              </w:rPr>
            </w:pPr>
            <w:r w:rsidRPr="00F569AE">
              <w:rPr>
                <w:rFonts w:ascii="Calibri" w:hAnsi="Calibri"/>
                <w:color w:val="000000"/>
                <w:lang w:val="en-US"/>
              </w:rPr>
              <w:t>Ljubuski</w:t>
            </w:r>
          </w:p>
        </w:tc>
        <w:tc>
          <w:tcPr>
            <w:tcW w:w="1725" w:type="dxa"/>
            <w:tcBorders>
              <w:top w:val="single" w:sz="4" w:space="0" w:color="auto"/>
              <w:left w:val="single" w:sz="4" w:space="0" w:color="auto"/>
              <w:bottom w:val="single" w:sz="4" w:space="0" w:color="auto"/>
              <w:right w:val="single" w:sz="4" w:space="0" w:color="auto"/>
            </w:tcBorders>
            <w:noWrap/>
            <w:vAlign w:val="center"/>
          </w:tcPr>
          <w:p w14:paraId="279A0632"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22,22%</w:t>
            </w:r>
          </w:p>
        </w:tc>
        <w:tc>
          <w:tcPr>
            <w:tcW w:w="1817" w:type="dxa"/>
            <w:tcBorders>
              <w:top w:val="single" w:sz="4" w:space="0" w:color="auto"/>
              <w:left w:val="single" w:sz="4" w:space="0" w:color="auto"/>
              <w:bottom w:val="single" w:sz="4" w:space="0" w:color="auto"/>
              <w:right w:val="single" w:sz="4" w:space="0" w:color="auto"/>
            </w:tcBorders>
            <w:noWrap/>
            <w:vAlign w:val="center"/>
          </w:tcPr>
          <w:p w14:paraId="5AEC6389"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22,22%</w:t>
            </w:r>
          </w:p>
        </w:tc>
        <w:tc>
          <w:tcPr>
            <w:tcW w:w="1632" w:type="dxa"/>
            <w:tcBorders>
              <w:top w:val="single" w:sz="4" w:space="0" w:color="auto"/>
              <w:left w:val="single" w:sz="4" w:space="0" w:color="auto"/>
              <w:bottom w:val="single" w:sz="4" w:space="0" w:color="auto"/>
              <w:right w:val="single" w:sz="4" w:space="0" w:color="auto"/>
            </w:tcBorders>
            <w:noWrap/>
            <w:vAlign w:val="center"/>
          </w:tcPr>
          <w:p w14:paraId="39B36187"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44,44%</w:t>
            </w:r>
          </w:p>
        </w:tc>
      </w:tr>
      <w:tr w:rsidR="00980BAE" w:rsidRPr="00F569AE" w14:paraId="0DDD9218"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772F8458" w14:textId="77777777" w:rsidR="00980BAE" w:rsidRPr="00F569AE" w:rsidRDefault="00980BAE" w:rsidP="00A5744A">
            <w:pPr>
              <w:rPr>
                <w:rFonts w:ascii="Calibri" w:hAnsi="Calibri"/>
                <w:color w:val="000000"/>
                <w:lang w:val="en-US"/>
              </w:rPr>
            </w:pPr>
            <w:r w:rsidRPr="00F569AE">
              <w:rPr>
                <w:rFonts w:ascii="Calibri" w:hAnsi="Calibri"/>
                <w:color w:val="000000"/>
                <w:lang w:val="en-US"/>
              </w:rPr>
              <w:t>15.</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74F51EC6" w14:textId="77777777" w:rsidR="00980BAE" w:rsidRPr="00F569AE" w:rsidRDefault="00980BAE" w:rsidP="00A5744A">
            <w:pPr>
              <w:rPr>
                <w:rFonts w:ascii="Calibri" w:hAnsi="Calibri"/>
                <w:color w:val="000000"/>
                <w:lang w:val="en-US"/>
              </w:rPr>
            </w:pPr>
            <w:r w:rsidRPr="00F569AE">
              <w:rPr>
                <w:rFonts w:ascii="Calibri" w:hAnsi="Calibri"/>
                <w:color w:val="000000"/>
                <w:lang w:val="en-US"/>
              </w:rPr>
              <w:t>Mostar</w:t>
            </w:r>
          </w:p>
        </w:tc>
        <w:tc>
          <w:tcPr>
            <w:tcW w:w="1725" w:type="dxa"/>
            <w:tcBorders>
              <w:top w:val="single" w:sz="4" w:space="0" w:color="auto"/>
              <w:left w:val="single" w:sz="4" w:space="0" w:color="auto"/>
              <w:bottom w:val="single" w:sz="4" w:space="0" w:color="auto"/>
              <w:right w:val="single" w:sz="4" w:space="0" w:color="auto"/>
            </w:tcBorders>
            <w:noWrap/>
            <w:vAlign w:val="center"/>
          </w:tcPr>
          <w:p w14:paraId="7AAA870A"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24,14%</w:t>
            </w:r>
          </w:p>
        </w:tc>
        <w:tc>
          <w:tcPr>
            <w:tcW w:w="1817" w:type="dxa"/>
            <w:tcBorders>
              <w:top w:val="single" w:sz="4" w:space="0" w:color="auto"/>
              <w:left w:val="single" w:sz="4" w:space="0" w:color="auto"/>
              <w:bottom w:val="single" w:sz="4" w:space="0" w:color="auto"/>
              <w:right w:val="single" w:sz="4" w:space="0" w:color="auto"/>
            </w:tcBorders>
            <w:noWrap/>
            <w:vAlign w:val="center"/>
          </w:tcPr>
          <w:p w14:paraId="7B0B873C"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48,28%</w:t>
            </w:r>
          </w:p>
        </w:tc>
        <w:tc>
          <w:tcPr>
            <w:tcW w:w="1632" w:type="dxa"/>
            <w:tcBorders>
              <w:top w:val="single" w:sz="4" w:space="0" w:color="auto"/>
              <w:left w:val="single" w:sz="4" w:space="0" w:color="auto"/>
              <w:bottom w:val="single" w:sz="4" w:space="0" w:color="auto"/>
              <w:right w:val="single" w:sz="4" w:space="0" w:color="auto"/>
            </w:tcBorders>
            <w:noWrap/>
            <w:vAlign w:val="center"/>
          </w:tcPr>
          <w:p w14:paraId="04500BB3"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68,97%</w:t>
            </w:r>
          </w:p>
        </w:tc>
      </w:tr>
      <w:tr w:rsidR="00980BAE" w:rsidRPr="00F569AE" w14:paraId="7093DBBC"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083A61D0" w14:textId="77777777" w:rsidR="00980BAE" w:rsidRPr="00F569AE" w:rsidRDefault="00980BAE" w:rsidP="00A5744A">
            <w:pPr>
              <w:rPr>
                <w:rFonts w:ascii="Calibri" w:hAnsi="Calibri"/>
                <w:color w:val="000000"/>
                <w:lang w:val="en-US"/>
              </w:rPr>
            </w:pPr>
            <w:r w:rsidRPr="00F569AE">
              <w:rPr>
                <w:rFonts w:ascii="Calibri" w:hAnsi="Calibri"/>
                <w:color w:val="000000"/>
                <w:lang w:val="en-US"/>
              </w:rPr>
              <w:t>16.</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42C719CA" w14:textId="77777777" w:rsidR="00980BAE" w:rsidRPr="00F569AE" w:rsidRDefault="00980BAE" w:rsidP="00A5744A">
            <w:pPr>
              <w:rPr>
                <w:rFonts w:ascii="Calibri" w:hAnsi="Calibri"/>
                <w:color w:val="000000"/>
                <w:lang w:val="en-US"/>
              </w:rPr>
            </w:pPr>
            <w:r w:rsidRPr="00F569AE">
              <w:rPr>
                <w:rFonts w:ascii="Calibri" w:hAnsi="Calibri"/>
                <w:color w:val="000000"/>
                <w:lang w:val="en-US"/>
              </w:rPr>
              <w:t>Mrkonjic Grad</w:t>
            </w:r>
          </w:p>
        </w:tc>
        <w:tc>
          <w:tcPr>
            <w:tcW w:w="1725" w:type="dxa"/>
            <w:tcBorders>
              <w:top w:val="single" w:sz="4" w:space="0" w:color="auto"/>
              <w:left w:val="single" w:sz="4" w:space="0" w:color="auto"/>
              <w:bottom w:val="single" w:sz="4" w:space="0" w:color="auto"/>
              <w:right w:val="single" w:sz="4" w:space="0" w:color="auto"/>
            </w:tcBorders>
            <w:noWrap/>
            <w:vAlign w:val="center"/>
          </w:tcPr>
          <w:p w14:paraId="6B35412F"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26,92%</w:t>
            </w:r>
          </w:p>
        </w:tc>
        <w:tc>
          <w:tcPr>
            <w:tcW w:w="1817" w:type="dxa"/>
            <w:tcBorders>
              <w:top w:val="single" w:sz="4" w:space="0" w:color="auto"/>
              <w:left w:val="single" w:sz="4" w:space="0" w:color="auto"/>
              <w:bottom w:val="single" w:sz="4" w:space="0" w:color="auto"/>
              <w:right w:val="single" w:sz="4" w:space="0" w:color="auto"/>
            </w:tcBorders>
            <w:noWrap/>
            <w:vAlign w:val="center"/>
          </w:tcPr>
          <w:p w14:paraId="75128A01"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19,23%</w:t>
            </w:r>
          </w:p>
        </w:tc>
        <w:tc>
          <w:tcPr>
            <w:tcW w:w="1632" w:type="dxa"/>
            <w:tcBorders>
              <w:top w:val="single" w:sz="4" w:space="0" w:color="auto"/>
              <w:left w:val="single" w:sz="4" w:space="0" w:color="auto"/>
              <w:bottom w:val="single" w:sz="4" w:space="0" w:color="auto"/>
              <w:right w:val="single" w:sz="4" w:space="0" w:color="auto"/>
            </w:tcBorders>
            <w:noWrap/>
            <w:vAlign w:val="center"/>
          </w:tcPr>
          <w:p w14:paraId="634531C9"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38,46%</w:t>
            </w:r>
          </w:p>
        </w:tc>
      </w:tr>
      <w:tr w:rsidR="00980BAE" w:rsidRPr="00F569AE" w14:paraId="3D479809"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7361B4D4" w14:textId="77777777" w:rsidR="00980BAE" w:rsidRPr="00F569AE" w:rsidRDefault="00980BAE" w:rsidP="00A5744A">
            <w:pPr>
              <w:rPr>
                <w:rFonts w:ascii="Calibri" w:hAnsi="Calibri"/>
                <w:color w:val="000000"/>
                <w:lang w:val="en-US"/>
              </w:rPr>
            </w:pPr>
            <w:r w:rsidRPr="00F569AE">
              <w:rPr>
                <w:rFonts w:ascii="Calibri" w:hAnsi="Calibri"/>
                <w:color w:val="000000"/>
                <w:lang w:val="en-US"/>
              </w:rPr>
              <w:t>17.</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06631AB0"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Odžak </w:t>
            </w:r>
          </w:p>
        </w:tc>
        <w:tc>
          <w:tcPr>
            <w:tcW w:w="1725" w:type="dxa"/>
            <w:tcBorders>
              <w:top w:val="single" w:sz="4" w:space="0" w:color="auto"/>
              <w:left w:val="single" w:sz="4" w:space="0" w:color="auto"/>
              <w:bottom w:val="single" w:sz="4" w:space="0" w:color="auto"/>
              <w:right w:val="single" w:sz="4" w:space="0" w:color="auto"/>
            </w:tcBorders>
            <w:noWrap/>
            <w:vAlign w:val="center"/>
          </w:tcPr>
          <w:p w14:paraId="2303742F"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15,38%</w:t>
            </w:r>
          </w:p>
        </w:tc>
        <w:tc>
          <w:tcPr>
            <w:tcW w:w="1817" w:type="dxa"/>
            <w:tcBorders>
              <w:top w:val="single" w:sz="4" w:space="0" w:color="auto"/>
              <w:left w:val="single" w:sz="4" w:space="0" w:color="auto"/>
              <w:bottom w:val="single" w:sz="4" w:space="0" w:color="auto"/>
              <w:right w:val="single" w:sz="4" w:space="0" w:color="auto"/>
            </w:tcBorders>
            <w:noWrap/>
            <w:vAlign w:val="center"/>
          </w:tcPr>
          <w:p w14:paraId="568CE2EC"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30,77%</w:t>
            </w:r>
          </w:p>
        </w:tc>
        <w:tc>
          <w:tcPr>
            <w:tcW w:w="1632" w:type="dxa"/>
            <w:tcBorders>
              <w:top w:val="single" w:sz="4" w:space="0" w:color="auto"/>
              <w:left w:val="single" w:sz="4" w:space="0" w:color="auto"/>
              <w:bottom w:val="single" w:sz="4" w:space="0" w:color="auto"/>
              <w:right w:val="single" w:sz="4" w:space="0" w:color="auto"/>
            </w:tcBorders>
            <w:noWrap/>
            <w:vAlign w:val="center"/>
          </w:tcPr>
          <w:p w14:paraId="75EA6C3F"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38,46%</w:t>
            </w:r>
          </w:p>
        </w:tc>
      </w:tr>
      <w:tr w:rsidR="00980BAE" w:rsidRPr="00F569AE" w14:paraId="0BA1B418"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7EA0615D" w14:textId="77777777" w:rsidR="00980BAE" w:rsidRPr="00F569AE" w:rsidRDefault="00980BAE" w:rsidP="00A5744A">
            <w:pPr>
              <w:rPr>
                <w:rFonts w:ascii="Calibri" w:hAnsi="Calibri"/>
                <w:color w:val="000000"/>
                <w:lang w:val="en-US"/>
              </w:rPr>
            </w:pPr>
            <w:r w:rsidRPr="00F569AE">
              <w:rPr>
                <w:rFonts w:ascii="Calibri" w:hAnsi="Calibri"/>
                <w:color w:val="000000"/>
                <w:lang w:val="en-US"/>
              </w:rPr>
              <w:t>18.</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69C433A7"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Orašje </w:t>
            </w:r>
          </w:p>
        </w:tc>
        <w:tc>
          <w:tcPr>
            <w:tcW w:w="1725" w:type="dxa"/>
            <w:tcBorders>
              <w:top w:val="single" w:sz="4" w:space="0" w:color="auto"/>
              <w:left w:val="single" w:sz="4" w:space="0" w:color="auto"/>
              <w:bottom w:val="single" w:sz="4" w:space="0" w:color="auto"/>
              <w:right w:val="single" w:sz="4" w:space="0" w:color="auto"/>
            </w:tcBorders>
            <w:noWrap/>
            <w:vAlign w:val="center"/>
          </w:tcPr>
          <w:p w14:paraId="26FE8C13"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9,09%</w:t>
            </w:r>
          </w:p>
        </w:tc>
        <w:tc>
          <w:tcPr>
            <w:tcW w:w="1817" w:type="dxa"/>
            <w:tcBorders>
              <w:top w:val="single" w:sz="4" w:space="0" w:color="auto"/>
              <w:left w:val="single" w:sz="4" w:space="0" w:color="auto"/>
              <w:bottom w:val="single" w:sz="4" w:space="0" w:color="auto"/>
              <w:right w:val="single" w:sz="4" w:space="0" w:color="auto"/>
            </w:tcBorders>
            <w:noWrap/>
            <w:vAlign w:val="center"/>
          </w:tcPr>
          <w:p w14:paraId="0E5078CA"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45,45%</w:t>
            </w:r>
          </w:p>
        </w:tc>
        <w:tc>
          <w:tcPr>
            <w:tcW w:w="1632" w:type="dxa"/>
            <w:tcBorders>
              <w:top w:val="single" w:sz="4" w:space="0" w:color="auto"/>
              <w:left w:val="single" w:sz="4" w:space="0" w:color="auto"/>
              <w:bottom w:val="single" w:sz="4" w:space="0" w:color="auto"/>
              <w:right w:val="single" w:sz="4" w:space="0" w:color="auto"/>
            </w:tcBorders>
            <w:noWrap/>
            <w:vAlign w:val="center"/>
          </w:tcPr>
          <w:p w14:paraId="4036A697"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81,82%</w:t>
            </w:r>
          </w:p>
        </w:tc>
      </w:tr>
      <w:tr w:rsidR="00980BAE" w:rsidRPr="00F569AE" w14:paraId="26DFD728"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5586A9E6" w14:textId="77777777" w:rsidR="00980BAE" w:rsidRPr="00F569AE" w:rsidRDefault="00980BAE" w:rsidP="00A5744A">
            <w:pPr>
              <w:rPr>
                <w:rFonts w:ascii="Calibri" w:hAnsi="Calibri"/>
                <w:color w:val="000000"/>
                <w:lang w:val="en-US"/>
              </w:rPr>
            </w:pPr>
            <w:r w:rsidRPr="00F569AE">
              <w:rPr>
                <w:rFonts w:ascii="Calibri" w:hAnsi="Calibri"/>
                <w:color w:val="000000"/>
                <w:lang w:val="en-US"/>
              </w:rPr>
              <w:t>19.</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2A30CAB3" w14:textId="77777777" w:rsidR="00980BAE" w:rsidRPr="00F569AE" w:rsidRDefault="00980BAE" w:rsidP="00A5744A">
            <w:pPr>
              <w:rPr>
                <w:rFonts w:ascii="Calibri" w:hAnsi="Calibri"/>
                <w:color w:val="000000"/>
                <w:lang w:val="en-US"/>
              </w:rPr>
            </w:pPr>
            <w:r w:rsidRPr="00F569AE">
              <w:rPr>
                <w:rFonts w:ascii="Calibri" w:hAnsi="Calibri"/>
                <w:color w:val="000000"/>
                <w:lang w:val="en-US"/>
              </w:rPr>
              <w:t>Prijedor</w:t>
            </w:r>
          </w:p>
        </w:tc>
        <w:tc>
          <w:tcPr>
            <w:tcW w:w="1725" w:type="dxa"/>
            <w:tcBorders>
              <w:top w:val="single" w:sz="4" w:space="0" w:color="auto"/>
              <w:left w:val="single" w:sz="4" w:space="0" w:color="auto"/>
              <w:bottom w:val="single" w:sz="4" w:space="0" w:color="auto"/>
              <w:right w:val="single" w:sz="4" w:space="0" w:color="auto"/>
            </w:tcBorders>
            <w:noWrap/>
            <w:vAlign w:val="center"/>
          </w:tcPr>
          <w:p w14:paraId="2CDD0F51"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61,54%</w:t>
            </w:r>
          </w:p>
        </w:tc>
        <w:tc>
          <w:tcPr>
            <w:tcW w:w="1817" w:type="dxa"/>
            <w:tcBorders>
              <w:top w:val="single" w:sz="4" w:space="0" w:color="auto"/>
              <w:left w:val="single" w:sz="4" w:space="0" w:color="auto"/>
              <w:bottom w:val="single" w:sz="4" w:space="0" w:color="auto"/>
              <w:right w:val="single" w:sz="4" w:space="0" w:color="auto"/>
            </w:tcBorders>
            <w:noWrap/>
            <w:vAlign w:val="center"/>
          </w:tcPr>
          <w:p w14:paraId="37A16B8C"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76,92%</w:t>
            </w:r>
          </w:p>
        </w:tc>
        <w:tc>
          <w:tcPr>
            <w:tcW w:w="1632" w:type="dxa"/>
            <w:tcBorders>
              <w:top w:val="single" w:sz="4" w:space="0" w:color="auto"/>
              <w:left w:val="single" w:sz="4" w:space="0" w:color="auto"/>
              <w:bottom w:val="single" w:sz="4" w:space="0" w:color="auto"/>
              <w:right w:val="single" w:sz="4" w:space="0" w:color="auto"/>
            </w:tcBorders>
            <w:noWrap/>
            <w:vAlign w:val="center"/>
          </w:tcPr>
          <w:p w14:paraId="46A79A86"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100,00%</w:t>
            </w:r>
          </w:p>
        </w:tc>
      </w:tr>
      <w:tr w:rsidR="00980BAE" w:rsidRPr="00F569AE" w14:paraId="66133200"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744DD027" w14:textId="77777777" w:rsidR="00980BAE" w:rsidRPr="00F569AE" w:rsidRDefault="00980BAE" w:rsidP="00A5744A">
            <w:pPr>
              <w:rPr>
                <w:rFonts w:ascii="Calibri" w:hAnsi="Calibri"/>
                <w:color w:val="000000"/>
                <w:lang w:val="en-US"/>
              </w:rPr>
            </w:pPr>
            <w:r w:rsidRPr="00F569AE">
              <w:rPr>
                <w:rFonts w:ascii="Calibri" w:hAnsi="Calibri"/>
                <w:color w:val="000000"/>
                <w:lang w:val="en-US"/>
              </w:rPr>
              <w:t>20.</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683751F7"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Prnjavor </w:t>
            </w:r>
          </w:p>
        </w:tc>
        <w:tc>
          <w:tcPr>
            <w:tcW w:w="1725" w:type="dxa"/>
            <w:tcBorders>
              <w:top w:val="single" w:sz="4" w:space="0" w:color="auto"/>
              <w:left w:val="single" w:sz="4" w:space="0" w:color="auto"/>
              <w:bottom w:val="single" w:sz="4" w:space="0" w:color="auto"/>
              <w:right w:val="single" w:sz="4" w:space="0" w:color="auto"/>
            </w:tcBorders>
            <w:noWrap/>
            <w:vAlign w:val="center"/>
          </w:tcPr>
          <w:p w14:paraId="2D505CDA"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38,46%</w:t>
            </w:r>
          </w:p>
        </w:tc>
        <w:tc>
          <w:tcPr>
            <w:tcW w:w="1817" w:type="dxa"/>
            <w:tcBorders>
              <w:top w:val="single" w:sz="4" w:space="0" w:color="auto"/>
              <w:left w:val="single" w:sz="4" w:space="0" w:color="auto"/>
              <w:bottom w:val="single" w:sz="4" w:space="0" w:color="auto"/>
              <w:right w:val="single" w:sz="4" w:space="0" w:color="auto"/>
            </w:tcBorders>
            <w:noWrap/>
            <w:vAlign w:val="center"/>
          </w:tcPr>
          <w:p w14:paraId="7F06F527"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100,00%</w:t>
            </w:r>
          </w:p>
        </w:tc>
        <w:tc>
          <w:tcPr>
            <w:tcW w:w="1632" w:type="dxa"/>
            <w:tcBorders>
              <w:top w:val="single" w:sz="4" w:space="0" w:color="auto"/>
              <w:left w:val="single" w:sz="4" w:space="0" w:color="auto"/>
              <w:bottom w:val="single" w:sz="4" w:space="0" w:color="auto"/>
              <w:right w:val="single" w:sz="4" w:space="0" w:color="auto"/>
            </w:tcBorders>
            <w:noWrap/>
            <w:vAlign w:val="center"/>
          </w:tcPr>
          <w:p w14:paraId="48F7D0D4"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100,00%</w:t>
            </w:r>
          </w:p>
        </w:tc>
      </w:tr>
      <w:tr w:rsidR="00980BAE" w:rsidRPr="00F569AE" w14:paraId="46F3121F"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097213CD" w14:textId="77777777" w:rsidR="00980BAE" w:rsidRPr="00F569AE" w:rsidRDefault="00980BAE" w:rsidP="00A5744A">
            <w:pPr>
              <w:rPr>
                <w:rFonts w:ascii="Calibri" w:hAnsi="Calibri"/>
                <w:color w:val="000000"/>
                <w:lang w:val="en-US"/>
              </w:rPr>
            </w:pPr>
            <w:r w:rsidRPr="00F569AE">
              <w:rPr>
                <w:rFonts w:ascii="Calibri" w:hAnsi="Calibri"/>
                <w:color w:val="000000"/>
                <w:lang w:val="en-US"/>
              </w:rPr>
              <w:t>21.</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786E653A"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Samac </w:t>
            </w:r>
          </w:p>
        </w:tc>
        <w:tc>
          <w:tcPr>
            <w:tcW w:w="1725" w:type="dxa"/>
            <w:tcBorders>
              <w:top w:val="single" w:sz="4" w:space="0" w:color="auto"/>
              <w:left w:val="single" w:sz="4" w:space="0" w:color="auto"/>
              <w:bottom w:val="single" w:sz="4" w:space="0" w:color="auto"/>
              <w:right w:val="single" w:sz="4" w:space="0" w:color="auto"/>
            </w:tcBorders>
            <w:noWrap/>
            <w:vAlign w:val="center"/>
          </w:tcPr>
          <w:p w14:paraId="3E2E6665"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9,09%</w:t>
            </w:r>
          </w:p>
        </w:tc>
        <w:tc>
          <w:tcPr>
            <w:tcW w:w="1817" w:type="dxa"/>
            <w:tcBorders>
              <w:top w:val="single" w:sz="4" w:space="0" w:color="auto"/>
              <w:left w:val="single" w:sz="4" w:space="0" w:color="auto"/>
              <w:bottom w:val="single" w:sz="4" w:space="0" w:color="auto"/>
              <w:right w:val="single" w:sz="4" w:space="0" w:color="auto"/>
            </w:tcBorders>
            <w:noWrap/>
            <w:vAlign w:val="center"/>
          </w:tcPr>
          <w:p w14:paraId="151B01FE"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72,73%</w:t>
            </w:r>
          </w:p>
        </w:tc>
        <w:tc>
          <w:tcPr>
            <w:tcW w:w="1632" w:type="dxa"/>
            <w:tcBorders>
              <w:top w:val="single" w:sz="4" w:space="0" w:color="auto"/>
              <w:left w:val="single" w:sz="4" w:space="0" w:color="auto"/>
              <w:bottom w:val="single" w:sz="4" w:space="0" w:color="auto"/>
              <w:right w:val="single" w:sz="4" w:space="0" w:color="auto"/>
            </w:tcBorders>
            <w:noWrap/>
            <w:vAlign w:val="center"/>
          </w:tcPr>
          <w:p w14:paraId="482823D2"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90,91%</w:t>
            </w:r>
          </w:p>
        </w:tc>
      </w:tr>
      <w:tr w:rsidR="00980BAE" w:rsidRPr="00F569AE" w14:paraId="50251F35"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760AF923" w14:textId="77777777" w:rsidR="00980BAE" w:rsidRPr="00F569AE" w:rsidRDefault="00980BAE" w:rsidP="00A5744A">
            <w:pPr>
              <w:rPr>
                <w:rFonts w:ascii="Calibri" w:hAnsi="Calibri"/>
                <w:color w:val="000000"/>
                <w:lang w:val="en-US"/>
              </w:rPr>
            </w:pPr>
            <w:r w:rsidRPr="00F569AE">
              <w:rPr>
                <w:rFonts w:ascii="Calibri" w:hAnsi="Calibri"/>
                <w:color w:val="000000"/>
                <w:lang w:val="en-US"/>
              </w:rPr>
              <w:t>22.</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1E04B7AA"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Sanski Most </w:t>
            </w:r>
          </w:p>
        </w:tc>
        <w:tc>
          <w:tcPr>
            <w:tcW w:w="1725" w:type="dxa"/>
            <w:tcBorders>
              <w:top w:val="single" w:sz="4" w:space="0" w:color="auto"/>
              <w:left w:val="single" w:sz="4" w:space="0" w:color="auto"/>
              <w:bottom w:val="single" w:sz="4" w:space="0" w:color="auto"/>
              <w:right w:val="single" w:sz="4" w:space="0" w:color="auto"/>
            </w:tcBorders>
            <w:noWrap/>
            <w:vAlign w:val="center"/>
          </w:tcPr>
          <w:p w14:paraId="3606C9A7"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50,00%</w:t>
            </w:r>
          </w:p>
        </w:tc>
        <w:tc>
          <w:tcPr>
            <w:tcW w:w="1817" w:type="dxa"/>
            <w:tcBorders>
              <w:top w:val="single" w:sz="4" w:space="0" w:color="auto"/>
              <w:left w:val="single" w:sz="4" w:space="0" w:color="auto"/>
              <w:bottom w:val="single" w:sz="4" w:space="0" w:color="auto"/>
              <w:right w:val="single" w:sz="4" w:space="0" w:color="auto"/>
            </w:tcBorders>
            <w:noWrap/>
            <w:vAlign w:val="center"/>
          </w:tcPr>
          <w:p w14:paraId="3D72DDCA"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66,67%</w:t>
            </w:r>
          </w:p>
        </w:tc>
        <w:tc>
          <w:tcPr>
            <w:tcW w:w="1632" w:type="dxa"/>
            <w:tcBorders>
              <w:top w:val="single" w:sz="4" w:space="0" w:color="auto"/>
              <w:left w:val="single" w:sz="4" w:space="0" w:color="auto"/>
              <w:bottom w:val="single" w:sz="4" w:space="0" w:color="auto"/>
              <w:right w:val="single" w:sz="4" w:space="0" w:color="auto"/>
            </w:tcBorders>
            <w:noWrap/>
            <w:vAlign w:val="center"/>
          </w:tcPr>
          <w:p w14:paraId="7AB36B37"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72,22%</w:t>
            </w:r>
          </w:p>
        </w:tc>
      </w:tr>
      <w:tr w:rsidR="00980BAE" w:rsidRPr="00F569AE" w14:paraId="2E0ACB5D"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3B2B0241" w14:textId="77777777" w:rsidR="00980BAE" w:rsidRPr="00F569AE" w:rsidRDefault="00980BAE" w:rsidP="00A5744A">
            <w:pPr>
              <w:rPr>
                <w:rFonts w:ascii="Calibri" w:hAnsi="Calibri"/>
                <w:color w:val="000000"/>
                <w:lang w:val="en-US"/>
              </w:rPr>
            </w:pPr>
            <w:r w:rsidRPr="00F569AE">
              <w:rPr>
                <w:rFonts w:ascii="Calibri" w:hAnsi="Calibri"/>
                <w:color w:val="000000"/>
                <w:lang w:val="en-US"/>
              </w:rPr>
              <w:t>23.</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7C0254D2"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Siroki Brijeg </w:t>
            </w:r>
          </w:p>
        </w:tc>
        <w:tc>
          <w:tcPr>
            <w:tcW w:w="1725" w:type="dxa"/>
            <w:tcBorders>
              <w:top w:val="single" w:sz="4" w:space="0" w:color="auto"/>
              <w:left w:val="single" w:sz="4" w:space="0" w:color="auto"/>
              <w:bottom w:val="single" w:sz="4" w:space="0" w:color="auto"/>
              <w:right w:val="single" w:sz="4" w:space="0" w:color="auto"/>
            </w:tcBorders>
            <w:noWrap/>
            <w:vAlign w:val="center"/>
          </w:tcPr>
          <w:p w14:paraId="007CFAFF"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10,00%</w:t>
            </w:r>
          </w:p>
        </w:tc>
        <w:tc>
          <w:tcPr>
            <w:tcW w:w="1817" w:type="dxa"/>
            <w:tcBorders>
              <w:top w:val="single" w:sz="4" w:space="0" w:color="auto"/>
              <w:left w:val="single" w:sz="4" w:space="0" w:color="auto"/>
              <w:bottom w:val="single" w:sz="4" w:space="0" w:color="auto"/>
              <w:right w:val="single" w:sz="4" w:space="0" w:color="auto"/>
            </w:tcBorders>
            <w:noWrap/>
            <w:vAlign w:val="center"/>
          </w:tcPr>
          <w:p w14:paraId="55B5C21B"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35,00%</w:t>
            </w:r>
          </w:p>
        </w:tc>
        <w:tc>
          <w:tcPr>
            <w:tcW w:w="1632" w:type="dxa"/>
            <w:tcBorders>
              <w:top w:val="single" w:sz="4" w:space="0" w:color="auto"/>
              <w:left w:val="single" w:sz="4" w:space="0" w:color="auto"/>
              <w:bottom w:val="single" w:sz="4" w:space="0" w:color="auto"/>
              <w:right w:val="single" w:sz="4" w:space="0" w:color="auto"/>
            </w:tcBorders>
            <w:noWrap/>
            <w:vAlign w:val="center"/>
          </w:tcPr>
          <w:p w14:paraId="38E46BDD"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35,00%</w:t>
            </w:r>
          </w:p>
        </w:tc>
      </w:tr>
      <w:tr w:rsidR="00980BAE" w:rsidRPr="00F569AE" w14:paraId="2FDB7BF5"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6F286C99" w14:textId="77777777" w:rsidR="00980BAE" w:rsidRPr="00F569AE" w:rsidRDefault="00980BAE" w:rsidP="00A5744A">
            <w:pPr>
              <w:rPr>
                <w:rFonts w:ascii="Calibri" w:hAnsi="Calibri"/>
                <w:color w:val="000000"/>
                <w:lang w:val="en-US"/>
              </w:rPr>
            </w:pPr>
            <w:r w:rsidRPr="00F569AE">
              <w:rPr>
                <w:rFonts w:ascii="Calibri" w:hAnsi="Calibri"/>
                <w:color w:val="000000"/>
                <w:lang w:val="en-US"/>
              </w:rPr>
              <w:t>24.</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7CDB2429"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Srbac </w:t>
            </w:r>
          </w:p>
        </w:tc>
        <w:tc>
          <w:tcPr>
            <w:tcW w:w="1725" w:type="dxa"/>
            <w:tcBorders>
              <w:top w:val="single" w:sz="4" w:space="0" w:color="auto"/>
              <w:left w:val="single" w:sz="4" w:space="0" w:color="auto"/>
              <w:bottom w:val="single" w:sz="4" w:space="0" w:color="auto"/>
              <w:right w:val="single" w:sz="4" w:space="0" w:color="auto"/>
            </w:tcBorders>
            <w:noWrap/>
            <w:vAlign w:val="center"/>
          </w:tcPr>
          <w:p w14:paraId="7E073F63" w14:textId="77777777" w:rsidR="00980BAE" w:rsidRPr="00F569AE" w:rsidRDefault="00980BAE" w:rsidP="00A5744A">
            <w:pPr>
              <w:jc w:val="center"/>
              <w:rPr>
                <w:rFonts w:ascii="Calibri" w:hAnsi="Calibri"/>
                <w:color w:val="000000"/>
                <w:lang w:val="en-US"/>
              </w:rPr>
            </w:pPr>
            <w:r w:rsidRPr="00F569AE">
              <w:rPr>
                <w:rFonts w:ascii="Calibri" w:hAnsi="Calibri"/>
                <w:color w:val="F90E27"/>
                <w:lang w:val="en-US"/>
              </w:rPr>
              <w:t>0,00%</w:t>
            </w:r>
          </w:p>
        </w:tc>
        <w:tc>
          <w:tcPr>
            <w:tcW w:w="1817" w:type="dxa"/>
            <w:tcBorders>
              <w:top w:val="single" w:sz="4" w:space="0" w:color="auto"/>
              <w:left w:val="single" w:sz="4" w:space="0" w:color="auto"/>
              <w:bottom w:val="single" w:sz="4" w:space="0" w:color="auto"/>
              <w:right w:val="single" w:sz="4" w:space="0" w:color="auto"/>
            </w:tcBorders>
            <w:noWrap/>
            <w:vAlign w:val="center"/>
          </w:tcPr>
          <w:p w14:paraId="7717BAF6"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11,11%</w:t>
            </w:r>
          </w:p>
        </w:tc>
        <w:tc>
          <w:tcPr>
            <w:tcW w:w="1632" w:type="dxa"/>
            <w:tcBorders>
              <w:top w:val="single" w:sz="4" w:space="0" w:color="auto"/>
              <w:left w:val="single" w:sz="4" w:space="0" w:color="auto"/>
              <w:bottom w:val="single" w:sz="4" w:space="0" w:color="auto"/>
              <w:right w:val="single" w:sz="4" w:space="0" w:color="auto"/>
            </w:tcBorders>
            <w:noWrap/>
            <w:vAlign w:val="center"/>
          </w:tcPr>
          <w:p w14:paraId="646C7543"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88,89%</w:t>
            </w:r>
          </w:p>
        </w:tc>
      </w:tr>
      <w:tr w:rsidR="00980BAE" w:rsidRPr="00F569AE" w14:paraId="7BFF78B0"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122F4012" w14:textId="77777777" w:rsidR="00980BAE" w:rsidRPr="00F569AE" w:rsidRDefault="00980BAE" w:rsidP="00A5744A">
            <w:pPr>
              <w:rPr>
                <w:rFonts w:ascii="Calibri" w:hAnsi="Calibri"/>
                <w:color w:val="000000"/>
                <w:lang w:val="en-US"/>
              </w:rPr>
            </w:pPr>
            <w:r w:rsidRPr="00F569AE">
              <w:rPr>
                <w:rFonts w:ascii="Calibri" w:hAnsi="Calibri"/>
                <w:color w:val="000000"/>
                <w:lang w:val="en-US"/>
              </w:rPr>
              <w:t>25.</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39B9B2C1"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Tešanj </w:t>
            </w:r>
          </w:p>
        </w:tc>
        <w:tc>
          <w:tcPr>
            <w:tcW w:w="1725" w:type="dxa"/>
            <w:tcBorders>
              <w:top w:val="single" w:sz="4" w:space="0" w:color="auto"/>
              <w:left w:val="single" w:sz="4" w:space="0" w:color="auto"/>
              <w:bottom w:val="single" w:sz="4" w:space="0" w:color="auto"/>
              <w:right w:val="single" w:sz="4" w:space="0" w:color="auto"/>
            </w:tcBorders>
            <w:noWrap/>
            <w:vAlign w:val="center"/>
          </w:tcPr>
          <w:p w14:paraId="240B6324"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50,00%</w:t>
            </w:r>
          </w:p>
        </w:tc>
        <w:tc>
          <w:tcPr>
            <w:tcW w:w="1817" w:type="dxa"/>
            <w:tcBorders>
              <w:top w:val="single" w:sz="4" w:space="0" w:color="auto"/>
              <w:left w:val="single" w:sz="4" w:space="0" w:color="auto"/>
              <w:bottom w:val="single" w:sz="4" w:space="0" w:color="auto"/>
              <w:right w:val="single" w:sz="4" w:space="0" w:color="auto"/>
            </w:tcBorders>
            <w:noWrap/>
            <w:vAlign w:val="center"/>
          </w:tcPr>
          <w:p w14:paraId="63E72B6D"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70,00%</w:t>
            </w:r>
          </w:p>
        </w:tc>
        <w:tc>
          <w:tcPr>
            <w:tcW w:w="1632" w:type="dxa"/>
            <w:tcBorders>
              <w:top w:val="single" w:sz="4" w:space="0" w:color="auto"/>
              <w:left w:val="single" w:sz="4" w:space="0" w:color="auto"/>
              <w:bottom w:val="single" w:sz="4" w:space="0" w:color="auto"/>
              <w:right w:val="single" w:sz="4" w:space="0" w:color="auto"/>
            </w:tcBorders>
            <w:noWrap/>
            <w:vAlign w:val="center"/>
          </w:tcPr>
          <w:p w14:paraId="3679DC26"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100,00%</w:t>
            </w:r>
          </w:p>
        </w:tc>
      </w:tr>
      <w:tr w:rsidR="00980BAE" w:rsidRPr="00F569AE" w14:paraId="38D74986"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12C604CE" w14:textId="77777777" w:rsidR="00980BAE" w:rsidRPr="00F569AE" w:rsidRDefault="00980BAE" w:rsidP="00A5744A">
            <w:pPr>
              <w:rPr>
                <w:rFonts w:ascii="Calibri" w:hAnsi="Calibri"/>
                <w:color w:val="000000"/>
                <w:lang w:val="en-US"/>
              </w:rPr>
            </w:pPr>
            <w:r w:rsidRPr="00F569AE">
              <w:rPr>
                <w:rFonts w:ascii="Calibri" w:hAnsi="Calibri"/>
                <w:color w:val="000000"/>
                <w:lang w:val="en-US"/>
              </w:rPr>
              <w:t>26.</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51B318E5"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Teslić </w:t>
            </w:r>
          </w:p>
        </w:tc>
        <w:tc>
          <w:tcPr>
            <w:tcW w:w="1725" w:type="dxa"/>
            <w:tcBorders>
              <w:top w:val="single" w:sz="4" w:space="0" w:color="auto"/>
              <w:left w:val="single" w:sz="4" w:space="0" w:color="auto"/>
              <w:bottom w:val="single" w:sz="4" w:space="0" w:color="auto"/>
              <w:right w:val="single" w:sz="4" w:space="0" w:color="auto"/>
            </w:tcBorders>
            <w:noWrap/>
            <w:vAlign w:val="center"/>
          </w:tcPr>
          <w:p w14:paraId="5ECEDCA9"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57,14%</w:t>
            </w:r>
          </w:p>
        </w:tc>
        <w:tc>
          <w:tcPr>
            <w:tcW w:w="1817" w:type="dxa"/>
            <w:tcBorders>
              <w:top w:val="single" w:sz="4" w:space="0" w:color="auto"/>
              <w:left w:val="single" w:sz="4" w:space="0" w:color="auto"/>
              <w:bottom w:val="single" w:sz="4" w:space="0" w:color="auto"/>
              <w:right w:val="single" w:sz="4" w:space="0" w:color="auto"/>
            </w:tcBorders>
            <w:noWrap/>
            <w:vAlign w:val="center"/>
          </w:tcPr>
          <w:p w14:paraId="40F42692"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61,90%</w:t>
            </w:r>
          </w:p>
        </w:tc>
        <w:tc>
          <w:tcPr>
            <w:tcW w:w="1632" w:type="dxa"/>
            <w:tcBorders>
              <w:top w:val="single" w:sz="4" w:space="0" w:color="auto"/>
              <w:left w:val="single" w:sz="4" w:space="0" w:color="auto"/>
              <w:bottom w:val="single" w:sz="4" w:space="0" w:color="auto"/>
              <w:right w:val="single" w:sz="4" w:space="0" w:color="auto"/>
            </w:tcBorders>
            <w:noWrap/>
            <w:vAlign w:val="center"/>
          </w:tcPr>
          <w:p w14:paraId="71788D72"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80,95%</w:t>
            </w:r>
          </w:p>
        </w:tc>
      </w:tr>
      <w:tr w:rsidR="00980BAE" w:rsidRPr="00F569AE" w14:paraId="7FB34E13"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362C5DF1" w14:textId="77777777" w:rsidR="00980BAE" w:rsidRPr="00F569AE" w:rsidRDefault="00980BAE" w:rsidP="00A5744A">
            <w:pPr>
              <w:rPr>
                <w:rFonts w:ascii="Calibri" w:hAnsi="Calibri"/>
                <w:color w:val="000000"/>
                <w:lang w:val="en-US"/>
              </w:rPr>
            </w:pPr>
            <w:r w:rsidRPr="00F569AE">
              <w:rPr>
                <w:rFonts w:ascii="Calibri" w:hAnsi="Calibri"/>
                <w:color w:val="000000"/>
                <w:lang w:val="en-US"/>
              </w:rPr>
              <w:t>27.</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5F1CAC3C" w14:textId="77777777" w:rsidR="00980BAE" w:rsidRPr="00F569AE" w:rsidRDefault="00980BAE" w:rsidP="00A5744A">
            <w:pPr>
              <w:rPr>
                <w:rFonts w:ascii="Calibri" w:hAnsi="Calibri"/>
                <w:color w:val="000000"/>
                <w:lang w:val="en-US"/>
              </w:rPr>
            </w:pPr>
            <w:r w:rsidRPr="00F569AE">
              <w:rPr>
                <w:rFonts w:ascii="Calibri" w:hAnsi="Calibri"/>
                <w:color w:val="000000"/>
                <w:lang w:val="en-US"/>
              </w:rPr>
              <w:t>Tomislavgrad</w:t>
            </w:r>
          </w:p>
        </w:tc>
        <w:tc>
          <w:tcPr>
            <w:tcW w:w="1725" w:type="dxa"/>
            <w:tcBorders>
              <w:top w:val="single" w:sz="4" w:space="0" w:color="auto"/>
              <w:left w:val="single" w:sz="4" w:space="0" w:color="auto"/>
              <w:bottom w:val="single" w:sz="4" w:space="0" w:color="auto"/>
              <w:right w:val="single" w:sz="4" w:space="0" w:color="auto"/>
            </w:tcBorders>
            <w:noWrap/>
            <w:vAlign w:val="center"/>
          </w:tcPr>
          <w:p w14:paraId="6A0850C9"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18,52%</w:t>
            </w:r>
          </w:p>
        </w:tc>
        <w:tc>
          <w:tcPr>
            <w:tcW w:w="1817" w:type="dxa"/>
            <w:tcBorders>
              <w:top w:val="single" w:sz="4" w:space="0" w:color="auto"/>
              <w:left w:val="single" w:sz="4" w:space="0" w:color="auto"/>
              <w:bottom w:val="single" w:sz="4" w:space="0" w:color="auto"/>
              <w:right w:val="single" w:sz="4" w:space="0" w:color="auto"/>
            </w:tcBorders>
            <w:noWrap/>
            <w:vAlign w:val="center"/>
          </w:tcPr>
          <w:p w14:paraId="5C102ACD"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37,04%</w:t>
            </w:r>
          </w:p>
        </w:tc>
        <w:tc>
          <w:tcPr>
            <w:tcW w:w="1632" w:type="dxa"/>
            <w:tcBorders>
              <w:top w:val="single" w:sz="4" w:space="0" w:color="auto"/>
              <w:left w:val="single" w:sz="4" w:space="0" w:color="auto"/>
              <w:bottom w:val="single" w:sz="4" w:space="0" w:color="auto"/>
              <w:right w:val="single" w:sz="4" w:space="0" w:color="auto"/>
            </w:tcBorders>
            <w:noWrap/>
            <w:vAlign w:val="center"/>
          </w:tcPr>
          <w:p w14:paraId="7346D702"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40,74%</w:t>
            </w:r>
          </w:p>
        </w:tc>
      </w:tr>
      <w:tr w:rsidR="00980BAE" w:rsidRPr="00F569AE" w14:paraId="37197092"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1CC733C1" w14:textId="77777777" w:rsidR="00980BAE" w:rsidRPr="00F569AE" w:rsidRDefault="00980BAE" w:rsidP="00A5744A">
            <w:pPr>
              <w:rPr>
                <w:rFonts w:ascii="Calibri" w:hAnsi="Calibri"/>
                <w:color w:val="000000"/>
                <w:lang w:val="en-US"/>
              </w:rPr>
            </w:pPr>
            <w:r w:rsidRPr="00F569AE">
              <w:rPr>
                <w:rFonts w:ascii="Calibri" w:hAnsi="Calibri"/>
                <w:color w:val="000000"/>
                <w:lang w:val="en-US"/>
              </w:rPr>
              <w:t>28.</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2119288A"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Trebinje </w:t>
            </w:r>
          </w:p>
        </w:tc>
        <w:tc>
          <w:tcPr>
            <w:tcW w:w="1725" w:type="dxa"/>
            <w:tcBorders>
              <w:top w:val="single" w:sz="4" w:space="0" w:color="auto"/>
              <w:left w:val="single" w:sz="4" w:space="0" w:color="auto"/>
              <w:bottom w:val="single" w:sz="4" w:space="0" w:color="auto"/>
              <w:right w:val="single" w:sz="4" w:space="0" w:color="auto"/>
            </w:tcBorders>
            <w:noWrap/>
            <w:vAlign w:val="center"/>
          </w:tcPr>
          <w:p w14:paraId="5D34FD2A"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30,77%</w:t>
            </w:r>
          </w:p>
        </w:tc>
        <w:tc>
          <w:tcPr>
            <w:tcW w:w="1817" w:type="dxa"/>
            <w:tcBorders>
              <w:top w:val="single" w:sz="4" w:space="0" w:color="auto"/>
              <w:left w:val="single" w:sz="4" w:space="0" w:color="auto"/>
              <w:bottom w:val="single" w:sz="4" w:space="0" w:color="auto"/>
              <w:right w:val="single" w:sz="4" w:space="0" w:color="auto"/>
            </w:tcBorders>
            <w:noWrap/>
            <w:vAlign w:val="center"/>
          </w:tcPr>
          <w:p w14:paraId="54E11597"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61,54%</w:t>
            </w:r>
          </w:p>
        </w:tc>
        <w:tc>
          <w:tcPr>
            <w:tcW w:w="1632" w:type="dxa"/>
            <w:tcBorders>
              <w:top w:val="single" w:sz="4" w:space="0" w:color="auto"/>
              <w:left w:val="single" w:sz="4" w:space="0" w:color="auto"/>
              <w:bottom w:val="single" w:sz="4" w:space="0" w:color="auto"/>
              <w:right w:val="single" w:sz="4" w:space="0" w:color="auto"/>
            </w:tcBorders>
            <w:noWrap/>
            <w:vAlign w:val="center"/>
          </w:tcPr>
          <w:p w14:paraId="5A0619D2"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84,62%</w:t>
            </w:r>
          </w:p>
        </w:tc>
      </w:tr>
      <w:tr w:rsidR="00980BAE" w:rsidRPr="00F569AE" w14:paraId="25775DCD" w14:textId="77777777" w:rsidTr="00980BAE">
        <w:trPr>
          <w:trHeight w:val="300"/>
        </w:trPr>
        <w:tc>
          <w:tcPr>
            <w:tcW w:w="895" w:type="dxa"/>
            <w:tcBorders>
              <w:top w:val="single" w:sz="4" w:space="0" w:color="000000"/>
              <w:left w:val="single" w:sz="4" w:space="0" w:color="000000"/>
              <w:bottom w:val="single" w:sz="4" w:space="0" w:color="000000"/>
              <w:right w:val="single" w:sz="4" w:space="0" w:color="000000"/>
            </w:tcBorders>
          </w:tcPr>
          <w:p w14:paraId="66005E5D" w14:textId="77777777" w:rsidR="00980BAE" w:rsidRPr="00F569AE" w:rsidRDefault="00980BAE" w:rsidP="00A5744A">
            <w:pPr>
              <w:rPr>
                <w:rFonts w:ascii="Calibri" w:hAnsi="Calibri"/>
                <w:color w:val="000000"/>
                <w:lang w:val="en-US"/>
              </w:rPr>
            </w:pPr>
            <w:r w:rsidRPr="00F569AE">
              <w:rPr>
                <w:rFonts w:ascii="Calibri" w:hAnsi="Calibri"/>
                <w:color w:val="000000"/>
                <w:lang w:val="en-US"/>
              </w:rPr>
              <w:t>29.</w:t>
            </w:r>
          </w:p>
        </w:tc>
        <w:tc>
          <w:tcPr>
            <w:tcW w:w="2848" w:type="dxa"/>
            <w:tcBorders>
              <w:top w:val="single" w:sz="4" w:space="0" w:color="000000"/>
              <w:left w:val="single" w:sz="4" w:space="0" w:color="000000"/>
              <w:bottom w:val="single" w:sz="4" w:space="0" w:color="000000"/>
              <w:right w:val="single" w:sz="4" w:space="0" w:color="000000"/>
            </w:tcBorders>
            <w:noWrap/>
            <w:vAlign w:val="center"/>
          </w:tcPr>
          <w:p w14:paraId="37310102" w14:textId="77777777" w:rsidR="00980BAE" w:rsidRPr="00F569AE" w:rsidRDefault="00980BAE" w:rsidP="00A5744A">
            <w:pPr>
              <w:rPr>
                <w:rFonts w:ascii="Calibri" w:hAnsi="Calibri"/>
                <w:color w:val="000000"/>
                <w:lang w:val="en-US"/>
              </w:rPr>
            </w:pPr>
            <w:r w:rsidRPr="00F569AE">
              <w:rPr>
                <w:rFonts w:ascii="Calibri" w:hAnsi="Calibri"/>
                <w:color w:val="000000"/>
                <w:lang w:val="en-US"/>
              </w:rPr>
              <w:t xml:space="preserve">Žepče </w:t>
            </w:r>
          </w:p>
        </w:tc>
        <w:tc>
          <w:tcPr>
            <w:tcW w:w="1725" w:type="dxa"/>
            <w:tcBorders>
              <w:top w:val="single" w:sz="4" w:space="0" w:color="auto"/>
              <w:left w:val="single" w:sz="4" w:space="0" w:color="auto"/>
              <w:bottom w:val="single" w:sz="4" w:space="0" w:color="auto"/>
              <w:right w:val="single" w:sz="4" w:space="0" w:color="auto"/>
            </w:tcBorders>
            <w:noWrap/>
            <w:vAlign w:val="center"/>
          </w:tcPr>
          <w:p w14:paraId="6E0080CA"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16,67%</w:t>
            </w:r>
          </w:p>
        </w:tc>
        <w:tc>
          <w:tcPr>
            <w:tcW w:w="1817" w:type="dxa"/>
            <w:tcBorders>
              <w:top w:val="single" w:sz="4" w:space="0" w:color="auto"/>
              <w:left w:val="single" w:sz="4" w:space="0" w:color="auto"/>
              <w:bottom w:val="single" w:sz="4" w:space="0" w:color="auto"/>
              <w:right w:val="single" w:sz="4" w:space="0" w:color="auto"/>
            </w:tcBorders>
            <w:noWrap/>
            <w:vAlign w:val="center"/>
          </w:tcPr>
          <w:p w14:paraId="2459C822"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66,67%</w:t>
            </w:r>
          </w:p>
        </w:tc>
        <w:tc>
          <w:tcPr>
            <w:tcW w:w="1632" w:type="dxa"/>
            <w:tcBorders>
              <w:top w:val="single" w:sz="4" w:space="0" w:color="auto"/>
              <w:left w:val="single" w:sz="4" w:space="0" w:color="auto"/>
              <w:bottom w:val="single" w:sz="4" w:space="0" w:color="auto"/>
              <w:right w:val="single" w:sz="4" w:space="0" w:color="auto"/>
            </w:tcBorders>
            <w:noWrap/>
            <w:vAlign w:val="center"/>
          </w:tcPr>
          <w:p w14:paraId="235F98D8" w14:textId="77777777" w:rsidR="00980BAE" w:rsidRPr="00F569AE" w:rsidRDefault="00980BAE" w:rsidP="00A5744A">
            <w:pPr>
              <w:jc w:val="center"/>
              <w:rPr>
                <w:rFonts w:ascii="Calibri" w:hAnsi="Calibri"/>
                <w:color w:val="000000"/>
                <w:lang w:val="en-US"/>
              </w:rPr>
            </w:pPr>
            <w:r w:rsidRPr="00F569AE">
              <w:rPr>
                <w:rFonts w:ascii="Calibri" w:hAnsi="Calibri"/>
                <w:color w:val="000000"/>
                <w:lang w:val="en-US"/>
              </w:rPr>
              <w:t>100,00%</w:t>
            </w:r>
          </w:p>
        </w:tc>
      </w:tr>
      <w:tr w:rsidR="00980BAE" w:rsidRPr="00F569AE" w14:paraId="4D706440" w14:textId="77777777" w:rsidTr="00980BAE">
        <w:trPr>
          <w:trHeight w:val="300"/>
        </w:trPr>
        <w:tc>
          <w:tcPr>
            <w:tcW w:w="3743" w:type="dxa"/>
            <w:gridSpan w:val="2"/>
            <w:tcBorders>
              <w:top w:val="single" w:sz="4" w:space="0" w:color="000000"/>
              <w:left w:val="single" w:sz="4" w:space="0" w:color="000000"/>
              <w:bottom w:val="single" w:sz="4" w:space="0" w:color="000000"/>
              <w:right w:val="single" w:sz="4" w:space="0" w:color="000000"/>
            </w:tcBorders>
          </w:tcPr>
          <w:p w14:paraId="6F565850" w14:textId="77777777" w:rsidR="00980BAE" w:rsidRPr="00F569AE" w:rsidRDefault="00980BAE" w:rsidP="00A5744A">
            <w:pPr>
              <w:jc w:val="right"/>
              <w:rPr>
                <w:rFonts w:ascii="Calibri" w:hAnsi="Calibri"/>
                <w:b/>
                <w:color w:val="000000"/>
                <w:lang w:val="en-US"/>
              </w:rPr>
            </w:pPr>
            <w:r w:rsidRPr="00F569AE">
              <w:rPr>
                <w:rFonts w:ascii="Calibri" w:hAnsi="Calibri"/>
                <w:b/>
                <w:color w:val="000000"/>
                <w:lang w:val="en-US"/>
              </w:rPr>
              <w:t xml:space="preserve">Average % </w:t>
            </w:r>
          </w:p>
        </w:tc>
        <w:tc>
          <w:tcPr>
            <w:tcW w:w="1725" w:type="dxa"/>
            <w:tcBorders>
              <w:top w:val="single" w:sz="4" w:space="0" w:color="auto"/>
              <w:left w:val="single" w:sz="4" w:space="0" w:color="auto"/>
              <w:bottom w:val="single" w:sz="4" w:space="0" w:color="auto"/>
              <w:right w:val="single" w:sz="4" w:space="0" w:color="auto"/>
            </w:tcBorders>
            <w:noWrap/>
            <w:vAlign w:val="center"/>
          </w:tcPr>
          <w:p w14:paraId="5E86E2E8" w14:textId="77777777" w:rsidR="00980BAE" w:rsidRPr="00F569AE" w:rsidRDefault="00980BAE" w:rsidP="00A5744A">
            <w:pPr>
              <w:jc w:val="center"/>
              <w:rPr>
                <w:rFonts w:ascii="Calibri" w:hAnsi="Calibri"/>
                <w:b/>
                <w:color w:val="000000"/>
                <w:lang w:val="en-US"/>
              </w:rPr>
            </w:pPr>
            <w:r w:rsidRPr="00F569AE">
              <w:rPr>
                <w:rFonts w:ascii="Calibri" w:hAnsi="Calibri"/>
                <w:b/>
                <w:color w:val="000000"/>
                <w:lang w:val="en-US"/>
              </w:rPr>
              <w:t>29,90%</w:t>
            </w:r>
          </w:p>
        </w:tc>
        <w:tc>
          <w:tcPr>
            <w:tcW w:w="1817" w:type="dxa"/>
            <w:tcBorders>
              <w:top w:val="single" w:sz="4" w:space="0" w:color="auto"/>
              <w:left w:val="single" w:sz="4" w:space="0" w:color="auto"/>
              <w:bottom w:val="single" w:sz="4" w:space="0" w:color="auto"/>
              <w:right w:val="single" w:sz="4" w:space="0" w:color="auto"/>
            </w:tcBorders>
            <w:noWrap/>
            <w:vAlign w:val="center"/>
          </w:tcPr>
          <w:p w14:paraId="77BBC30F" w14:textId="77777777" w:rsidR="00980BAE" w:rsidRPr="00F569AE" w:rsidRDefault="00980BAE" w:rsidP="00A5744A">
            <w:pPr>
              <w:jc w:val="center"/>
              <w:rPr>
                <w:rFonts w:ascii="Calibri" w:hAnsi="Calibri"/>
                <w:b/>
                <w:color w:val="000000"/>
                <w:lang w:val="en-US"/>
              </w:rPr>
            </w:pPr>
            <w:r w:rsidRPr="00F569AE">
              <w:rPr>
                <w:rFonts w:ascii="Calibri" w:hAnsi="Calibri"/>
                <w:b/>
                <w:color w:val="000000"/>
                <w:lang w:val="en-US"/>
              </w:rPr>
              <w:t>48,23%</w:t>
            </w:r>
          </w:p>
        </w:tc>
        <w:tc>
          <w:tcPr>
            <w:tcW w:w="1632" w:type="dxa"/>
            <w:tcBorders>
              <w:top w:val="single" w:sz="4" w:space="0" w:color="auto"/>
              <w:left w:val="single" w:sz="4" w:space="0" w:color="auto"/>
              <w:bottom w:val="single" w:sz="4" w:space="0" w:color="auto"/>
              <w:right w:val="single" w:sz="4" w:space="0" w:color="auto"/>
            </w:tcBorders>
            <w:noWrap/>
            <w:vAlign w:val="center"/>
          </w:tcPr>
          <w:p w14:paraId="7936FC0C" w14:textId="77777777" w:rsidR="00980BAE" w:rsidRPr="00F569AE" w:rsidRDefault="00980BAE" w:rsidP="00A5744A">
            <w:pPr>
              <w:jc w:val="center"/>
              <w:rPr>
                <w:rFonts w:ascii="Calibri" w:hAnsi="Calibri"/>
                <w:b/>
                <w:color w:val="000000"/>
                <w:lang w:val="en-US"/>
              </w:rPr>
            </w:pPr>
            <w:r w:rsidRPr="00F569AE">
              <w:rPr>
                <w:rFonts w:ascii="Calibri" w:hAnsi="Calibri"/>
                <w:b/>
                <w:color w:val="000000"/>
                <w:lang w:val="en-US"/>
              </w:rPr>
              <w:t>67,10%</w:t>
            </w:r>
          </w:p>
        </w:tc>
      </w:tr>
    </w:tbl>
    <w:p w14:paraId="1FFC9A02" w14:textId="77777777" w:rsidR="00980BAE" w:rsidRPr="00F569AE" w:rsidRDefault="00980BAE" w:rsidP="00980BAE">
      <w:pPr>
        <w:spacing w:after="160" w:line="276" w:lineRule="auto"/>
        <w:rPr>
          <w:rFonts w:ascii="Calibri" w:eastAsia="Calibri" w:hAnsi="Calibri" w:cs="Calibri"/>
          <w:lang w:val="en-US"/>
        </w:rPr>
      </w:pPr>
    </w:p>
    <w:p w14:paraId="5B3FE976" w14:textId="77777777" w:rsidR="000C52E4" w:rsidRPr="00F569AE" w:rsidRDefault="000C52E4" w:rsidP="00980BAE">
      <w:pPr>
        <w:spacing w:after="160" w:line="276" w:lineRule="auto"/>
        <w:rPr>
          <w:rFonts w:ascii="Calibri" w:eastAsia="Calibri" w:hAnsi="Calibri" w:cs="Calibri"/>
          <w:lang w:val="en-US"/>
        </w:rPr>
      </w:pPr>
    </w:p>
    <w:p w14:paraId="1BD0D491" w14:textId="77777777" w:rsidR="000C52E4" w:rsidRPr="00F569AE" w:rsidRDefault="000C52E4" w:rsidP="00980BAE">
      <w:pPr>
        <w:spacing w:after="160" w:line="276" w:lineRule="auto"/>
        <w:rPr>
          <w:rFonts w:ascii="Calibri" w:eastAsia="Calibri" w:hAnsi="Calibri" w:cs="Calibri"/>
          <w:lang w:val="en-US"/>
        </w:rPr>
      </w:pPr>
    </w:p>
    <w:p w14:paraId="014E635D" w14:textId="77777777" w:rsidR="000C52E4" w:rsidRPr="00F569AE" w:rsidRDefault="000C52E4" w:rsidP="00980BAE">
      <w:pPr>
        <w:spacing w:after="160" w:line="276" w:lineRule="auto"/>
        <w:rPr>
          <w:rFonts w:ascii="Calibri" w:eastAsia="Calibri" w:hAnsi="Calibri" w:cs="Calibri"/>
          <w:lang w:val="en-US"/>
        </w:rPr>
      </w:pPr>
    </w:p>
    <w:p w14:paraId="5F4A9DF3" w14:textId="5D0950D4" w:rsidR="00E16730" w:rsidRPr="00F569AE" w:rsidRDefault="00E16730" w:rsidP="00E16730">
      <w:pPr>
        <w:pStyle w:val="Heading2"/>
        <w:rPr>
          <w:rFonts w:ascii="Calibri" w:hAnsi="Calibri" w:cs="Calibri"/>
          <w:i/>
        </w:rPr>
      </w:pPr>
      <w:bookmarkStart w:id="217" w:name="_Toc210058543"/>
      <w:r w:rsidRPr="00F569AE">
        <w:rPr>
          <w:rFonts w:ascii="Calibri" w:hAnsi="Calibri" w:cs="Calibri"/>
          <w:i/>
        </w:rPr>
        <w:lastRenderedPageBreak/>
        <w:t xml:space="preserve">Annex </w:t>
      </w:r>
      <w:r w:rsidR="000C52E4" w:rsidRPr="00F569AE">
        <w:rPr>
          <w:rFonts w:ascii="Calibri" w:hAnsi="Calibri" w:cs="Calibri"/>
          <w:i/>
        </w:rPr>
        <w:t>8</w:t>
      </w:r>
      <w:r w:rsidRPr="00F569AE">
        <w:rPr>
          <w:rFonts w:ascii="Calibri" w:hAnsi="Calibri" w:cs="Calibri"/>
          <w:i/>
        </w:rPr>
        <w:t>: Findings from Surveys among LGs and WUCs</w:t>
      </w:r>
      <w:bookmarkEnd w:id="217"/>
    </w:p>
    <w:p w14:paraId="4C9A6EFC" w14:textId="77777777" w:rsidR="00E16730" w:rsidRPr="00F569AE" w:rsidRDefault="00E16730" w:rsidP="00E16730">
      <w:pPr>
        <w:rPr>
          <w:lang w:val="en-US"/>
        </w:rPr>
      </w:pPr>
    </w:p>
    <w:p w14:paraId="5BA08F1D" w14:textId="77777777" w:rsidR="00E16730" w:rsidRPr="00F569AE" w:rsidRDefault="00E16730" w:rsidP="00E16730">
      <w:pPr>
        <w:rPr>
          <w:rFonts w:ascii="Calibri" w:hAnsi="Calibri" w:cs="Calibri"/>
          <w:lang w:val="en-US"/>
        </w:rPr>
      </w:pPr>
    </w:p>
    <w:p w14:paraId="278E993F" w14:textId="77777777" w:rsidR="0059656A" w:rsidRPr="00F569AE" w:rsidRDefault="0059656A" w:rsidP="0059656A">
      <w:pPr>
        <w:rPr>
          <w:rFonts w:ascii="Calibri" w:hAnsi="Calibri" w:cs="Calibri"/>
          <w:b/>
          <w:lang w:val="en-US"/>
        </w:rPr>
      </w:pPr>
      <w:bookmarkStart w:id="218" w:name="_Hlk204767174"/>
      <w:r w:rsidRPr="00F569AE">
        <w:rPr>
          <w:rFonts w:ascii="Calibri" w:hAnsi="Calibri" w:cs="Calibri"/>
          <w:b/>
          <w:lang w:val="en-US"/>
        </w:rPr>
        <w:t>LGs SURVEY ANALYSIS</w:t>
      </w:r>
    </w:p>
    <w:p w14:paraId="2499C92D" w14:textId="77777777" w:rsidR="0059656A" w:rsidRPr="00F569AE" w:rsidRDefault="0059656A" w:rsidP="0059656A">
      <w:pPr>
        <w:pStyle w:val="ListParagraph"/>
        <w:ind w:left="0"/>
        <w:rPr>
          <w:rFonts w:ascii="Calibri" w:hAnsi="Calibri" w:cs="Calibri"/>
          <w:b/>
          <w:u w:val="single"/>
        </w:rPr>
      </w:pPr>
    </w:p>
    <w:p w14:paraId="3AC77B2B" w14:textId="77777777" w:rsidR="0059656A" w:rsidRPr="00F569AE" w:rsidRDefault="0059656A" w:rsidP="0059656A">
      <w:pPr>
        <w:pStyle w:val="ListParagraph"/>
        <w:ind w:left="0"/>
        <w:rPr>
          <w:rFonts w:ascii="Calibri" w:hAnsi="Calibri" w:cs="Calibri"/>
          <w:b/>
          <w:u w:val="single"/>
        </w:rPr>
      </w:pPr>
      <w:r w:rsidRPr="00F569AE">
        <w:rPr>
          <w:rFonts w:ascii="Calibri" w:hAnsi="Calibri" w:cs="Calibri"/>
          <w:b/>
          <w:u w:val="single"/>
        </w:rPr>
        <w:t xml:space="preserve">1.  What is the name of your organization? </w:t>
      </w:r>
    </w:p>
    <w:p w14:paraId="11CD06D4" w14:textId="77777777" w:rsidR="0059656A" w:rsidRPr="00F569AE" w:rsidRDefault="0059656A" w:rsidP="0059656A">
      <w:pPr>
        <w:rPr>
          <w:rFonts w:ascii="Calibri" w:hAnsi="Calibri" w:cs="Calibri"/>
          <w:lang w:val="en-US"/>
        </w:rPr>
      </w:pPr>
    </w:p>
    <w:p w14:paraId="018B9D34" w14:textId="77777777" w:rsidR="0059656A" w:rsidRPr="00F569AE" w:rsidRDefault="0059656A" w:rsidP="0059656A">
      <w:pPr>
        <w:rPr>
          <w:rFonts w:ascii="Calibri" w:hAnsi="Calibri" w:cs="Calibri"/>
          <w:lang w:val="en-US"/>
        </w:rPr>
      </w:pPr>
      <w:r w:rsidRPr="00F569AE">
        <w:rPr>
          <w:rFonts w:ascii="Calibri" w:hAnsi="Calibri" w:cs="Calibri"/>
          <w:lang w:val="en-US"/>
        </w:rPr>
        <w:t xml:space="preserve">The following 23 MEG LGs (80%) participated in the survey: </w:t>
      </w:r>
    </w:p>
    <w:p w14:paraId="641A917B" w14:textId="77777777" w:rsidR="0059656A" w:rsidRPr="00F569AE" w:rsidRDefault="0059656A" w:rsidP="0059656A">
      <w:pPr>
        <w:rPr>
          <w:rFonts w:ascii="Calibri" w:hAnsi="Calibri" w:cs="Calibri"/>
          <w:lang w:val="en-US"/>
        </w:rPr>
      </w:pPr>
      <w:r w:rsidRPr="00F569AE">
        <w:rPr>
          <w:rFonts w:ascii="Calibri" w:hAnsi="Calibri" w:cs="Calibri"/>
          <w:lang w:val="en-US"/>
        </w:rPr>
        <w:t>Prijedor, Bihać, Bosanska Krupa, Gračanica, Ljubuški, Mostar, Orašje, Prnjavor, Široki Brijeg, Gradiška, Bosanski Petrovac, Doboj Istok, Istočno Novo Sarajevo, Busovača, Tešanj, Tomislavgrad, Čitluk, Srbac, Teslić, Šamac, Sanski Most, Trebinje, and Žepče.</w:t>
      </w:r>
    </w:p>
    <w:p w14:paraId="6A4C015C" w14:textId="77777777" w:rsidR="0059656A" w:rsidRPr="00F569AE" w:rsidRDefault="0059656A" w:rsidP="0059656A">
      <w:pPr>
        <w:rPr>
          <w:rFonts w:ascii="Calibri" w:hAnsi="Calibri" w:cs="Calibri"/>
          <w:b/>
          <w:u w:val="single"/>
          <w:lang w:val="en-US"/>
        </w:rPr>
      </w:pPr>
    </w:p>
    <w:p w14:paraId="00DD1E63" w14:textId="77777777" w:rsidR="0059656A" w:rsidRPr="00F569AE" w:rsidRDefault="0059656A" w:rsidP="0059656A">
      <w:pPr>
        <w:rPr>
          <w:rFonts w:ascii="Calibri" w:hAnsi="Calibri" w:cs="Calibri"/>
          <w:lang w:val="en-US"/>
        </w:rPr>
      </w:pPr>
      <w:r w:rsidRPr="00F569AE">
        <w:rPr>
          <w:rFonts w:ascii="Calibri" w:hAnsi="Calibri" w:cs="Calibri"/>
          <w:b/>
          <w:u w:val="single"/>
          <w:lang w:val="en-US"/>
        </w:rPr>
        <w:t>2. What is your position held in the organization?</w:t>
      </w:r>
    </w:p>
    <w:p w14:paraId="3DE36806" w14:textId="77777777" w:rsidR="0059656A" w:rsidRPr="00F569AE" w:rsidRDefault="0059656A" w:rsidP="0059656A">
      <w:pPr>
        <w:pStyle w:val="ListParagraph"/>
        <w:rPr>
          <w:rFonts w:ascii="Calibri" w:hAnsi="Calibri" w:cs="Calibri"/>
        </w:rPr>
      </w:pPr>
      <w:r w:rsidRPr="00F569AE">
        <w:rPr>
          <w:rFonts w:ascii="Calibri" w:hAnsi="Calibri" w:cs="Calibri"/>
        </w:rPr>
        <w:t xml:space="preserve">- 48% of expert associates; </w:t>
      </w:r>
    </w:p>
    <w:p w14:paraId="581A8087" w14:textId="77777777" w:rsidR="0059656A" w:rsidRPr="00F569AE" w:rsidRDefault="0059656A" w:rsidP="0059656A">
      <w:pPr>
        <w:pStyle w:val="ListParagraph"/>
        <w:rPr>
          <w:rFonts w:ascii="Calibri" w:hAnsi="Calibri" w:cs="Calibri"/>
        </w:rPr>
      </w:pPr>
      <w:r w:rsidRPr="00F569AE">
        <w:rPr>
          <w:rFonts w:ascii="Calibri" w:hAnsi="Calibri" w:cs="Calibri"/>
        </w:rPr>
        <w:t>- 37% of heads of LED or development departments;</w:t>
      </w:r>
    </w:p>
    <w:p w14:paraId="0BC191E3" w14:textId="77777777" w:rsidR="0059656A" w:rsidRPr="00F569AE" w:rsidRDefault="0059656A" w:rsidP="0059656A">
      <w:pPr>
        <w:pStyle w:val="ListParagraph"/>
        <w:rPr>
          <w:rFonts w:ascii="Calibri" w:hAnsi="Calibri" w:cs="Calibri"/>
        </w:rPr>
      </w:pPr>
      <w:r w:rsidRPr="00F569AE">
        <w:rPr>
          <w:rFonts w:ascii="Calibri" w:hAnsi="Calibri" w:cs="Calibri"/>
        </w:rPr>
        <w:t xml:space="preserve">- 10% of Mayor's deputies; </w:t>
      </w:r>
    </w:p>
    <w:p w14:paraId="1C0678F3" w14:textId="77777777" w:rsidR="0059656A" w:rsidRPr="00F569AE" w:rsidRDefault="0059656A" w:rsidP="0059656A">
      <w:pPr>
        <w:pStyle w:val="ListParagraph"/>
        <w:rPr>
          <w:rFonts w:ascii="Calibri" w:hAnsi="Calibri" w:cs="Calibri"/>
        </w:rPr>
      </w:pPr>
      <w:r w:rsidRPr="00F569AE">
        <w:rPr>
          <w:rFonts w:ascii="Calibri" w:hAnsi="Calibri" w:cs="Calibri"/>
        </w:rPr>
        <w:t>- 10% of Mayor's assistants</w:t>
      </w:r>
    </w:p>
    <w:p w14:paraId="3F5AC0B1" w14:textId="64F082A7" w:rsidR="0059656A" w:rsidRPr="00F569AE" w:rsidRDefault="0059656A" w:rsidP="0059656A">
      <w:pPr>
        <w:pStyle w:val="ListParagraph"/>
        <w:ind w:left="0"/>
        <w:jc w:val="center"/>
        <w:rPr>
          <w:rFonts w:ascii="Calibri" w:hAnsi="Calibri" w:cs="Calibri"/>
        </w:rPr>
      </w:pPr>
      <w:r w:rsidRPr="00F569AE">
        <w:rPr>
          <w:rFonts w:ascii="Calibri" w:hAnsi="Calibri" w:cs="Calibri"/>
          <w:noProof/>
        </w:rPr>
        <w:drawing>
          <wp:inline distT="0" distB="0" distL="0" distR="0" wp14:anchorId="754E2D27" wp14:editId="6DC9773E">
            <wp:extent cx="5414010" cy="3288665"/>
            <wp:effectExtent l="0" t="0" r="8890" b="13335"/>
            <wp:docPr id="18" name="Chart 28">
              <a:extLst xmlns:a="http://schemas.openxmlformats.org/drawingml/2006/main">
                <a:ext uri="{FF2B5EF4-FFF2-40B4-BE49-F238E27FC236}">
                  <a16:creationId xmlns:a16="http://schemas.microsoft.com/office/drawing/2014/main" id="{82015AEE-B055-4886-998E-B49AF87AE9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14:paraId="179F2BE8" w14:textId="77777777" w:rsidR="0059656A" w:rsidRPr="00F569AE" w:rsidRDefault="0059656A" w:rsidP="0059656A">
      <w:pPr>
        <w:pStyle w:val="ListParagraph"/>
        <w:jc w:val="center"/>
        <w:rPr>
          <w:rFonts w:ascii="Calibri" w:hAnsi="Calibri" w:cs="Calibri"/>
        </w:rPr>
      </w:pPr>
    </w:p>
    <w:p w14:paraId="50642272" w14:textId="77777777" w:rsidR="0059656A" w:rsidRPr="00F569AE" w:rsidRDefault="0059656A" w:rsidP="0059656A">
      <w:pPr>
        <w:ind w:left="360"/>
        <w:rPr>
          <w:rFonts w:ascii="Calibri" w:hAnsi="Calibri" w:cs="Calibri"/>
          <w:b/>
          <w:spacing w:val="3"/>
          <w:shd w:val="clear" w:color="auto" w:fill="FFFFFF"/>
          <w:lang w:val="en-US"/>
        </w:rPr>
      </w:pPr>
    </w:p>
    <w:p w14:paraId="2C8A4DFA" w14:textId="77777777" w:rsidR="0059656A" w:rsidRPr="00F569AE" w:rsidRDefault="0059656A" w:rsidP="0059656A">
      <w:pPr>
        <w:ind w:left="360"/>
        <w:rPr>
          <w:rFonts w:ascii="Calibri" w:hAnsi="Calibri" w:cs="Calibri"/>
          <w:b/>
          <w:spacing w:val="3"/>
          <w:shd w:val="clear" w:color="auto" w:fill="FFFFFF"/>
          <w:lang w:val="en-US"/>
        </w:rPr>
      </w:pPr>
    </w:p>
    <w:p w14:paraId="50DE2C23" w14:textId="77777777" w:rsidR="0059656A" w:rsidRPr="00F569AE" w:rsidRDefault="0059656A" w:rsidP="0059656A">
      <w:pPr>
        <w:ind w:left="360"/>
        <w:rPr>
          <w:rFonts w:ascii="Calibri" w:hAnsi="Calibri" w:cs="Calibri"/>
          <w:b/>
          <w:spacing w:val="3"/>
          <w:shd w:val="clear" w:color="auto" w:fill="FFFFFF"/>
          <w:lang w:val="en-US"/>
        </w:rPr>
      </w:pPr>
    </w:p>
    <w:p w14:paraId="76501D05" w14:textId="77777777" w:rsidR="0059656A" w:rsidRPr="00F569AE" w:rsidRDefault="0059656A" w:rsidP="0059656A">
      <w:pPr>
        <w:ind w:left="360"/>
        <w:rPr>
          <w:rFonts w:ascii="Calibri" w:hAnsi="Calibri" w:cs="Calibri"/>
          <w:b/>
          <w:spacing w:val="3"/>
          <w:shd w:val="clear" w:color="auto" w:fill="FFFFFF"/>
          <w:lang w:val="en-US"/>
        </w:rPr>
      </w:pPr>
    </w:p>
    <w:p w14:paraId="7A762EA4" w14:textId="77777777" w:rsidR="0059656A" w:rsidRPr="00F569AE" w:rsidRDefault="0059656A" w:rsidP="0059656A">
      <w:pPr>
        <w:ind w:left="360"/>
        <w:rPr>
          <w:rFonts w:ascii="Calibri" w:hAnsi="Calibri" w:cs="Calibri"/>
          <w:b/>
          <w:spacing w:val="3"/>
          <w:shd w:val="clear" w:color="auto" w:fill="FFFFFF"/>
          <w:lang w:val="en-US"/>
        </w:rPr>
      </w:pPr>
    </w:p>
    <w:p w14:paraId="22E84417" w14:textId="77777777" w:rsidR="0059656A" w:rsidRPr="00F569AE" w:rsidRDefault="0059656A" w:rsidP="0059656A">
      <w:pPr>
        <w:ind w:left="360"/>
        <w:rPr>
          <w:rFonts w:ascii="Calibri" w:hAnsi="Calibri" w:cs="Calibri"/>
          <w:b/>
          <w:spacing w:val="3"/>
          <w:shd w:val="clear" w:color="auto" w:fill="FFFFFF"/>
          <w:lang w:val="en-US"/>
        </w:rPr>
      </w:pPr>
    </w:p>
    <w:p w14:paraId="4388D93B" w14:textId="77777777" w:rsidR="0059656A" w:rsidRPr="00F569AE" w:rsidRDefault="0059656A" w:rsidP="0059656A">
      <w:pPr>
        <w:ind w:left="360"/>
        <w:rPr>
          <w:rFonts w:ascii="Calibri" w:hAnsi="Calibri" w:cs="Calibri"/>
          <w:b/>
          <w:spacing w:val="3"/>
          <w:shd w:val="clear" w:color="auto" w:fill="FFFFFF"/>
          <w:lang w:val="en-US"/>
        </w:rPr>
      </w:pPr>
    </w:p>
    <w:p w14:paraId="74029315" w14:textId="77777777" w:rsidR="0059656A" w:rsidRPr="00F569AE" w:rsidRDefault="0059656A" w:rsidP="0059656A">
      <w:pPr>
        <w:rPr>
          <w:rFonts w:ascii="Calibri" w:hAnsi="Calibri" w:cs="Calibri"/>
          <w:b/>
          <w:spacing w:val="3"/>
          <w:shd w:val="clear" w:color="auto" w:fill="FFFFFF"/>
          <w:lang w:val="en-US"/>
        </w:rPr>
      </w:pPr>
    </w:p>
    <w:p w14:paraId="21D186FD" w14:textId="7847A308" w:rsidR="0059656A" w:rsidRPr="00F569AE" w:rsidRDefault="0059656A" w:rsidP="0059656A">
      <w:pPr>
        <w:rPr>
          <w:rFonts w:ascii="Calibri" w:hAnsi="Calibri" w:cs="Calibri"/>
          <w:b/>
          <w:spacing w:val="3"/>
          <w:u w:val="single"/>
          <w:shd w:val="clear" w:color="auto" w:fill="FFFFFF"/>
          <w:lang w:val="en-US"/>
        </w:rPr>
      </w:pPr>
      <w:r w:rsidRPr="00F569AE">
        <w:rPr>
          <w:rFonts w:ascii="Calibri" w:hAnsi="Calibri" w:cs="Calibri"/>
          <w:b/>
          <w:spacing w:val="3"/>
          <w:u w:val="single"/>
          <w:shd w:val="clear" w:color="auto" w:fill="FFFFFF"/>
          <w:lang w:val="en-US"/>
        </w:rPr>
        <w:lastRenderedPageBreak/>
        <w:t>3. Please indicate the support your local government unit received from the MEG project.</w:t>
      </w:r>
      <w:r w:rsidRPr="00F569AE">
        <w:rPr>
          <w:rFonts w:ascii="Calibri" w:hAnsi="Calibri" w:cs="Calibri"/>
          <w:b/>
          <w:spacing w:val="3"/>
          <w:u w:val="single"/>
          <w:shd w:val="clear" w:color="auto" w:fill="FFFFFF" w:themeFill="background1"/>
          <w:lang w:val="en-US"/>
        </w:rPr>
        <w:t xml:space="preserve"> </w:t>
      </w:r>
      <w:r w:rsidRPr="00F569AE">
        <w:rPr>
          <w:noProof/>
          <w:lang w:val="en-US"/>
        </w:rPr>
        <w:drawing>
          <wp:anchor distT="0" distB="0" distL="114300" distR="114300" simplePos="0" relativeHeight="251658241" behindDoc="0" locked="0" layoutInCell="1" allowOverlap="1" wp14:anchorId="442C5F3B" wp14:editId="42FCD36C">
            <wp:simplePos x="0" y="0"/>
            <wp:positionH relativeFrom="column">
              <wp:posOffset>-12700</wp:posOffset>
            </wp:positionH>
            <wp:positionV relativeFrom="paragraph">
              <wp:posOffset>481965</wp:posOffset>
            </wp:positionV>
            <wp:extent cx="5511800" cy="3225800"/>
            <wp:effectExtent l="0" t="0" r="12700" b="12700"/>
            <wp:wrapSquare wrapText="bothSides"/>
            <wp:docPr id="1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14:sizeRelH relativeFrom="page">
              <wp14:pctWidth>0</wp14:pctWidth>
            </wp14:sizeRelH>
            <wp14:sizeRelV relativeFrom="page">
              <wp14:pctHeight>0</wp14:pctHeight>
            </wp14:sizeRelV>
          </wp:anchor>
        </w:drawing>
      </w:r>
    </w:p>
    <w:p w14:paraId="7E346336" w14:textId="77777777" w:rsidR="0059656A" w:rsidRPr="00F569AE" w:rsidRDefault="0059656A" w:rsidP="0059656A">
      <w:pPr>
        <w:jc w:val="right"/>
        <w:rPr>
          <w:rFonts w:ascii="Calibri" w:hAnsi="Calibri" w:cs="Calibri"/>
          <w:b/>
          <w:spacing w:val="3"/>
          <w:shd w:val="clear" w:color="auto" w:fill="FFFFFF"/>
          <w:lang w:val="en-US"/>
        </w:rPr>
      </w:pPr>
    </w:p>
    <w:p w14:paraId="3ACEFD83" w14:textId="77777777" w:rsidR="0059656A" w:rsidRPr="00F569AE" w:rsidRDefault="0059656A" w:rsidP="0059656A">
      <w:pPr>
        <w:pStyle w:val="ListParagraph"/>
        <w:ind w:left="0"/>
        <w:rPr>
          <w:rFonts w:ascii="Calibri" w:hAnsi="Calibri" w:cs="Calibri"/>
          <w:b/>
          <w:u w:val="single"/>
        </w:rPr>
      </w:pPr>
      <w:r w:rsidRPr="00F569AE">
        <w:rPr>
          <w:rFonts w:ascii="Calibri" w:hAnsi="Calibri" w:cs="Calibri"/>
          <w:b/>
          <w:u w:val="single"/>
        </w:rPr>
        <w:t>3.1 Please provide specific examples of how the MEG project supported your LG.</w:t>
      </w:r>
    </w:p>
    <w:p w14:paraId="31E05DD6" w14:textId="77777777" w:rsidR="0059656A" w:rsidRPr="00F569AE" w:rsidRDefault="0059656A" w:rsidP="0059656A">
      <w:pPr>
        <w:pStyle w:val="ListParagraph"/>
        <w:ind w:left="0"/>
        <w:rPr>
          <w:rFonts w:ascii="Calibri" w:hAnsi="Calibri" w:cs="Calibri"/>
          <w:b/>
          <w:u w:val="single"/>
        </w:rPr>
      </w:pPr>
    </w:p>
    <w:p w14:paraId="077CAD04" w14:textId="732DFDA1" w:rsidR="0059656A" w:rsidRPr="00F569AE" w:rsidRDefault="0059656A" w:rsidP="0059656A">
      <w:pPr>
        <w:jc w:val="center"/>
        <w:rPr>
          <w:rFonts w:ascii="Calibri" w:hAnsi="Calibri" w:cs="Calibri"/>
          <w:b/>
          <w:u w:val="single"/>
          <w:lang w:val="en-US"/>
        </w:rPr>
      </w:pPr>
      <w:r w:rsidRPr="00F569AE">
        <w:rPr>
          <w:b/>
          <w:noProof/>
          <w:lang w:val="en-US"/>
        </w:rPr>
        <w:drawing>
          <wp:inline distT="0" distB="0" distL="0" distR="0" wp14:anchorId="53271F63" wp14:editId="57AF17B9">
            <wp:extent cx="5510530" cy="3224530"/>
            <wp:effectExtent l="0" t="0" r="13970" b="13970"/>
            <wp:docPr id="20"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14:paraId="550636DD" w14:textId="77777777" w:rsidR="0059656A" w:rsidRPr="00F569AE" w:rsidRDefault="0059656A" w:rsidP="0059656A">
      <w:pPr>
        <w:pStyle w:val="ListParagraph"/>
        <w:ind w:left="0"/>
        <w:rPr>
          <w:rFonts w:ascii="Calibri" w:hAnsi="Calibri" w:cs="Calibri"/>
        </w:rPr>
      </w:pPr>
    </w:p>
    <w:p w14:paraId="6A738FE7" w14:textId="77777777" w:rsidR="0059656A" w:rsidRPr="00F569AE" w:rsidRDefault="0059656A" w:rsidP="0059656A">
      <w:pPr>
        <w:pStyle w:val="ListParagraph"/>
        <w:ind w:left="0"/>
        <w:rPr>
          <w:rFonts w:ascii="Calibri" w:hAnsi="Calibri" w:cs="Calibri"/>
          <w:b/>
          <w:u w:val="single"/>
        </w:rPr>
      </w:pPr>
    </w:p>
    <w:p w14:paraId="6E648607" w14:textId="77777777" w:rsidR="0059656A" w:rsidRPr="00F569AE" w:rsidRDefault="0059656A" w:rsidP="0059656A">
      <w:pPr>
        <w:pStyle w:val="ListParagraph"/>
        <w:ind w:left="0"/>
        <w:rPr>
          <w:rFonts w:ascii="Calibri" w:hAnsi="Calibri" w:cs="Calibri"/>
          <w:b/>
          <w:u w:val="single"/>
        </w:rPr>
      </w:pPr>
    </w:p>
    <w:p w14:paraId="2176B713" w14:textId="77777777" w:rsidR="0059656A" w:rsidRPr="00F569AE" w:rsidRDefault="0059656A" w:rsidP="0059656A">
      <w:pPr>
        <w:pStyle w:val="ListParagraph"/>
        <w:ind w:left="0"/>
        <w:rPr>
          <w:rFonts w:ascii="Calibri" w:hAnsi="Calibri" w:cs="Calibri"/>
          <w:b/>
          <w:u w:val="single"/>
        </w:rPr>
      </w:pPr>
    </w:p>
    <w:p w14:paraId="625A2965" w14:textId="77777777" w:rsidR="0059656A" w:rsidRPr="00F569AE" w:rsidRDefault="0059656A" w:rsidP="0059656A">
      <w:pPr>
        <w:pStyle w:val="ListParagraph"/>
        <w:ind w:left="0"/>
        <w:rPr>
          <w:rFonts w:ascii="Calibri" w:hAnsi="Calibri" w:cs="Calibri"/>
          <w:b/>
          <w:u w:val="single"/>
        </w:rPr>
      </w:pPr>
    </w:p>
    <w:p w14:paraId="37F2EB32" w14:textId="77777777" w:rsidR="0059656A" w:rsidRPr="00F569AE" w:rsidRDefault="0059656A" w:rsidP="0059656A">
      <w:pPr>
        <w:pStyle w:val="ListParagraph"/>
        <w:ind w:left="0"/>
        <w:rPr>
          <w:rFonts w:ascii="Calibri" w:hAnsi="Calibri" w:cs="Calibri"/>
          <w:b/>
          <w:u w:val="single"/>
        </w:rPr>
      </w:pPr>
    </w:p>
    <w:p w14:paraId="7D35BF64" w14:textId="77777777" w:rsidR="0059656A" w:rsidRPr="00F569AE" w:rsidRDefault="0059656A" w:rsidP="0059656A">
      <w:pPr>
        <w:pStyle w:val="ListParagraph"/>
        <w:ind w:left="0"/>
        <w:rPr>
          <w:rFonts w:ascii="Calibri" w:hAnsi="Calibri" w:cs="Calibri"/>
          <w:b/>
          <w:u w:val="single"/>
        </w:rPr>
      </w:pPr>
      <w:r w:rsidRPr="00F569AE">
        <w:rPr>
          <w:rFonts w:ascii="Calibri" w:hAnsi="Calibri" w:cs="Calibri"/>
          <w:b/>
          <w:u w:val="single"/>
        </w:rPr>
        <w:lastRenderedPageBreak/>
        <w:t>4. How would you rate the importance of the MEG project for your local self-government? (scale of 1-5)</w:t>
      </w:r>
    </w:p>
    <w:p w14:paraId="11FC648E" w14:textId="77777777" w:rsidR="0059656A" w:rsidRPr="00F569AE" w:rsidRDefault="0059656A" w:rsidP="0059656A">
      <w:pPr>
        <w:pStyle w:val="ListParagraph"/>
        <w:ind w:left="0"/>
        <w:rPr>
          <w:rFonts w:ascii="Calibri" w:hAnsi="Calibri" w:cs="Calibri"/>
          <w:b/>
          <w:u w:val="single"/>
        </w:rPr>
      </w:pPr>
    </w:p>
    <w:p w14:paraId="1AAA4D6A" w14:textId="44546BF8" w:rsidR="0059656A" w:rsidRPr="00F569AE" w:rsidRDefault="0059656A" w:rsidP="0059656A">
      <w:pPr>
        <w:jc w:val="center"/>
        <w:rPr>
          <w:rFonts w:ascii="Calibri" w:hAnsi="Calibri" w:cs="Calibri"/>
          <w:lang w:val="en-US"/>
        </w:rPr>
      </w:pPr>
      <w:r w:rsidRPr="00F569AE">
        <w:rPr>
          <w:noProof/>
          <w:lang w:val="en-US"/>
        </w:rPr>
        <w:drawing>
          <wp:inline distT="0" distB="0" distL="0" distR="0" wp14:anchorId="1EEBFA4D" wp14:editId="40FCFBCB">
            <wp:extent cx="5510530" cy="2759075"/>
            <wp:effectExtent l="0" t="0" r="13970" b="9525"/>
            <wp:docPr id="21"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14:paraId="1268AD55" w14:textId="77777777" w:rsidR="0059656A" w:rsidRPr="00F569AE" w:rsidRDefault="0059656A" w:rsidP="0059656A">
      <w:pPr>
        <w:rPr>
          <w:rFonts w:ascii="Calibri" w:hAnsi="Calibri" w:cs="Calibri"/>
          <w:lang w:val="en-US"/>
        </w:rPr>
      </w:pPr>
    </w:p>
    <w:p w14:paraId="54CE56D7" w14:textId="77777777" w:rsidR="0059656A" w:rsidRPr="00F569AE" w:rsidRDefault="0059656A" w:rsidP="0059656A">
      <w:pPr>
        <w:pStyle w:val="ListParagraph"/>
        <w:spacing w:line="276" w:lineRule="atLeast"/>
        <w:ind w:left="0"/>
        <w:rPr>
          <w:rFonts w:ascii="Calibri" w:hAnsi="Calibri" w:cs="Calibri"/>
          <w:b/>
          <w:color w:val="000000"/>
          <w:u w:val="single"/>
        </w:rPr>
      </w:pPr>
      <w:r w:rsidRPr="00F569AE">
        <w:rPr>
          <w:rFonts w:ascii="Calibri" w:hAnsi="Calibri" w:cs="Calibri"/>
          <w:b/>
          <w:u w:val="single"/>
        </w:rPr>
        <w:t>5. How well has the MEG project worked to improve the regulatory and operational environment for water/wastewater sector management in your local government? (1-no improvement, 5 - significant improvement)</w:t>
      </w:r>
      <w:r w:rsidRPr="00F569AE">
        <w:rPr>
          <w:rFonts w:ascii="Calibri" w:hAnsi="Calibri" w:cs="Calibri"/>
          <w:b/>
          <w:color w:val="000000"/>
          <w:u w:val="single"/>
        </w:rPr>
        <w:t xml:space="preserve"> </w:t>
      </w:r>
    </w:p>
    <w:p w14:paraId="0AE66275" w14:textId="77777777" w:rsidR="0059656A" w:rsidRPr="00F569AE" w:rsidRDefault="0059656A" w:rsidP="0059656A">
      <w:pPr>
        <w:pStyle w:val="ListParagraph"/>
        <w:spacing w:line="276" w:lineRule="atLeast"/>
        <w:ind w:left="0"/>
        <w:rPr>
          <w:rFonts w:ascii="Calibri" w:hAnsi="Calibri" w:cs="Calibri"/>
          <w:b/>
          <w:color w:val="000000"/>
        </w:rPr>
      </w:pPr>
    </w:p>
    <w:p w14:paraId="435BC8A4" w14:textId="69792DB1" w:rsidR="0059656A" w:rsidRPr="00F569AE" w:rsidRDefault="0059656A" w:rsidP="0059656A">
      <w:pPr>
        <w:spacing w:line="276" w:lineRule="atLeast"/>
        <w:jc w:val="center"/>
        <w:rPr>
          <w:rFonts w:ascii="Calibri" w:hAnsi="Calibri" w:cs="Calibri"/>
          <w:color w:val="000000"/>
          <w:lang w:val="en-US"/>
        </w:rPr>
      </w:pPr>
      <w:r w:rsidRPr="00F569AE">
        <w:rPr>
          <w:noProof/>
          <w:color w:val="000000"/>
          <w:lang w:val="en-US"/>
        </w:rPr>
        <w:drawing>
          <wp:inline distT="0" distB="0" distL="0" distR="0" wp14:anchorId="5DEE0D93" wp14:editId="1F505FD5">
            <wp:extent cx="5510530" cy="3224530"/>
            <wp:effectExtent l="0" t="0" r="13970" b="13970"/>
            <wp:docPr id="22"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14:paraId="332D26E0" w14:textId="77777777" w:rsidR="0059656A" w:rsidRPr="00F569AE" w:rsidRDefault="0059656A" w:rsidP="0059656A">
      <w:pPr>
        <w:spacing w:line="276" w:lineRule="atLeast"/>
        <w:rPr>
          <w:rFonts w:ascii="Calibri" w:hAnsi="Calibri" w:cs="Calibri"/>
          <w:color w:val="000000"/>
          <w:lang w:val="en-US"/>
        </w:rPr>
      </w:pPr>
    </w:p>
    <w:p w14:paraId="66393D68" w14:textId="77777777" w:rsidR="0059656A" w:rsidRPr="00F569AE" w:rsidRDefault="0059656A" w:rsidP="0059656A">
      <w:pPr>
        <w:spacing w:line="276" w:lineRule="atLeast"/>
        <w:rPr>
          <w:rFonts w:ascii="Calibri" w:hAnsi="Calibri" w:cs="Calibri"/>
          <w:color w:val="000000"/>
          <w:lang w:val="en-US"/>
        </w:rPr>
      </w:pPr>
    </w:p>
    <w:p w14:paraId="3CF5BD69" w14:textId="77777777" w:rsidR="0059656A" w:rsidRPr="00F569AE" w:rsidRDefault="0059656A" w:rsidP="0059656A">
      <w:pPr>
        <w:spacing w:line="276" w:lineRule="atLeast"/>
        <w:rPr>
          <w:rFonts w:ascii="Calibri" w:hAnsi="Calibri" w:cs="Calibri"/>
          <w:color w:val="000000"/>
          <w:lang w:val="en-US"/>
        </w:rPr>
      </w:pPr>
    </w:p>
    <w:p w14:paraId="3A703DEF" w14:textId="77777777" w:rsidR="0059656A" w:rsidRPr="00F569AE" w:rsidRDefault="0059656A" w:rsidP="0059656A">
      <w:pPr>
        <w:spacing w:line="276" w:lineRule="atLeast"/>
        <w:rPr>
          <w:rFonts w:ascii="Calibri" w:hAnsi="Calibri" w:cs="Calibri"/>
          <w:color w:val="000000"/>
          <w:lang w:val="en-US"/>
        </w:rPr>
      </w:pPr>
    </w:p>
    <w:p w14:paraId="7F04DD07" w14:textId="77777777" w:rsidR="0059656A" w:rsidRPr="00F569AE" w:rsidRDefault="0059656A" w:rsidP="0059656A">
      <w:pPr>
        <w:spacing w:line="276" w:lineRule="atLeast"/>
        <w:rPr>
          <w:rFonts w:ascii="Calibri" w:hAnsi="Calibri" w:cs="Calibri"/>
          <w:color w:val="000000"/>
          <w:lang w:val="en-US"/>
        </w:rPr>
      </w:pPr>
    </w:p>
    <w:p w14:paraId="78A04243" w14:textId="77777777" w:rsidR="0059656A" w:rsidRPr="00F569AE" w:rsidRDefault="0059656A" w:rsidP="0059656A">
      <w:pPr>
        <w:spacing w:line="276" w:lineRule="atLeast"/>
        <w:rPr>
          <w:rFonts w:ascii="Calibri" w:hAnsi="Calibri" w:cs="Calibri"/>
          <w:color w:val="000000"/>
          <w:lang w:val="en-US"/>
        </w:rPr>
      </w:pPr>
    </w:p>
    <w:p w14:paraId="371AF3C2" w14:textId="77777777" w:rsidR="0059656A" w:rsidRPr="00F569AE" w:rsidRDefault="0059656A" w:rsidP="0059656A">
      <w:pPr>
        <w:pStyle w:val="ListParagraph"/>
        <w:ind w:left="0"/>
        <w:rPr>
          <w:rFonts w:ascii="Calibri" w:hAnsi="Calibri" w:cs="Calibri"/>
          <w:b/>
          <w:color w:val="000000"/>
          <w:u w:val="single"/>
        </w:rPr>
      </w:pPr>
      <w:r w:rsidRPr="00F569AE">
        <w:rPr>
          <w:rFonts w:ascii="Calibri" w:hAnsi="Calibri" w:cs="Calibri"/>
          <w:b/>
          <w:color w:val="000000"/>
          <w:u w:val="single"/>
        </w:rPr>
        <w:lastRenderedPageBreak/>
        <w:t>6. What would you indicate as the main achievements/results of the MEG project?</w:t>
      </w:r>
      <w:r w:rsidRPr="00F569AE">
        <w:rPr>
          <w:rFonts w:ascii="Calibri" w:hAnsi="Calibri" w:cs="Calibri"/>
          <w:b/>
          <w:color w:val="000000"/>
        </w:rPr>
        <w:t xml:space="preserve"> </w:t>
      </w:r>
      <w:r w:rsidRPr="00F569AE">
        <w:rPr>
          <w:rFonts w:ascii="Calibri" w:hAnsi="Calibri" w:cs="Calibri"/>
          <w:b/>
          <w:color w:val="000000"/>
          <w:u w:val="single"/>
        </w:rPr>
        <w:t>Please provide at least 3 examples.</w:t>
      </w:r>
    </w:p>
    <w:p w14:paraId="20063737" w14:textId="77777777" w:rsidR="0059656A" w:rsidRPr="00F569AE" w:rsidRDefault="0059656A" w:rsidP="0059656A">
      <w:pPr>
        <w:pStyle w:val="ListParagraph"/>
        <w:ind w:left="0"/>
        <w:rPr>
          <w:rFonts w:ascii="Calibri" w:hAnsi="Calibri" w:cs="Calibri"/>
          <w:b/>
          <w:color w:val="000000"/>
          <w:u w:val="single"/>
        </w:rPr>
      </w:pPr>
    </w:p>
    <w:p w14:paraId="2980F560" w14:textId="443B7135" w:rsidR="0059656A" w:rsidRPr="00F569AE" w:rsidRDefault="0059656A" w:rsidP="0059656A">
      <w:pPr>
        <w:pStyle w:val="ListParagraph"/>
        <w:ind w:left="0"/>
        <w:jc w:val="center"/>
        <w:rPr>
          <w:rFonts w:ascii="Calibri" w:hAnsi="Calibri" w:cs="Calibri"/>
          <w:b/>
          <w:color w:val="000000"/>
          <w:u w:val="single"/>
        </w:rPr>
      </w:pPr>
      <w:r w:rsidRPr="00F569AE">
        <w:rPr>
          <w:noProof/>
          <w:color w:val="000000"/>
        </w:rPr>
        <w:drawing>
          <wp:inline distT="0" distB="0" distL="0" distR="0" wp14:anchorId="108BA3B0" wp14:editId="73133DEC">
            <wp:extent cx="5510530" cy="3224530"/>
            <wp:effectExtent l="0" t="0" r="13970" b="13970"/>
            <wp:docPr id="23"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14:paraId="535226C9" w14:textId="77777777" w:rsidR="0059656A" w:rsidRPr="00F569AE" w:rsidRDefault="0059656A" w:rsidP="0059656A">
      <w:pPr>
        <w:pStyle w:val="ListParagraph"/>
        <w:spacing w:line="276" w:lineRule="atLeast"/>
        <w:ind w:left="0"/>
        <w:rPr>
          <w:rFonts w:ascii="Calibri" w:hAnsi="Calibri" w:cs="Calibri"/>
          <w:color w:val="000000"/>
        </w:rPr>
      </w:pPr>
    </w:p>
    <w:p w14:paraId="11A6CEBB" w14:textId="77777777" w:rsidR="0059656A" w:rsidRPr="00F569AE" w:rsidRDefault="0059656A" w:rsidP="0059656A">
      <w:pPr>
        <w:pStyle w:val="ListParagraph"/>
        <w:spacing w:line="276" w:lineRule="atLeast"/>
        <w:ind w:left="0"/>
        <w:rPr>
          <w:rFonts w:ascii="Calibri" w:hAnsi="Calibri" w:cs="Calibri"/>
          <w:b/>
          <w:color w:val="000000"/>
          <w:u w:val="single"/>
        </w:rPr>
      </w:pPr>
    </w:p>
    <w:p w14:paraId="47558A04" w14:textId="77777777" w:rsidR="0059656A" w:rsidRPr="00F569AE" w:rsidRDefault="0059656A" w:rsidP="0059656A">
      <w:pPr>
        <w:pStyle w:val="ListParagraph"/>
        <w:spacing w:line="276" w:lineRule="atLeast"/>
        <w:ind w:left="0"/>
        <w:rPr>
          <w:rFonts w:ascii="Calibri" w:hAnsi="Calibri" w:cs="Calibri"/>
          <w:b/>
          <w:color w:val="000000"/>
          <w:u w:val="single"/>
        </w:rPr>
      </w:pPr>
      <w:r w:rsidRPr="00F569AE">
        <w:rPr>
          <w:rFonts w:ascii="Calibri" w:hAnsi="Calibri" w:cs="Calibri"/>
          <w:b/>
          <w:color w:val="000000"/>
          <w:u w:val="single"/>
        </w:rPr>
        <w:t>7. Do you consider the CAF to be a useful instrument for local government decision-making?</w:t>
      </w:r>
    </w:p>
    <w:p w14:paraId="379C8A21" w14:textId="77777777" w:rsidR="0059656A" w:rsidRPr="00F569AE" w:rsidRDefault="0059656A" w:rsidP="0059656A">
      <w:pPr>
        <w:pStyle w:val="ListParagraph"/>
        <w:spacing w:line="276" w:lineRule="atLeast"/>
        <w:ind w:left="0"/>
        <w:rPr>
          <w:rFonts w:ascii="Calibri" w:hAnsi="Calibri" w:cs="Calibri"/>
          <w:color w:val="000000"/>
        </w:rPr>
      </w:pPr>
    </w:p>
    <w:p w14:paraId="0B6BE331" w14:textId="4735F5F3" w:rsidR="0059656A" w:rsidRPr="00F569AE" w:rsidRDefault="0059656A" w:rsidP="0059656A">
      <w:pPr>
        <w:spacing w:line="276" w:lineRule="atLeast"/>
        <w:jc w:val="center"/>
        <w:rPr>
          <w:rFonts w:ascii="Calibri" w:hAnsi="Calibri" w:cs="Calibri"/>
          <w:color w:val="000000"/>
          <w:lang w:val="en-US"/>
        </w:rPr>
      </w:pPr>
      <w:r w:rsidRPr="00F569AE">
        <w:rPr>
          <w:noProof/>
          <w:color w:val="000000"/>
          <w:lang w:val="en-US"/>
        </w:rPr>
        <w:drawing>
          <wp:inline distT="0" distB="0" distL="0" distR="0" wp14:anchorId="58133DE6" wp14:editId="44107A70">
            <wp:extent cx="5510530" cy="3224530"/>
            <wp:effectExtent l="0" t="0" r="13970" b="1397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14:paraId="44F7820D" w14:textId="77777777" w:rsidR="0059656A" w:rsidRPr="00F569AE" w:rsidRDefault="0059656A" w:rsidP="0059656A">
      <w:pPr>
        <w:spacing w:line="276" w:lineRule="atLeast"/>
        <w:rPr>
          <w:rFonts w:ascii="Calibri" w:hAnsi="Calibri" w:cs="Calibri"/>
          <w:color w:val="000000"/>
          <w:lang w:val="en-US"/>
        </w:rPr>
      </w:pPr>
    </w:p>
    <w:p w14:paraId="66450FDA" w14:textId="77777777" w:rsidR="0059656A" w:rsidRPr="00F569AE" w:rsidRDefault="0059656A" w:rsidP="0059656A">
      <w:pPr>
        <w:spacing w:line="276" w:lineRule="atLeast"/>
        <w:rPr>
          <w:rFonts w:ascii="Calibri" w:hAnsi="Calibri" w:cs="Calibri"/>
          <w:color w:val="000000"/>
          <w:lang w:val="en-US"/>
        </w:rPr>
      </w:pPr>
    </w:p>
    <w:p w14:paraId="027E03F4" w14:textId="77777777" w:rsidR="0059656A" w:rsidRPr="00F569AE" w:rsidRDefault="0059656A" w:rsidP="0059656A">
      <w:pPr>
        <w:spacing w:line="276" w:lineRule="atLeast"/>
        <w:rPr>
          <w:rFonts w:ascii="Calibri" w:hAnsi="Calibri" w:cs="Calibri"/>
          <w:color w:val="000000"/>
          <w:lang w:val="en-US"/>
        </w:rPr>
      </w:pPr>
    </w:p>
    <w:p w14:paraId="376A4E61" w14:textId="77777777" w:rsidR="0059656A" w:rsidRPr="00F569AE" w:rsidRDefault="0059656A" w:rsidP="0059656A">
      <w:pPr>
        <w:spacing w:line="276" w:lineRule="atLeast"/>
        <w:rPr>
          <w:rFonts w:ascii="Calibri" w:hAnsi="Calibri" w:cs="Calibri"/>
          <w:color w:val="000000"/>
          <w:lang w:val="en-US"/>
        </w:rPr>
      </w:pPr>
    </w:p>
    <w:p w14:paraId="044DB590" w14:textId="77777777" w:rsidR="0059656A" w:rsidRPr="00F569AE" w:rsidRDefault="0059656A" w:rsidP="0059656A">
      <w:pPr>
        <w:spacing w:line="276" w:lineRule="atLeast"/>
        <w:rPr>
          <w:rFonts w:ascii="Calibri" w:hAnsi="Calibri" w:cs="Calibri"/>
          <w:color w:val="000000"/>
          <w:lang w:val="en-US"/>
        </w:rPr>
      </w:pPr>
    </w:p>
    <w:p w14:paraId="343B0305" w14:textId="77777777" w:rsidR="0059656A" w:rsidRPr="00F569AE" w:rsidRDefault="0059656A" w:rsidP="0059656A">
      <w:pPr>
        <w:pStyle w:val="ListParagraph"/>
        <w:spacing w:line="276" w:lineRule="atLeast"/>
        <w:ind w:left="0"/>
        <w:rPr>
          <w:rFonts w:ascii="Calibri" w:hAnsi="Calibri" w:cs="Calibri"/>
          <w:b/>
          <w:color w:val="000000"/>
          <w:u w:val="single"/>
        </w:rPr>
      </w:pPr>
      <w:r w:rsidRPr="00F569AE">
        <w:rPr>
          <w:rFonts w:ascii="Calibri" w:hAnsi="Calibri" w:cs="Calibri"/>
          <w:b/>
          <w:color w:val="000000"/>
          <w:u w:val="single"/>
        </w:rPr>
        <w:t>8. Please indicate how you use CAF for decision-making in your local government unit.</w:t>
      </w:r>
    </w:p>
    <w:p w14:paraId="56EFA903" w14:textId="77777777" w:rsidR="0059656A" w:rsidRPr="00F569AE" w:rsidRDefault="0059656A" w:rsidP="0059656A">
      <w:pPr>
        <w:pStyle w:val="ListParagraph"/>
        <w:spacing w:line="276" w:lineRule="atLeast"/>
        <w:ind w:left="0"/>
        <w:rPr>
          <w:rFonts w:ascii="Calibri" w:hAnsi="Calibri" w:cs="Calibri"/>
          <w:b/>
          <w:color w:val="000000"/>
          <w:u w:val="single"/>
        </w:rPr>
      </w:pPr>
    </w:p>
    <w:p w14:paraId="4333BBE5" w14:textId="17797E87" w:rsidR="0059656A" w:rsidRPr="00F569AE" w:rsidRDefault="0059656A" w:rsidP="0059656A">
      <w:pPr>
        <w:spacing w:line="276" w:lineRule="atLeast"/>
        <w:jc w:val="center"/>
        <w:rPr>
          <w:rFonts w:ascii="Calibri" w:hAnsi="Calibri" w:cs="Calibri"/>
          <w:color w:val="000000"/>
          <w:lang w:val="en-US"/>
        </w:rPr>
      </w:pPr>
      <w:r w:rsidRPr="00F569AE">
        <w:rPr>
          <w:noProof/>
          <w:color w:val="000000"/>
          <w:lang w:val="en-US"/>
        </w:rPr>
        <w:drawing>
          <wp:inline distT="0" distB="0" distL="0" distR="0" wp14:anchorId="753A8BC6" wp14:editId="28DBE8AA">
            <wp:extent cx="5510530" cy="3224530"/>
            <wp:effectExtent l="0" t="0" r="13970" b="13970"/>
            <wp:docPr id="25"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14:paraId="32BC17EF" w14:textId="77777777" w:rsidR="0059656A" w:rsidRPr="00F569AE" w:rsidRDefault="0059656A" w:rsidP="0059656A">
      <w:pPr>
        <w:pStyle w:val="ListParagraph"/>
        <w:spacing w:line="276" w:lineRule="atLeast"/>
        <w:ind w:left="0"/>
        <w:rPr>
          <w:rFonts w:ascii="Calibri" w:hAnsi="Calibri" w:cs="Calibri"/>
          <w:b/>
          <w:u w:val="single"/>
        </w:rPr>
      </w:pPr>
    </w:p>
    <w:p w14:paraId="74EEFA32" w14:textId="77777777" w:rsidR="0059656A" w:rsidRPr="00F569AE" w:rsidRDefault="0059656A" w:rsidP="0059656A">
      <w:pPr>
        <w:pStyle w:val="ListParagraph"/>
        <w:spacing w:line="276" w:lineRule="atLeast"/>
        <w:ind w:left="0"/>
        <w:rPr>
          <w:rFonts w:ascii="Calibri" w:hAnsi="Calibri" w:cs="Calibri"/>
          <w:b/>
          <w:color w:val="000000"/>
          <w:u w:val="single"/>
        </w:rPr>
      </w:pPr>
      <w:r w:rsidRPr="00F569AE">
        <w:rPr>
          <w:rFonts w:ascii="Calibri" w:hAnsi="Calibri" w:cs="Calibri"/>
          <w:b/>
          <w:u w:val="single"/>
        </w:rPr>
        <w:t xml:space="preserve">9. </w:t>
      </w:r>
      <w:r w:rsidRPr="00F569AE">
        <w:rPr>
          <w:rFonts w:ascii="Calibri" w:hAnsi="Calibri" w:cs="Calibri"/>
          <w:b/>
          <w:color w:val="000000"/>
          <w:u w:val="single"/>
        </w:rPr>
        <w:t>Please indicate how the MEG project has influenced the relationships in your local government unit, e.g. between the mayor, assembly/council, water utilities, citizens? (scale 1-5)</w:t>
      </w:r>
    </w:p>
    <w:p w14:paraId="0F015038" w14:textId="77777777" w:rsidR="0059656A" w:rsidRPr="00F569AE" w:rsidRDefault="0059656A" w:rsidP="0059656A">
      <w:pPr>
        <w:pStyle w:val="ListParagraph"/>
        <w:spacing w:line="276" w:lineRule="atLeast"/>
        <w:ind w:left="0"/>
        <w:rPr>
          <w:rFonts w:ascii="Calibri" w:hAnsi="Calibri" w:cs="Calibri"/>
          <w:color w:val="000000"/>
        </w:rPr>
      </w:pPr>
    </w:p>
    <w:p w14:paraId="406F3827" w14:textId="58294CED" w:rsidR="0059656A" w:rsidRPr="00F569AE" w:rsidRDefault="0059656A" w:rsidP="0059656A">
      <w:pPr>
        <w:jc w:val="center"/>
        <w:rPr>
          <w:rFonts w:ascii="Calibri" w:hAnsi="Calibri" w:cs="Calibri"/>
          <w:color w:val="000000"/>
          <w:lang w:val="en-US"/>
        </w:rPr>
      </w:pPr>
      <w:r w:rsidRPr="00F569AE">
        <w:rPr>
          <w:noProof/>
          <w:color w:val="000000"/>
          <w:lang w:val="en-US"/>
        </w:rPr>
        <w:drawing>
          <wp:inline distT="0" distB="0" distL="0" distR="0" wp14:anchorId="6211285C" wp14:editId="57E3C5D4">
            <wp:extent cx="5510530" cy="3224530"/>
            <wp:effectExtent l="0" t="0" r="13970" b="13970"/>
            <wp:docPr id="26"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14:paraId="05CA18C6" w14:textId="77777777" w:rsidR="0059656A" w:rsidRPr="00F569AE" w:rsidRDefault="0059656A" w:rsidP="0059656A">
      <w:pPr>
        <w:rPr>
          <w:rFonts w:ascii="Calibri" w:hAnsi="Calibri" w:cs="Calibri"/>
          <w:color w:val="000000"/>
          <w:lang w:val="en-US"/>
        </w:rPr>
      </w:pPr>
    </w:p>
    <w:p w14:paraId="352506EC" w14:textId="77777777" w:rsidR="0059656A" w:rsidRPr="00F569AE" w:rsidRDefault="0059656A" w:rsidP="0059656A">
      <w:pPr>
        <w:rPr>
          <w:rFonts w:ascii="Calibri" w:hAnsi="Calibri" w:cs="Calibri"/>
          <w:color w:val="000000"/>
          <w:lang w:val="en-US"/>
        </w:rPr>
      </w:pPr>
    </w:p>
    <w:p w14:paraId="68875EE7" w14:textId="77777777" w:rsidR="0059656A" w:rsidRPr="00F569AE" w:rsidRDefault="0059656A" w:rsidP="0059656A">
      <w:pPr>
        <w:rPr>
          <w:rFonts w:ascii="Calibri" w:hAnsi="Calibri" w:cs="Calibri"/>
          <w:color w:val="000000"/>
          <w:lang w:val="en-US"/>
        </w:rPr>
      </w:pPr>
    </w:p>
    <w:p w14:paraId="2C50B596" w14:textId="77777777" w:rsidR="0059656A" w:rsidRPr="00F569AE" w:rsidRDefault="0059656A" w:rsidP="0059656A">
      <w:pPr>
        <w:rPr>
          <w:rFonts w:ascii="Calibri" w:hAnsi="Calibri" w:cs="Calibri"/>
          <w:color w:val="000000"/>
          <w:lang w:val="en-US"/>
        </w:rPr>
      </w:pPr>
    </w:p>
    <w:p w14:paraId="2F530406" w14:textId="77777777" w:rsidR="0059656A" w:rsidRPr="00F569AE" w:rsidRDefault="0059656A" w:rsidP="0059656A">
      <w:pPr>
        <w:rPr>
          <w:rFonts w:ascii="Calibri" w:hAnsi="Calibri" w:cs="Calibri"/>
          <w:color w:val="000000"/>
          <w:lang w:val="en-US"/>
        </w:rPr>
      </w:pPr>
    </w:p>
    <w:p w14:paraId="1ECE2D6D" w14:textId="77777777" w:rsidR="0059656A" w:rsidRPr="00F569AE" w:rsidRDefault="0059656A" w:rsidP="0059656A">
      <w:pPr>
        <w:pStyle w:val="ListParagraph"/>
        <w:ind w:left="0"/>
        <w:rPr>
          <w:rFonts w:ascii="Calibri" w:hAnsi="Calibri" w:cs="Calibri"/>
          <w:b/>
          <w:color w:val="000000"/>
          <w:u w:val="single"/>
        </w:rPr>
      </w:pPr>
      <w:r w:rsidRPr="00F569AE">
        <w:rPr>
          <w:rFonts w:ascii="Calibri" w:hAnsi="Calibri" w:cs="Calibri"/>
          <w:b/>
          <w:color w:val="000000"/>
          <w:u w:val="single"/>
        </w:rPr>
        <w:t>9.1 Please provide examples of the impact of the MEG project on relations in your local government unit.</w:t>
      </w:r>
    </w:p>
    <w:p w14:paraId="66B180DE" w14:textId="77777777" w:rsidR="0059656A" w:rsidRPr="00F569AE" w:rsidRDefault="0059656A" w:rsidP="0059656A">
      <w:pPr>
        <w:pStyle w:val="ListParagraph"/>
        <w:ind w:left="0"/>
        <w:rPr>
          <w:rFonts w:ascii="Calibri" w:hAnsi="Calibri" w:cs="Calibri"/>
          <w:b/>
          <w:color w:val="000000"/>
          <w:u w:val="single"/>
        </w:rPr>
      </w:pPr>
    </w:p>
    <w:p w14:paraId="42A9AF6C" w14:textId="692C74AE" w:rsidR="0059656A" w:rsidRPr="00F569AE" w:rsidRDefault="0059656A" w:rsidP="0059656A">
      <w:pPr>
        <w:rPr>
          <w:rFonts w:ascii="Calibri" w:hAnsi="Calibri" w:cs="Calibri"/>
          <w:color w:val="000000"/>
          <w:lang w:val="en-US"/>
        </w:rPr>
      </w:pPr>
      <w:r w:rsidRPr="00F569AE">
        <w:rPr>
          <w:noProof/>
          <w:color w:val="000000"/>
          <w:lang w:val="en-US"/>
        </w:rPr>
        <w:drawing>
          <wp:inline distT="0" distB="0" distL="0" distR="0" wp14:anchorId="47462DCF" wp14:editId="1C399C43">
            <wp:extent cx="5510530" cy="3224530"/>
            <wp:effectExtent l="0" t="0" r="13970" b="13970"/>
            <wp:docPr id="27"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14:paraId="02BB95DC" w14:textId="77777777" w:rsidR="0059656A" w:rsidRPr="00F569AE" w:rsidRDefault="0059656A" w:rsidP="0059656A">
      <w:pPr>
        <w:rPr>
          <w:rFonts w:ascii="Calibri" w:hAnsi="Calibri" w:cs="Calibri"/>
          <w:b/>
          <w:color w:val="000000"/>
          <w:lang w:val="en-US"/>
        </w:rPr>
      </w:pPr>
    </w:p>
    <w:p w14:paraId="7170C14E" w14:textId="77777777" w:rsidR="0059656A" w:rsidRPr="00F569AE" w:rsidRDefault="0059656A" w:rsidP="0059656A">
      <w:pPr>
        <w:pStyle w:val="ListParagraph"/>
        <w:ind w:left="0"/>
        <w:rPr>
          <w:rFonts w:ascii="Calibri" w:hAnsi="Calibri" w:cs="Calibri"/>
          <w:b/>
          <w:color w:val="000000"/>
          <w:u w:val="single"/>
        </w:rPr>
      </w:pPr>
      <w:r w:rsidRPr="00F569AE">
        <w:rPr>
          <w:rFonts w:ascii="Calibri" w:hAnsi="Calibri" w:cs="Calibri"/>
          <w:b/>
          <w:color w:val="000000"/>
          <w:u w:val="single"/>
        </w:rPr>
        <w:t>10. Did you manage to improve your capacity through work on the MEG project and how?</w:t>
      </w:r>
    </w:p>
    <w:p w14:paraId="0DB4C9DF" w14:textId="77777777" w:rsidR="0059656A" w:rsidRPr="00F569AE" w:rsidRDefault="0059656A" w:rsidP="0059656A">
      <w:pPr>
        <w:pStyle w:val="ListParagraph"/>
        <w:ind w:left="0"/>
        <w:rPr>
          <w:rFonts w:ascii="Calibri" w:hAnsi="Calibri" w:cs="Calibri"/>
          <w:b/>
          <w:color w:val="000000"/>
          <w:u w:val="single"/>
        </w:rPr>
      </w:pPr>
    </w:p>
    <w:p w14:paraId="6BB13611" w14:textId="19C23AB4" w:rsidR="0059656A" w:rsidRPr="00F569AE" w:rsidRDefault="0059656A" w:rsidP="0059656A">
      <w:pPr>
        <w:rPr>
          <w:rFonts w:ascii="Calibri" w:hAnsi="Calibri" w:cs="Calibri"/>
          <w:color w:val="000000"/>
          <w:lang w:val="en-US"/>
        </w:rPr>
      </w:pPr>
      <w:r w:rsidRPr="00F569AE">
        <w:rPr>
          <w:noProof/>
          <w:color w:val="000000"/>
          <w:lang w:val="en-US"/>
        </w:rPr>
        <w:drawing>
          <wp:inline distT="0" distB="0" distL="0" distR="0" wp14:anchorId="6A58369D" wp14:editId="3C6214BC">
            <wp:extent cx="5510530" cy="3224530"/>
            <wp:effectExtent l="0" t="0" r="13970" b="13970"/>
            <wp:docPr id="28"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08742403" w14:textId="77777777" w:rsidR="0059656A" w:rsidRPr="00F569AE" w:rsidRDefault="0059656A" w:rsidP="0059656A">
      <w:pPr>
        <w:jc w:val="both"/>
        <w:rPr>
          <w:rFonts w:ascii="Calibri" w:hAnsi="Calibri" w:cs="Calibri"/>
          <w:color w:val="000000"/>
          <w:lang w:val="en-US"/>
        </w:rPr>
      </w:pPr>
      <w:r w:rsidRPr="00F569AE">
        <w:rPr>
          <w:rFonts w:ascii="Calibri" w:hAnsi="Calibri" w:cs="Calibri"/>
          <w:color w:val="000000"/>
          <w:lang w:val="en-US"/>
        </w:rPr>
        <w:t xml:space="preserve"> </w:t>
      </w:r>
    </w:p>
    <w:p w14:paraId="6A9647E7" w14:textId="77777777" w:rsidR="0059656A" w:rsidRPr="00F569AE" w:rsidRDefault="0059656A" w:rsidP="0059656A">
      <w:pPr>
        <w:pStyle w:val="ListParagraph"/>
        <w:ind w:left="0"/>
        <w:jc w:val="both"/>
        <w:rPr>
          <w:rFonts w:ascii="Calibri" w:hAnsi="Calibri" w:cs="Calibri"/>
          <w:b/>
          <w:u w:val="single"/>
        </w:rPr>
      </w:pPr>
    </w:p>
    <w:p w14:paraId="22514754" w14:textId="77777777" w:rsidR="0059656A" w:rsidRPr="00F569AE" w:rsidRDefault="0059656A" w:rsidP="0059656A">
      <w:pPr>
        <w:pStyle w:val="ListParagraph"/>
        <w:ind w:left="0"/>
        <w:jc w:val="both"/>
        <w:rPr>
          <w:rFonts w:ascii="Calibri" w:hAnsi="Calibri" w:cs="Calibri"/>
          <w:b/>
          <w:u w:val="single"/>
        </w:rPr>
      </w:pPr>
    </w:p>
    <w:p w14:paraId="232A3643" w14:textId="77777777" w:rsidR="0059656A" w:rsidRPr="00F569AE" w:rsidRDefault="0059656A" w:rsidP="0059656A">
      <w:pPr>
        <w:pStyle w:val="ListParagraph"/>
        <w:ind w:left="0"/>
        <w:jc w:val="both"/>
        <w:rPr>
          <w:rFonts w:ascii="Calibri" w:hAnsi="Calibri" w:cs="Calibri"/>
          <w:b/>
          <w:u w:val="single"/>
        </w:rPr>
      </w:pPr>
    </w:p>
    <w:p w14:paraId="25706C87" w14:textId="77777777" w:rsidR="0059656A" w:rsidRPr="00F569AE" w:rsidRDefault="0059656A" w:rsidP="0059656A">
      <w:pPr>
        <w:pStyle w:val="ListParagraph"/>
        <w:ind w:left="0"/>
        <w:jc w:val="both"/>
        <w:rPr>
          <w:rFonts w:ascii="Calibri" w:hAnsi="Calibri" w:cs="Calibri"/>
          <w:b/>
          <w:u w:val="single"/>
        </w:rPr>
      </w:pPr>
    </w:p>
    <w:p w14:paraId="650035C2" w14:textId="77777777" w:rsidR="0059656A" w:rsidRPr="00F569AE" w:rsidRDefault="0059656A" w:rsidP="0059656A">
      <w:pPr>
        <w:pStyle w:val="ListParagraph"/>
        <w:ind w:left="0"/>
        <w:jc w:val="both"/>
        <w:rPr>
          <w:rFonts w:ascii="Calibri" w:hAnsi="Calibri" w:cs="Calibri"/>
          <w:b/>
          <w:u w:val="single"/>
        </w:rPr>
      </w:pPr>
    </w:p>
    <w:p w14:paraId="541B2E97" w14:textId="77777777" w:rsidR="0059656A" w:rsidRPr="00F569AE" w:rsidRDefault="0059656A" w:rsidP="0059656A">
      <w:pPr>
        <w:pStyle w:val="ListParagraph"/>
        <w:ind w:left="0"/>
        <w:jc w:val="both"/>
        <w:rPr>
          <w:rFonts w:ascii="Calibri" w:hAnsi="Calibri" w:cs="Calibri"/>
          <w:b/>
          <w:u w:val="single"/>
        </w:rPr>
      </w:pPr>
      <w:r w:rsidRPr="00F569AE">
        <w:rPr>
          <w:rFonts w:ascii="Calibri" w:hAnsi="Calibri" w:cs="Calibri"/>
          <w:b/>
          <w:u w:val="single"/>
        </w:rPr>
        <w:t>11. Did the consultations in your local government unit sufficiently involve citizens? (1 - consultations without citizen involvement, 5 - consultations with full citizen involvement)</w:t>
      </w:r>
    </w:p>
    <w:p w14:paraId="31D72BE6" w14:textId="77777777" w:rsidR="0059656A" w:rsidRPr="00F569AE" w:rsidRDefault="0059656A" w:rsidP="0059656A">
      <w:pPr>
        <w:pStyle w:val="ListParagraph"/>
        <w:ind w:left="0"/>
        <w:jc w:val="both"/>
        <w:rPr>
          <w:rFonts w:ascii="Calibri" w:hAnsi="Calibri" w:cs="Calibri"/>
          <w:b/>
          <w:u w:val="single"/>
        </w:rPr>
      </w:pPr>
    </w:p>
    <w:p w14:paraId="26BBF69D" w14:textId="2EDC1DE5" w:rsidR="0059656A" w:rsidRPr="00F569AE" w:rsidRDefault="0059656A" w:rsidP="0059656A">
      <w:pPr>
        <w:rPr>
          <w:rFonts w:ascii="Calibri" w:hAnsi="Calibri" w:cs="Calibri"/>
          <w:lang w:val="en-US"/>
        </w:rPr>
      </w:pPr>
      <w:r w:rsidRPr="00F569AE">
        <w:rPr>
          <w:noProof/>
          <w:lang w:val="en-US"/>
        </w:rPr>
        <w:drawing>
          <wp:inline distT="0" distB="0" distL="0" distR="0" wp14:anchorId="55340BC3" wp14:editId="63A793C0">
            <wp:extent cx="5510530" cy="3224530"/>
            <wp:effectExtent l="0" t="0" r="13970" b="13970"/>
            <wp:docPr id="2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14:paraId="13F0B9A2" w14:textId="77777777" w:rsidR="0059656A" w:rsidRPr="00F569AE" w:rsidRDefault="0059656A" w:rsidP="0059656A">
      <w:pPr>
        <w:rPr>
          <w:rFonts w:ascii="Calibri" w:hAnsi="Calibri" w:cs="Calibri"/>
          <w:lang w:val="en-US"/>
        </w:rPr>
      </w:pPr>
    </w:p>
    <w:p w14:paraId="150E321A" w14:textId="77777777" w:rsidR="0059656A" w:rsidRPr="00F569AE" w:rsidRDefault="0059656A" w:rsidP="0059656A">
      <w:pPr>
        <w:pStyle w:val="ListParagraph"/>
        <w:ind w:left="0"/>
        <w:rPr>
          <w:rFonts w:ascii="Calibri" w:hAnsi="Calibri" w:cs="Calibri"/>
          <w:b/>
          <w:u w:val="single"/>
        </w:rPr>
      </w:pPr>
      <w:r w:rsidRPr="00F569AE">
        <w:rPr>
          <w:rFonts w:ascii="Calibri" w:hAnsi="Calibri" w:cs="Calibri"/>
          <w:b/>
          <w:u w:val="single"/>
        </w:rPr>
        <w:t>12. Please list the categories of citizens who were included in the consultations in your local government unit.</w:t>
      </w:r>
    </w:p>
    <w:p w14:paraId="5CA4D667" w14:textId="77777777" w:rsidR="0059656A" w:rsidRPr="00F569AE" w:rsidRDefault="0059656A" w:rsidP="0059656A">
      <w:pPr>
        <w:pStyle w:val="ListParagraph"/>
        <w:ind w:left="0"/>
        <w:rPr>
          <w:rFonts w:ascii="Calibri" w:hAnsi="Calibri" w:cs="Calibri"/>
          <w:b/>
          <w:u w:val="single"/>
        </w:rPr>
      </w:pPr>
    </w:p>
    <w:p w14:paraId="3AC207C8" w14:textId="708A4CB1" w:rsidR="0059656A" w:rsidRPr="00F569AE" w:rsidRDefault="0059656A" w:rsidP="0059656A">
      <w:pPr>
        <w:jc w:val="both"/>
        <w:rPr>
          <w:rFonts w:ascii="Calibri" w:hAnsi="Calibri" w:cs="Calibri"/>
          <w:lang w:val="en-US"/>
        </w:rPr>
      </w:pPr>
      <w:r w:rsidRPr="00F569AE">
        <w:rPr>
          <w:noProof/>
          <w:lang w:val="en-US"/>
        </w:rPr>
        <w:drawing>
          <wp:inline distT="0" distB="0" distL="0" distR="0" wp14:anchorId="48B412CD" wp14:editId="288E2766">
            <wp:extent cx="5510530" cy="3224530"/>
            <wp:effectExtent l="0" t="0" r="13970" b="13970"/>
            <wp:docPr id="30"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p w14:paraId="40B15FBE" w14:textId="77777777" w:rsidR="0059656A" w:rsidRPr="00F569AE" w:rsidRDefault="0059656A" w:rsidP="0059656A">
      <w:pPr>
        <w:jc w:val="both"/>
        <w:rPr>
          <w:rFonts w:ascii="Calibri" w:hAnsi="Calibri" w:cs="Calibri"/>
          <w:lang w:val="en-US"/>
        </w:rPr>
      </w:pPr>
    </w:p>
    <w:p w14:paraId="6FB2DEED" w14:textId="77777777" w:rsidR="0059656A" w:rsidRPr="00F569AE" w:rsidRDefault="0059656A" w:rsidP="0059656A">
      <w:pPr>
        <w:jc w:val="both"/>
        <w:rPr>
          <w:rFonts w:ascii="Calibri" w:hAnsi="Calibri" w:cs="Calibri"/>
          <w:lang w:val="en-US"/>
        </w:rPr>
      </w:pPr>
    </w:p>
    <w:p w14:paraId="3C1F214F" w14:textId="77777777" w:rsidR="0059656A" w:rsidRPr="00F569AE" w:rsidRDefault="0059656A" w:rsidP="0059656A">
      <w:pPr>
        <w:jc w:val="both"/>
        <w:rPr>
          <w:rFonts w:ascii="Calibri" w:hAnsi="Calibri" w:cs="Calibri"/>
          <w:lang w:val="en-US"/>
        </w:rPr>
      </w:pPr>
    </w:p>
    <w:p w14:paraId="114DAD3E" w14:textId="77777777" w:rsidR="0059656A" w:rsidRPr="00F569AE" w:rsidRDefault="0059656A" w:rsidP="0059656A">
      <w:pPr>
        <w:jc w:val="both"/>
        <w:rPr>
          <w:rFonts w:ascii="Calibri" w:hAnsi="Calibri" w:cs="Calibri"/>
          <w:lang w:val="en-US"/>
        </w:rPr>
      </w:pPr>
    </w:p>
    <w:p w14:paraId="6BFBD952" w14:textId="77777777" w:rsidR="0059656A" w:rsidRPr="00F569AE" w:rsidRDefault="0059656A" w:rsidP="0059656A">
      <w:pPr>
        <w:jc w:val="both"/>
        <w:rPr>
          <w:rFonts w:ascii="Calibri" w:hAnsi="Calibri" w:cs="Calibri"/>
          <w:lang w:val="en-US"/>
        </w:rPr>
      </w:pPr>
    </w:p>
    <w:p w14:paraId="37CD08AA" w14:textId="77777777" w:rsidR="0059656A" w:rsidRPr="00F569AE" w:rsidRDefault="0059656A" w:rsidP="0059656A">
      <w:pPr>
        <w:jc w:val="both"/>
        <w:rPr>
          <w:rFonts w:ascii="Calibri" w:hAnsi="Calibri" w:cs="Calibri"/>
          <w:lang w:val="en-US"/>
        </w:rPr>
      </w:pPr>
    </w:p>
    <w:p w14:paraId="4FD22E8F" w14:textId="77777777" w:rsidR="0059656A" w:rsidRPr="00F569AE" w:rsidRDefault="0059656A" w:rsidP="0059656A">
      <w:pPr>
        <w:pStyle w:val="ListParagraph"/>
        <w:ind w:left="0"/>
        <w:jc w:val="both"/>
        <w:rPr>
          <w:rFonts w:ascii="Calibri" w:hAnsi="Calibri" w:cs="Calibri"/>
          <w:b/>
          <w:u w:val="single"/>
        </w:rPr>
      </w:pPr>
      <w:r w:rsidRPr="00F569AE">
        <w:rPr>
          <w:rFonts w:ascii="Calibri" w:hAnsi="Calibri" w:cs="Calibri"/>
          <w:b/>
          <w:u w:val="single"/>
        </w:rPr>
        <w:t xml:space="preserve">13. Please provide your recommendations for the next phase of the MEG III project </w:t>
      </w:r>
    </w:p>
    <w:p w14:paraId="4D5104C2" w14:textId="3E91B590" w:rsidR="0059656A" w:rsidRPr="00F569AE" w:rsidRDefault="0059656A" w:rsidP="0059656A">
      <w:pPr>
        <w:jc w:val="both"/>
        <w:rPr>
          <w:rFonts w:ascii="Calibri" w:hAnsi="Calibri" w:cs="Calibri"/>
          <w:lang w:val="en-US"/>
        </w:rPr>
      </w:pPr>
      <w:r w:rsidRPr="00F569AE">
        <w:rPr>
          <w:noProof/>
          <w:lang w:val="en-US"/>
        </w:rPr>
        <w:drawing>
          <wp:inline distT="0" distB="0" distL="0" distR="0" wp14:anchorId="3F422FF1" wp14:editId="5811D127">
            <wp:extent cx="5510530" cy="3224530"/>
            <wp:effectExtent l="0" t="0" r="13970" b="13970"/>
            <wp:docPr id="31"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14:paraId="38305407" w14:textId="77777777" w:rsidR="0059656A" w:rsidRPr="00F569AE" w:rsidRDefault="0059656A" w:rsidP="0059656A">
      <w:pPr>
        <w:rPr>
          <w:rFonts w:ascii="Calibri" w:hAnsi="Calibri" w:cs="Calibri"/>
          <w:lang w:val="en-US"/>
        </w:rPr>
      </w:pPr>
      <w:bookmarkStart w:id="219" w:name="_Hlk204767608"/>
      <w:bookmarkEnd w:id="218"/>
    </w:p>
    <w:p w14:paraId="31146A4F" w14:textId="77777777" w:rsidR="0059656A" w:rsidRPr="00F569AE" w:rsidRDefault="0059656A" w:rsidP="0059656A">
      <w:pPr>
        <w:rPr>
          <w:rFonts w:ascii="Calibri" w:hAnsi="Calibri" w:cs="Calibri"/>
          <w:b/>
          <w:lang w:val="en-US"/>
        </w:rPr>
      </w:pPr>
    </w:p>
    <w:p w14:paraId="773F2366" w14:textId="77777777" w:rsidR="0059656A" w:rsidRPr="00F569AE" w:rsidRDefault="0059656A" w:rsidP="0059656A">
      <w:pPr>
        <w:rPr>
          <w:rFonts w:ascii="Calibri" w:hAnsi="Calibri" w:cs="Calibri"/>
          <w:b/>
          <w:lang w:val="en-US"/>
        </w:rPr>
      </w:pPr>
      <w:r w:rsidRPr="00F569AE">
        <w:rPr>
          <w:rFonts w:ascii="Calibri" w:hAnsi="Calibri" w:cs="Calibri"/>
          <w:b/>
          <w:lang w:val="en-US"/>
        </w:rPr>
        <w:t>Water Utility Companies (WUCs) SURVEY ANALYSIS</w:t>
      </w:r>
    </w:p>
    <w:p w14:paraId="4C3E03EE" w14:textId="77777777" w:rsidR="0059656A" w:rsidRPr="00F569AE" w:rsidRDefault="0059656A" w:rsidP="0059656A">
      <w:pPr>
        <w:rPr>
          <w:rFonts w:ascii="Calibri" w:hAnsi="Calibri" w:cs="Calibri"/>
          <w:lang w:val="en-US"/>
        </w:rPr>
      </w:pPr>
      <w:r w:rsidRPr="00F569AE">
        <w:rPr>
          <w:rFonts w:ascii="Calibri" w:hAnsi="Calibri" w:cs="Calibri"/>
          <w:lang w:val="en-US"/>
        </w:rPr>
        <w:t>A total of 12 Water Utility Companies (41%) participated in the survey.</w:t>
      </w:r>
    </w:p>
    <w:p w14:paraId="02298F51" w14:textId="77777777" w:rsidR="0059656A" w:rsidRPr="00F569AE" w:rsidRDefault="0059656A" w:rsidP="0059656A">
      <w:pPr>
        <w:rPr>
          <w:rFonts w:ascii="Calibri" w:hAnsi="Calibri" w:cs="Calibri"/>
          <w:b/>
          <w:u w:val="single"/>
          <w:lang w:val="en-US"/>
        </w:rPr>
      </w:pPr>
    </w:p>
    <w:p w14:paraId="0F6BBF57" w14:textId="77777777" w:rsidR="0059656A" w:rsidRPr="00F569AE" w:rsidRDefault="0059656A" w:rsidP="0059656A">
      <w:pPr>
        <w:rPr>
          <w:rFonts w:ascii="Calibri" w:hAnsi="Calibri" w:cs="Calibri"/>
          <w:b/>
          <w:u w:val="single"/>
          <w:lang w:val="en-US"/>
        </w:rPr>
      </w:pPr>
      <w:r w:rsidRPr="00F569AE">
        <w:rPr>
          <w:rFonts w:ascii="Calibri" w:hAnsi="Calibri" w:cs="Calibri"/>
          <w:b/>
          <w:u w:val="single"/>
          <w:lang w:val="en-US"/>
        </w:rPr>
        <w:t xml:space="preserve">1. What is the name of your organization? </w:t>
      </w:r>
    </w:p>
    <w:p w14:paraId="339826D4" w14:textId="77777777" w:rsidR="0059656A" w:rsidRPr="00F569AE" w:rsidRDefault="0059656A" w:rsidP="006C530E">
      <w:pPr>
        <w:pStyle w:val="ListParagraph"/>
        <w:numPr>
          <w:ilvl w:val="0"/>
          <w:numId w:val="37"/>
        </w:numPr>
        <w:spacing w:after="200" w:line="276" w:lineRule="auto"/>
        <w:rPr>
          <w:rFonts w:ascii="Calibri" w:hAnsi="Calibri" w:cs="Calibri"/>
        </w:rPr>
      </w:pPr>
      <w:r w:rsidRPr="00F569AE">
        <w:rPr>
          <w:rFonts w:ascii="Calibri" w:hAnsi="Calibri" w:cs="Calibri"/>
        </w:rPr>
        <w:t>KP VIK Istočno Sarajevo</w:t>
      </w:r>
    </w:p>
    <w:p w14:paraId="6F1662A9" w14:textId="77777777" w:rsidR="0059656A" w:rsidRPr="00F569AE" w:rsidRDefault="0059656A" w:rsidP="006C530E">
      <w:pPr>
        <w:pStyle w:val="ListParagraph"/>
        <w:numPr>
          <w:ilvl w:val="0"/>
          <w:numId w:val="37"/>
        </w:numPr>
        <w:spacing w:after="200" w:line="276" w:lineRule="auto"/>
        <w:rPr>
          <w:rFonts w:ascii="Calibri" w:hAnsi="Calibri" w:cs="Calibri"/>
        </w:rPr>
      </w:pPr>
      <w:r w:rsidRPr="00F569AE">
        <w:rPr>
          <w:rFonts w:ascii="Calibri" w:hAnsi="Calibri" w:cs="Calibri"/>
        </w:rPr>
        <w:t>Vodovod a.d. Prijedor</w:t>
      </w:r>
    </w:p>
    <w:p w14:paraId="48D3F0D2" w14:textId="77777777" w:rsidR="0059656A" w:rsidRPr="00F569AE" w:rsidRDefault="0059656A" w:rsidP="006C530E">
      <w:pPr>
        <w:pStyle w:val="ListParagraph"/>
        <w:numPr>
          <w:ilvl w:val="0"/>
          <w:numId w:val="37"/>
        </w:numPr>
        <w:spacing w:after="200" w:line="276" w:lineRule="auto"/>
        <w:rPr>
          <w:rFonts w:ascii="Calibri" w:hAnsi="Calibri" w:cs="Calibri"/>
        </w:rPr>
      </w:pPr>
      <w:r w:rsidRPr="00F569AE">
        <w:rPr>
          <w:rFonts w:ascii="Calibri" w:hAnsi="Calibri" w:cs="Calibri"/>
        </w:rPr>
        <w:t>JP Komunalno d.o.o. Žepče</w:t>
      </w:r>
    </w:p>
    <w:p w14:paraId="05CA72B2" w14:textId="77777777" w:rsidR="0059656A" w:rsidRPr="00F569AE" w:rsidRDefault="0059656A" w:rsidP="006C530E">
      <w:pPr>
        <w:pStyle w:val="ListParagraph"/>
        <w:numPr>
          <w:ilvl w:val="0"/>
          <w:numId w:val="37"/>
        </w:numPr>
        <w:spacing w:after="200" w:line="276" w:lineRule="auto"/>
        <w:rPr>
          <w:rFonts w:ascii="Calibri" w:hAnsi="Calibri" w:cs="Calibri"/>
        </w:rPr>
      </w:pPr>
      <w:r w:rsidRPr="00F569AE">
        <w:rPr>
          <w:rFonts w:ascii="Calibri" w:hAnsi="Calibri" w:cs="Calibri"/>
        </w:rPr>
        <w:t>Komunalno preduzeće "Park" Mrkonjić Grad</w:t>
      </w:r>
    </w:p>
    <w:p w14:paraId="429ED84D" w14:textId="77777777" w:rsidR="0059656A" w:rsidRPr="00F569AE" w:rsidRDefault="0059656A" w:rsidP="006C530E">
      <w:pPr>
        <w:pStyle w:val="ListParagraph"/>
        <w:numPr>
          <w:ilvl w:val="0"/>
          <w:numId w:val="37"/>
        </w:numPr>
        <w:spacing w:after="200" w:line="276" w:lineRule="auto"/>
        <w:rPr>
          <w:rFonts w:ascii="Calibri" w:hAnsi="Calibri" w:cs="Calibri"/>
        </w:rPr>
      </w:pPr>
      <w:r w:rsidRPr="00F569AE">
        <w:rPr>
          <w:rFonts w:ascii="Calibri" w:hAnsi="Calibri" w:cs="Calibri"/>
        </w:rPr>
        <w:t>KP "Vodovod i kanalizacija" a.d. Šamac</w:t>
      </w:r>
    </w:p>
    <w:p w14:paraId="62DCE04E" w14:textId="77777777" w:rsidR="0059656A" w:rsidRPr="00F569AE" w:rsidRDefault="0059656A" w:rsidP="006C530E">
      <w:pPr>
        <w:pStyle w:val="ListParagraph"/>
        <w:numPr>
          <w:ilvl w:val="0"/>
          <w:numId w:val="37"/>
        </w:numPr>
        <w:spacing w:after="200" w:line="276" w:lineRule="auto"/>
        <w:rPr>
          <w:rFonts w:ascii="Calibri" w:hAnsi="Calibri" w:cs="Calibri"/>
        </w:rPr>
      </w:pPr>
      <w:r w:rsidRPr="00F569AE">
        <w:rPr>
          <w:rFonts w:ascii="Calibri" w:hAnsi="Calibri" w:cs="Calibri"/>
        </w:rPr>
        <w:t>JP Vodovod a.d. Gacko</w:t>
      </w:r>
    </w:p>
    <w:p w14:paraId="4E960479" w14:textId="77777777" w:rsidR="0059656A" w:rsidRPr="00F569AE" w:rsidRDefault="0059656A" w:rsidP="006C530E">
      <w:pPr>
        <w:pStyle w:val="ListParagraph"/>
        <w:numPr>
          <w:ilvl w:val="0"/>
          <w:numId w:val="37"/>
        </w:numPr>
        <w:spacing w:after="200" w:line="276" w:lineRule="auto"/>
        <w:rPr>
          <w:rFonts w:ascii="Calibri" w:hAnsi="Calibri" w:cs="Calibri"/>
        </w:rPr>
      </w:pPr>
      <w:r w:rsidRPr="00F569AE">
        <w:rPr>
          <w:rFonts w:ascii="Calibri" w:hAnsi="Calibri" w:cs="Calibri"/>
        </w:rPr>
        <w:t>JP RAD d.d. Tešanj</w:t>
      </w:r>
    </w:p>
    <w:p w14:paraId="6C3684A0" w14:textId="77777777" w:rsidR="0059656A" w:rsidRPr="00F569AE" w:rsidRDefault="0059656A" w:rsidP="006C530E">
      <w:pPr>
        <w:pStyle w:val="ListParagraph"/>
        <w:numPr>
          <w:ilvl w:val="0"/>
          <w:numId w:val="37"/>
        </w:numPr>
        <w:spacing w:after="200" w:line="276" w:lineRule="auto"/>
        <w:rPr>
          <w:rFonts w:ascii="Calibri" w:hAnsi="Calibri" w:cs="Calibri"/>
        </w:rPr>
      </w:pPr>
      <w:r w:rsidRPr="00F569AE">
        <w:rPr>
          <w:rFonts w:ascii="Calibri" w:hAnsi="Calibri" w:cs="Calibri"/>
        </w:rPr>
        <w:t>Javno komunalno poduzeće "Čapljina" d.o.o. Čapljina</w:t>
      </w:r>
    </w:p>
    <w:p w14:paraId="028AD2D5" w14:textId="77777777" w:rsidR="0059656A" w:rsidRPr="00F569AE" w:rsidRDefault="0059656A" w:rsidP="006C530E">
      <w:pPr>
        <w:pStyle w:val="ListParagraph"/>
        <w:numPr>
          <w:ilvl w:val="0"/>
          <w:numId w:val="37"/>
        </w:numPr>
        <w:spacing w:after="200" w:line="276" w:lineRule="auto"/>
        <w:rPr>
          <w:rFonts w:ascii="Calibri" w:hAnsi="Calibri" w:cs="Calibri"/>
        </w:rPr>
      </w:pPr>
      <w:r w:rsidRPr="00F569AE">
        <w:rPr>
          <w:rFonts w:ascii="Calibri" w:hAnsi="Calibri" w:cs="Calibri"/>
        </w:rPr>
        <w:t>J.P. "Vodovod i kanalizacija" d.o.o. Široki Brijeg</w:t>
      </w:r>
    </w:p>
    <w:p w14:paraId="22C6EDA7" w14:textId="77777777" w:rsidR="0059656A" w:rsidRPr="00F569AE" w:rsidRDefault="0059656A" w:rsidP="006C530E">
      <w:pPr>
        <w:pStyle w:val="ListParagraph"/>
        <w:numPr>
          <w:ilvl w:val="0"/>
          <w:numId w:val="37"/>
        </w:numPr>
        <w:spacing w:after="200" w:line="276" w:lineRule="auto"/>
        <w:rPr>
          <w:rFonts w:ascii="Calibri" w:hAnsi="Calibri" w:cs="Calibri"/>
        </w:rPr>
      </w:pPr>
      <w:r w:rsidRPr="00F569AE">
        <w:rPr>
          <w:rFonts w:ascii="Calibri" w:hAnsi="Calibri" w:cs="Calibri"/>
        </w:rPr>
        <w:t>Komunalno Bosanski Petrovac</w:t>
      </w:r>
    </w:p>
    <w:p w14:paraId="4497E2F5" w14:textId="77777777" w:rsidR="0059656A" w:rsidRPr="00F569AE" w:rsidRDefault="0059656A" w:rsidP="006C530E">
      <w:pPr>
        <w:pStyle w:val="ListParagraph"/>
        <w:numPr>
          <w:ilvl w:val="0"/>
          <w:numId w:val="37"/>
        </w:numPr>
        <w:spacing w:after="200" w:line="276" w:lineRule="auto"/>
        <w:rPr>
          <w:rFonts w:ascii="Calibri" w:hAnsi="Calibri" w:cs="Calibri"/>
        </w:rPr>
      </w:pPr>
      <w:r w:rsidRPr="00F569AE">
        <w:rPr>
          <w:rFonts w:ascii="Calibri" w:hAnsi="Calibri" w:cs="Calibri"/>
        </w:rPr>
        <w:t>KP Vodovod Srbac</w:t>
      </w:r>
    </w:p>
    <w:p w14:paraId="11EA9FD5" w14:textId="77777777" w:rsidR="0059656A" w:rsidRPr="00F569AE" w:rsidRDefault="0059656A" w:rsidP="006C530E">
      <w:pPr>
        <w:pStyle w:val="ListParagraph"/>
        <w:numPr>
          <w:ilvl w:val="0"/>
          <w:numId w:val="37"/>
        </w:numPr>
        <w:spacing w:after="200" w:line="276" w:lineRule="auto"/>
        <w:rPr>
          <w:rFonts w:ascii="Calibri" w:hAnsi="Calibri" w:cs="Calibri"/>
          <w:u w:val="single"/>
        </w:rPr>
      </w:pPr>
      <w:r w:rsidRPr="00F569AE">
        <w:rPr>
          <w:rFonts w:ascii="Calibri" w:hAnsi="Calibri" w:cs="Calibri"/>
        </w:rPr>
        <w:t>KP Vodovod Gradiška</w:t>
      </w:r>
    </w:p>
    <w:p w14:paraId="71026526" w14:textId="77777777" w:rsidR="0059656A" w:rsidRPr="00F569AE" w:rsidRDefault="0059656A" w:rsidP="0059656A">
      <w:pPr>
        <w:rPr>
          <w:rFonts w:ascii="Calibri" w:hAnsi="Calibri" w:cs="Calibri"/>
          <w:b/>
          <w:u w:val="single"/>
          <w:lang w:val="en-US"/>
        </w:rPr>
      </w:pPr>
      <w:r w:rsidRPr="00F569AE">
        <w:rPr>
          <w:rFonts w:ascii="Calibri" w:hAnsi="Calibri" w:cs="Calibri"/>
          <w:b/>
          <w:u w:val="single"/>
          <w:lang w:val="en-US"/>
        </w:rPr>
        <w:t>2. What cites / municipalities your organization serves?</w:t>
      </w:r>
    </w:p>
    <w:p w14:paraId="03EF5A8B" w14:textId="77777777" w:rsidR="0059656A" w:rsidRPr="00F569AE" w:rsidRDefault="0059656A" w:rsidP="006C530E">
      <w:pPr>
        <w:pStyle w:val="ListParagraph"/>
        <w:numPr>
          <w:ilvl w:val="0"/>
          <w:numId w:val="38"/>
        </w:numPr>
        <w:spacing w:after="200" w:line="276" w:lineRule="auto"/>
        <w:rPr>
          <w:rFonts w:ascii="Calibri" w:hAnsi="Calibri" w:cs="Calibri"/>
        </w:rPr>
      </w:pPr>
      <w:r w:rsidRPr="00F569AE">
        <w:rPr>
          <w:rFonts w:ascii="Calibri" w:hAnsi="Calibri" w:cs="Calibri"/>
        </w:rPr>
        <w:t>Municipalities of Istočno Sarajevo, Istočna Ilidža and Trnovo</w:t>
      </w:r>
    </w:p>
    <w:p w14:paraId="10714404" w14:textId="77777777" w:rsidR="0059656A" w:rsidRPr="00F569AE" w:rsidRDefault="0059656A" w:rsidP="006C530E">
      <w:pPr>
        <w:pStyle w:val="ListParagraph"/>
        <w:numPr>
          <w:ilvl w:val="0"/>
          <w:numId w:val="38"/>
        </w:numPr>
        <w:spacing w:after="200" w:line="276" w:lineRule="auto"/>
        <w:rPr>
          <w:rFonts w:ascii="Calibri" w:hAnsi="Calibri" w:cs="Calibri"/>
        </w:rPr>
      </w:pPr>
      <w:r w:rsidRPr="00F569AE">
        <w:rPr>
          <w:rFonts w:ascii="Calibri" w:hAnsi="Calibri" w:cs="Calibri"/>
        </w:rPr>
        <w:t>Prijedor</w:t>
      </w:r>
    </w:p>
    <w:p w14:paraId="644B05CC" w14:textId="77777777" w:rsidR="0059656A" w:rsidRPr="00F569AE" w:rsidRDefault="0059656A" w:rsidP="006C530E">
      <w:pPr>
        <w:pStyle w:val="ListParagraph"/>
        <w:numPr>
          <w:ilvl w:val="0"/>
          <w:numId w:val="38"/>
        </w:numPr>
        <w:spacing w:after="200" w:line="276" w:lineRule="auto"/>
        <w:rPr>
          <w:rFonts w:ascii="Calibri" w:hAnsi="Calibri" w:cs="Calibri"/>
        </w:rPr>
      </w:pPr>
      <w:r w:rsidRPr="00F569AE">
        <w:rPr>
          <w:rFonts w:ascii="Calibri" w:hAnsi="Calibri" w:cs="Calibri"/>
        </w:rPr>
        <w:t>Žepče</w:t>
      </w:r>
    </w:p>
    <w:p w14:paraId="2D2A53BA" w14:textId="77777777" w:rsidR="0059656A" w:rsidRPr="00F569AE" w:rsidRDefault="0059656A" w:rsidP="006C530E">
      <w:pPr>
        <w:pStyle w:val="ListParagraph"/>
        <w:numPr>
          <w:ilvl w:val="0"/>
          <w:numId w:val="38"/>
        </w:numPr>
        <w:spacing w:after="200" w:line="276" w:lineRule="auto"/>
        <w:rPr>
          <w:rFonts w:ascii="Calibri" w:hAnsi="Calibri" w:cs="Calibri"/>
        </w:rPr>
      </w:pPr>
      <w:r w:rsidRPr="00F569AE">
        <w:rPr>
          <w:rFonts w:ascii="Calibri" w:hAnsi="Calibri" w:cs="Calibri"/>
        </w:rPr>
        <w:t>Mrkonjić Grad</w:t>
      </w:r>
    </w:p>
    <w:p w14:paraId="4BDAE0A2" w14:textId="77777777" w:rsidR="0059656A" w:rsidRPr="00F569AE" w:rsidRDefault="0059656A" w:rsidP="006C530E">
      <w:pPr>
        <w:pStyle w:val="ListParagraph"/>
        <w:numPr>
          <w:ilvl w:val="0"/>
          <w:numId w:val="38"/>
        </w:numPr>
        <w:spacing w:after="200" w:line="276" w:lineRule="auto"/>
        <w:rPr>
          <w:rFonts w:ascii="Calibri" w:hAnsi="Calibri" w:cs="Calibri"/>
        </w:rPr>
      </w:pPr>
      <w:r w:rsidRPr="00F569AE">
        <w:rPr>
          <w:rFonts w:ascii="Calibri" w:hAnsi="Calibri" w:cs="Calibri"/>
        </w:rPr>
        <w:t>Šamac</w:t>
      </w:r>
    </w:p>
    <w:p w14:paraId="26E88D6E" w14:textId="77777777" w:rsidR="0059656A" w:rsidRPr="00F569AE" w:rsidRDefault="0059656A" w:rsidP="006C530E">
      <w:pPr>
        <w:pStyle w:val="ListParagraph"/>
        <w:numPr>
          <w:ilvl w:val="0"/>
          <w:numId w:val="38"/>
        </w:numPr>
        <w:spacing w:after="200" w:line="276" w:lineRule="auto"/>
        <w:rPr>
          <w:rFonts w:ascii="Calibri" w:hAnsi="Calibri" w:cs="Calibri"/>
        </w:rPr>
      </w:pPr>
      <w:r w:rsidRPr="00F569AE">
        <w:rPr>
          <w:rFonts w:ascii="Calibri" w:hAnsi="Calibri" w:cs="Calibri"/>
        </w:rPr>
        <w:lastRenderedPageBreak/>
        <w:t>Gacko</w:t>
      </w:r>
    </w:p>
    <w:p w14:paraId="428681FD" w14:textId="77777777" w:rsidR="0059656A" w:rsidRPr="00F569AE" w:rsidRDefault="0059656A" w:rsidP="006C530E">
      <w:pPr>
        <w:pStyle w:val="ListParagraph"/>
        <w:numPr>
          <w:ilvl w:val="0"/>
          <w:numId w:val="38"/>
        </w:numPr>
        <w:spacing w:after="200" w:line="276" w:lineRule="auto"/>
        <w:rPr>
          <w:rFonts w:ascii="Calibri" w:hAnsi="Calibri" w:cs="Calibri"/>
        </w:rPr>
      </w:pPr>
      <w:r w:rsidRPr="00F569AE">
        <w:rPr>
          <w:rFonts w:ascii="Calibri" w:hAnsi="Calibri" w:cs="Calibri"/>
        </w:rPr>
        <w:t>Tešanj</w:t>
      </w:r>
    </w:p>
    <w:p w14:paraId="3D359642" w14:textId="77777777" w:rsidR="0059656A" w:rsidRPr="00F569AE" w:rsidRDefault="0059656A" w:rsidP="006C530E">
      <w:pPr>
        <w:pStyle w:val="ListParagraph"/>
        <w:numPr>
          <w:ilvl w:val="0"/>
          <w:numId w:val="38"/>
        </w:numPr>
        <w:spacing w:after="200" w:line="276" w:lineRule="auto"/>
        <w:rPr>
          <w:rFonts w:ascii="Calibri" w:hAnsi="Calibri" w:cs="Calibri"/>
        </w:rPr>
      </w:pPr>
      <w:r w:rsidRPr="00F569AE">
        <w:rPr>
          <w:rFonts w:ascii="Calibri" w:hAnsi="Calibri" w:cs="Calibri"/>
        </w:rPr>
        <w:t>Čapljina and part of Stolac</w:t>
      </w:r>
    </w:p>
    <w:p w14:paraId="4BD24987" w14:textId="77777777" w:rsidR="0059656A" w:rsidRPr="00F569AE" w:rsidRDefault="0059656A" w:rsidP="006C530E">
      <w:pPr>
        <w:pStyle w:val="ListParagraph"/>
        <w:numPr>
          <w:ilvl w:val="0"/>
          <w:numId w:val="38"/>
        </w:numPr>
        <w:spacing w:after="200" w:line="276" w:lineRule="auto"/>
        <w:rPr>
          <w:rFonts w:ascii="Calibri" w:hAnsi="Calibri" w:cs="Calibri"/>
        </w:rPr>
      </w:pPr>
      <w:r w:rsidRPr="00F569AE">
        <w:rPr>
          <w:rFonts w:ascii="Calibri" w:hAnsi="Calibri" w:cs="Calibri"/>
        </w:rPr>
        <w:t>Široki Brijeg</w:t>
      </w:r>
    </w:p>
    <w:p w14:paraId="5D5B9AEE" w14:textId="77777777" w:rsidR="0059656A" w:rsidRPr="00F569AE" w:rsidRDefault="0059656A" w:rsidP="006C530E">
      <w:pPr>
        <w:pStyle w:val="ListParagraph"/>
        <w:numPr>
          <w:ilvl w:val="0"/>
          <w:numId w:val="38"/>
        </w:numPr>
        <w:spacing w:after="200" w:line="276" w:lineRule="auto"/>
        <w:rPr>
          <w:rFonts w:ascii="Calibri" w:hAnsi="Calibri" w:cs="Calibri"/>
        </w:rPr>
      </w:pPr>
      <w:r w:rsidRPr="00F569AE">
        <w:rPr>
          <w:rFonts w:ascii="Calibri" w:hAnsi="Calibri" w:cs="Calibri"/>
        </w:rPr>
        <w:t>Bosanski Petrovac</w:t>
      </w:r>
    </w:p>
    <w:p w14:paraId="1E5382F7" w14:textId="77777777" w:rsidR="0059656A" w:rsidRPr="00F569AE" w:rsidRDefault="0059656A" w:rsidP="006C530E">
      <w:pPr>
        <w:pStyle w:val="ListParagraph"/>
        <w:numPr>
          <w:ilvl w:val="0"/>
          <w:numId w:val="38"/>
        </w:numPr>
        <w:spacing w:after="200" w:line="276" w:lineRule="auto"/>
        <w:rPr>
          <w:rFonts w:ascii="Calibri" w:hAnsi="Calibri" w:cs="Calibri"/>
        </w:rPr>
      </w:pPr>
      <w:r w:rsidRPr="00F569AE">
        <w:rPr>
          <w:rFonts w:ascii="Calibri" w:hAnsi="Calibri" w:cs="Calibri"/>
        </w:rPr>
        <w:t xml:space="preserve">Srbac, and parts of Gradiška, Derventa and Prnjavor </w:t>
      </w:r>
    </w:p>
    <w:p w14:paraId="04D403CB" w14:textId="77777777" w:rsidR="0059656A" w:rsidRPr="00F569AE" w:rsidRDefault="0059656A" w:rsidP="006C530E">
      <w:pPr>
        <w:pStyle w:val="ListParagraph"/>
        <w:numPr>
          <w:ilvl w:val="0"/>
          <w:numId w:val="38"/>
        </w:numPr>
        <w:spacing w:after="200" w:line="276" w:lineRule="auto"/>
        <w:rPr>
          <w:rFonts w:ascii="Calibri" w:hAnsi="Calibri" w:cs="Calibri"/>
          <w:u w:val="single"/>
        </w:rPr>
      </w:pPr>
      <w:r w:rsidRPr="00F569AE">
        <w:rPr>
          <w:rFonts w:ascii="Calibri" w:hAnsi="Calibri" w:cs="Calibri"/>
        </w:rPr>
        <w:t>Gradiška</w:t>
      </w:r>
    </w:p>
    <w:p w14:paraId="54A22FDA" w14:textId="77777777" w:rsidR="0059656A" w:rsidRPr="00F569AE" w:rsidRDefault="0059656A" w:rsidP="0059656A">
      <w:pPr>
        <w:rPr>
          <w:rFonts w:ascii="Calibri" w:hAnsi="Calibri" w:cs="Calibri"/>
          <w:b/>
          <w:u w:val="single"/>
          <w:lang w:val="en-US"/>
        </w:rPr>
      </w:pPr>
      <w:r w:rsidRPr="00F569AE">
        <w:rPr>
          <w:rFonts w:ascii="Calibri" w:hAnsi="Calibri" w:cs="Calibri"/>
          <w:b/>
          <w:u w:val="single"/>
          <w:lang w:val="en-US"/>
        </w:rPr>
        <w:t>3. What is your position held in the organization?</w:t>
      </w:r>
    </w:p>
    <w:p w14:paraId="6D12A55F" w14:textId="77777777" w:rsidR="0059656A" w:rsidRPr="00F569AE" w:rsidRDefault="0059656A" w:rsidP="0059656A">
      <w:pPr>
        <w:pStyle w:val="ListParagraph"/>
        <w:rPr>
          <w:rFonts w:ascii="Calibri" w:hAnsi="Calibri" w:cs="Calibri"/>
        </w:rPr>
      </w:pPr>
    </w:p>
    <w:p w14:paraId="7F5F0BEB" w14:textId="57413556" w:rsidR="0059656A" w:rsidRPr="00F569AE" w:rsidRDefault="0059656A" w:rsidP="0059656A">
      <w:pPr>
        <w:pStyle w:val="ListParagraph"/>
        <w:rPr>
          <w:rFonts w:ascii="Calibri" w:hAnsi="Calibri" w:cs="Calibri"/>
        </w:rPr>
      </w:pPr>
      <w:r w:rsidRPr="00F569AE">
        <w:rPr>
          <w:rFonts w:ascii="Calibri" w:hAnsi="Calibri" w:cs="Calibri"/>
          <w:noProof/>
        </w:rPr>
        <w:drawing>
          <wp:inline distT="0" distB="0" distL="0" distR="0" wp14:anchorId="693618D9" wp14:editId="03330486">
            <wp:extent cx="4596130" cy="2935605"/>
            <wp:effectExtent l="0" t="0" r="13970" b="10795"/>
            <wp:docPr id="1682023991" name="Chart 16">
              <a:extLst xmlns:a="http://schemas.openxmlformats.org/drawingml/2006/main">
                <a:ext uri="{FF2B5EF4-FFF2-40B4-BE49-F238E27FC236}">
                  <a16:creationId xmlns:a16="http://schemas.microsoft.com/office/drawing/2014/main" id="{82015AEE-B055-4886-998E-B49AF87AE9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7C59317A" w14:textId="77777777" w:rsidR="0059656A" w:rsidRPr="00F569AE" w:rsidRDefault="0059656A" w:rsidP="0059656A">
      <w:pPr>
        <w:rPr>
          <w:rFonts w:ascii="Calibri" w:hAnsi="Calibri" w:cs="Calibri"/>
          <w:b/>
          <w:u w:val="single"/>
          <w:lang w:val="en-US"/>
        </w:rPr>
      </w:pPr>
    </w:p>
    <w:p w14:paraId="04CBFFF2" w14:textId="77777777" w:rsidR="0059656A" w:rsidRPr="00F569AE" w:rsidRDefault="0059656A" w:rsidP="0059656A">
      <w:pPr>
        <w:rPr>
          <w:rFonts w:ascii="Calibri" w:hAnsi="Calibri" w:cs="Calibri"/>
          <w:b/>
          <w:u w:val="single"/>
          <w:lang w:val="en-US"/>
        </w:rPr>
      </w:pPr>
      <w:r w:rsidRPr="00F569AE">
        <w:rPr>
          <w:rFonts w:ascii="Calibri" w:hAnsi="Calibri" w:cs="Calibri"/>
          <w:b/>
          <w:u w:val="single"/>
          <w:lang w:val="en-US"/>
        </w:rPr>
        <w:t xml:space="preserve">4. What support you have received from MEG project? </w:t>
      </w:r>
    </w:p>
    <w:p w14:paraId="2126ACAD" w14:textId="77777777" w:rsidR="0059656A" w:rsidRPr="00F569AE" w:rsidRDefault="0059656A" w:rsidP="0059656A">
      <w:pPr>
        <w:rPr>
          <w:rFonts w:ascii="Calibri" w:hAnsi="Calibri" w:cs="Calibri"/>
          <w:b/>
          <w:u w:val="single"/>
          <w:lang w:val="en-US"/>
        </w:rPr>
      </w:pPr>
    </w:p>
    <w:p w14:paraId="63BB2071" w14:textId="2ECDDB1A" w:rsidR="0059656A" w:rsidRPr="00F569AE" w:rsidRDefault="0059656A" w:rsidP="0059656A">
      <w:pPr>
        <w:rPr>
          <w:rFonts w:ascii="Calibri" w:hAnsi="Calibri" w:cs="Calibri"/>
          <w:u w:val="single"/>
          <w:lang w:val="en-US"/>
        </w:rPr>
      </w:pPr>
      <w:r w:rsidRPr="00F569AE">
        <w:rPr>
          <w:rFonts w:ascii="Calibri" w:hAnsi="Calibri" w:cs="Calibri"/>
          <w:noProof/>
          <w:lang w:val="en-US"/>
        </w:rPr>
        <w:drawing>
          <wp:inline distT="0" distB="0" distL="0" distR="0" wp14:anchorId="5B64370A" wp14:editId="145C2A42">
            <wp:extent cx="6055995" cy="3007995"/>
            <wp:effectExtent l="0" t="0" r="14605" b="14605"/>
            <wp:docPr id="1631700446" name="Chart 15">
              <a:extLst xmlns:a="http://schemas.openxmlformats.org/drawingml/2006/main">
                <a:ext uri="{FF2B5EF4-FFF2-40B4-BE49-F238E27FC236}">
                  <a16:creationId xmlns:a16="http://schemas.microsoft.com/office/drawing/2014/main" id="{DDCAD8D2-E298-4C48-96F2-9C9E479793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14:paraId="1CD886B7" w14:textId="77777777" w:rsidR="0059656A" w:rsidRPr="00F569AE" w:rsidRDefault="0059656A" w:rsidP="0059656A">
      <w:pPr>
        <w:rPr>
          <w:rFonts w:ascii="Calibri" w:hAnsi="Calibri" w:cs="Calibri"/>
          <w:b/>
          <w:u w:val="single"/>
          <w:lang w:val="en-US"/>
        </w:rPr>
      </w:pPr>
    </w:p>
    <w:p w14:paraId="39B4D107" w14:textId="77777777" w:rsidR="0059656A" w:rsidRPr="00F569AE" w:rsidRDefault="0059656A" w:rsidP="0059656A">
      <w:pPr>
        <w:rPr>
          <w:rFonts w:ascii="Calibri" w:hAnsi="Calibri" w:cs="Calibri"/>
          <w:b/>
          <w:u w:val="single"/>
          <w:lang w:val="en-US"/>
        </w:rPr>
      </w:pPr>
    </w:p>
    <w:p w14:paraId="68C3DC5F" w14:textId="77777777" w:rsidR="0059656A" w:rsidRPr="00F569AE" w:rsidRDefault="0059656A" w:rsidP="0059656A">
      <w:pPr>
        <w:rPr>
          <w:rFonts w:ascii="Calibri" w:hAnsi="Calibri" w:cs="Calibri"/>
          <w:b/>
          <w:u w:val="single"/>
          <w:lang w:val="en-US"/>
        </w:rPr>
      </w:pPr>
    </w:p>
    <w:p w14:paraId="3CEA18C1" w14:textId="77777777" w:rsidR="0059656A" w:rsidRPr="00F569AE" w:rsidRDefault="0059656A" w:rsidP="0059656A">
      <w:pPr>
        <w:rPr>
          <w:rFonts w:ascii="Calibri" w:hAnsi="Calibri" w:cs="Calibri"/>
          <w:b/>
          <w:u w:val="single"/>
          <w:lang w:val="en-US"/>
        </w:rPr>
      </w:pPr>
      <w:r w:rsidRPr="00F569AE">
        <w:rPr>
          <w:rFonts w:ascii="Calibri" w:hAnsi="Calibri" w:cs="Calibri"/>
          <w:b/>
          <w:u w:val="single"/>
          <w:lang w:val="en-US"/>
        </w:rPr>
        <w:t>4.1 List examples of how project supported your organization</w:t>
      </w:r>
    </w:p>
    <w:p w14:paraId="7BC481B2" w14:textId="77777777" w:rsidR="0059656A" w:rsidRPr="00F569AE" w:rsidRDefault="0059656A" w:rsidP="0059656A">
      <w:pPr>
        <w:rPr>
          <w:rFonts w:ascii="Calibri" w:hAnsi="Calibri" w:cs="Calibri"/>
          <w:b/>
          <w:u w:val="single"/>
          <w:lang w:val="en-US"/>
        </w:rPr>
      </w:pPr>
    </w:p>
    <w:p w14:paraId="3CB084D9" w14:textId="220B49D9" w:rsidR="0059656A" w:rsidRPr="00F569AE" w:rsidRDefault="0059656A" w:rsidP="0059656A">
      <w:pPr>
        <w:rPr>
          <w:rFonts w:ascii="Calibri" w:hAnsi="Calibri" w:cs="Calibri"/>
          <w:u w:val="single"/>
          <w:lang w:val="en-US"/>
        </w:rPr>
      </w:pPr>
      <w:r w:rsidRPr="00F569AE">
        <w:rPr>
          <w:rFonts w:ascii="Calibri" w:hAnsi="Calibri" w:cs="Calibri"/>
          <w:noProof/>
          <w:lang w:val="en-US"/>
        </w:rPr>
        <w:drawing>
          <wp:inline distT="0" distB="0" distL="0" distR="0" wp14:anchorId="2EA05E4A" wp14:editId="6209839F">
            <wp:extent cx="6055995" cy="2975610"/>
            <wp:effectExtent l="0" t="0" r="14605" b="8890"/>
            <wp:docPr id="1128085616" name="Chart 14">
              <a:extLst xmlns:a="http://schemas.openxmlformats.org/drawingml/2006/main">
                <a:ext uri="{FF2B5EF4-FFF2-40B4-BE49-F238E27FC236}">
                  <a16:creationId xmlns:a16="http://schemas.microsoft.com/office/drawing/2014/main" id="{DDCAD8D2-E298-4C48-96F2-9C9E479793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p w14:paraId="5AE543FC" w14:textId="77777777" w:rsidR="0059656A" w:rsidRPr="00F569AE" w:rsidRDefault="0059656A" w:rsidP="0059656A">
      <w:pPr>
        <w:rPr>
          <w:rFonts w:ascii="Calibri" w:hAnsi="Calibri" w:cs="Calibri"/>
          <w:b/>
          <w:u w:val="single"/>
          <w:lang w:val="en-US"/>
        </w:rPr>
      </w:pPr>
    </w:p>
    <w:p w14:paraId="286DFB81" w14:textId="77777777" w:rsidR="0059656A" w:rsidRPr="00F569AE" w:rsidRDefault="0059656A" w:rsidP="0059656A">
      <w:pPr>
        <w:rPr>
          <w:rFonts w:ascii="Calibri" w:hAnsi="Calibri" w:cs="Calibri"/>
          <w:b/>
          <w:u w:val="single"/>
          <w:lang w:val="en-US"/>
        </w:rPr>
      </w:pPr>
      <w:r w:rsidRPr="00F569AE">
        <w:rPr>
          <w:rFonts w:ascii="Calibri" w:hAnsi="Calibri" w:cs="Calibri"/>
          <w:b/>
          <w:u w:val="single"/>
          <w:lang w:val="en-US"/>
        </w:rPr>
        <w:t>5. How would you rate the importance of the MEG project for your organization? (0 – no importance / 5 – great importance)</w:t>
      </w:r>
    </w:p>
    <w:p w14:paraId="1E565F5A" w14:textId="77777777" w:rsidR="0059656A" w:rsidRPr="00F569AE" w:rsidRDefault="0059656A" w:rsidP="0059656A">
      <w:pPr>
        <w:rPr>
          <w:rFonts w:ascii="Calibri" w:hAnsi="Calibri" w:cs="Calibri"/>
          <w:b/>
          <w:u w:val="single"/>
          <w:lang w:val="en-US"/>
        </w:rPr>
      </w:pPr>
    </w:p>
    <w:p w14:paraId="7294D137" w14:textId="0832F41D" w:rsidR="0059656A" w:rsidRPr="00F569AE" w:rsidRDefault="0059656A" w:rsidP="0059656A">
      <w:pPr>
        <w:rPr>
          <w:rFonts w:ascii="Calibri" w:hAnsi="Calibri" w:cs="Calibri"/>
          <w:u w:val="single"/>
          <w:lang w:val="en-US"/>
        </w:rPr>
      </w:pPr>
      <w:r w:rsidRPr="00F569AE">
        <w:rPr>
          <w:rFonts w:ascii="Calibri" w:hAnsi="Calibri" w:cs="Calibri"/>
          <w:noProof/>
          <w:lang w:val="en-US"/>
        </w:rPr>
        <w:drawing>
          <wp:inline distT="0" distB="0" distL="0" distR="0" wp14:anchorId="594E06B0" wp14:editId="7198A65B">
            <wp:extent cx="6007735" cy="2935605"/>
            <wp:effectExtent l="0" t="0" r="12065" b="10795"/>
            <wp:docPr id="2079430335" name="Chart 13">
              <a:extLst xmlns:a="http://schemas.openxmlformats.org/drawingml/2006/main">
                <a:ext uri="{FF2B5EF4-FFF2-40B4-BE49-F238E27FC236}">
                  <a16:creationId xmlns:a16="http://schemas.microsoft.com/office/drawing/2014/main" id="{E7D60CA4-08E5-410D-9810-6ABC28439C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inline>
        </w:drawing>
      </w:r>
    </w:p>
    <w:p w14:paraId="522B1CCC" w14:textId="77777777" w:rsidR="0059656A" w:rsidRPr="00F569AE" w:rsidRDefault="0059656A" w:rsidP="0059656A">
      <w:pPr>
        <w:rPr>
          <w:rFonts w:ascii="Calibri" w:hAnsi="Calibri" w:cs="Calibri"/>
          <w:b/>
          <w:u w:val="single"/>
          <w:lang w:val="en-US"/>
        </w:rPr>
      </w:pPr>
    </w:p>
    <w:p w14:paraId="5AFC94A6" w14:textId="77777777" w:rsidR="0059656A" w:rsidRPr="00F569AE" w:rsidRDefault="0059656A" w:rsidP="0059656A">
      <w:pPr>
        <w:rPr>
          <w:rFonts w:ascii="Calibri" w:hAnsi="Calibri" w:cs="Calibri"/>
          <w:b/>
          <w:u w:val="single"/>
          <w:lang w:val="en-US"/>
        </w:rPr>
      </w:pPr>
    </w:p>
    <w:p w14:paraId="26DF9CA4" w14:textId="77777777" w:rsidR="0059656A" w:rsidRPr="00F569AE" w:rsidRDefault="0059656A" w:rsidP="0059656A">
      <w:pPr>
        <w:rPr>
          <w:rFonts w:ascii="Calibri" w:hAnsi="Calibri" w:cs="Calibri"/>
          <w:b/>
          <w:u w:val="single"/>
          <w:lang w:val="en-US"/>
        </w:rPr>
      </w:pPr>
    </w:p>
    <w:p w14:paraId="6B890E7A" w14:textId="77777777" w:rsidR="0059656A" w:rsidRPr="00F569AE" w:rsidRDefault="0059656A" w:rsidP="0059656A">
      <w:pPr>
        <w:rPr>
          <w:rFonts w:ascii="Calibri" w:hAnsi="Calibri" w:cs="Calibri"/>
          <w:b/>
          <w:u w:val="single"/>
          <w:lang w:val="en-US"/>
        </w:rPr>
      </w:pPr>
    </w:p>
    <w:p w14:paraId="03FD426E" w14:textId="77777777" w:rsidR="0059656A" w:rsidRPr="00F569AE" w:rsidRDefault="0059656A" w:rsidP="0059656A">
      <w:pPr>
        <w:rPr>
          <w:rFonts w:ascii="Calibri" w:hAnsi="Calibri" w:cs="Calibri"/>
          <w:b/>
          <w:u w:val="single"/>
          <w:lang w:val="en-US"/>
        </w:rPr>
      </w:pPr>
    </w:p>
    <w:p w14:paraId="25EA1CDA" w14:textId="77777777" w:rsidR="0059656A" w:rsidRPr="00F569AE" w:rsidRDefault="0059656A" w:rsidP="0059656A">
      <w:pPr>
        <w:rPr>
          <w:rFonts w:ascii="Calibri" w:hAnsi="Calibri" w:cs="Calibri"/>
          <w:b/>
          <w:u w:val="single"/>
          <w:lang w:val="en-US"/>
        </w:rPr>
      </w:pPr>
    </w:p>
    <w:p w14:paraId="21619517" w14:textId="77777777" w:rsidR="0059656A" w:rsidRPr="00F569AE" w:rsidRDefault="0059656A" w:rsidP="0059656A">
      <w:pPr>
        <w:rPr>
          <w:rFonts w:ascii="Calibri" w:hAnsi="Calibri" w:cs="Calibri"/>
          <w:b/>
          <w:u w:val="single"/>
          <w:lang w:val="en-US"/>
        </w:rPr>
      </w:pPr>
    </w:p>
    <w:p w14:paraId="37A1482E" w14:textId="77777777" w:rsidR="0059656A" w:rsidRPr="00F569AE" w:rsidRDefault="0059656A" w:rsidP="0059656A">
      <w:pPr>
        <w:rPr>
          <w:rFonts w:ascii="Calibri" w:hAnsi="Calibri" w:cs="Calibri"/>
          <w:b/>
          <w:u w:val="single"/>
          <w:lang w:val="en-US"/>
        </w:rPr>
      </w:pPr>
    </w:p>
    <w:p w14:paraId="415AE8B9" w14:textId="77777777" w:rsidR="0059656A" w:rsidRPr="00F569AE" w:rsidRDefault="0059656A" w:rsidP="0059656A">
      <w:pPr>
        <w:rPr>
          <w:rFonts w:ascii="Calibri" w:hAnsi="Calibri" w:cs="Calibri"/>
          <w:b/>
          <w:u w:val="single"/>
          <w:lang w:val="en-US"/>
        </w:rPr>
      </w:pPr>
    </w:p>
    <w:p w14:paraId="579EDD25" w14:textId="77777777" w:rsidR="0059656A" w:rsidRPr="00F569AE" w:rsidRDefault="0059656A" w:rsidP="0059656A">
      <w:pPr>
        <w:rPr>
          <w:rFonts w:ascii="Calibri" w:hAnsi="Calibri" w:cs="Calibri"/>
          <w:b/>
          <w:u w:val="single"/>
          <w:lang w:val="en-US"/>
        </w:rPr>
      </w:pPr>
      <w:r w:rsidRPr="00F569AE">
        <w:rPr>
          <w:rFonts w:ascii="Calibri" w:hAnsi="Calibri" w:cs="Calibri"/>
          <w:b/>
          <w:u w:val="single"/>
          <w:lang w:val="en-US"/>
        </w:rPr>
        <w:t>6. How well do you think the MEG project performed to improve regulatory and operational environment for water/wastewater sector management in your city / municipality? (0 – no performance / 5 – great performance)</w:t>
      </w:r>
    </w:p>
    <w:p w14:paraId="0496A96A" w14:textId="77777777" w:rsidR="0059656A" w:rsidRPr="00F569AE" w:rsidRDefault="0059656A" w:rsidP="0059656A">
      <w:pPr>
        <w:rPr>
          <w:rFonts w:ascii="Calibri" w:hAnsi="Calibri" w:cs="Calibri"/>
          <w:b/>
          <w:u w:val="single"/>
          <w:lang w:val="en-US"/>
        </w:rPr>
      </w:pPr>
    </w:p>
    <w:p w14:paraId="22EDFA3D" w14:textId="61BD3235" w:rsidR="0059656A" w:rsidRPr="00F569AE" w:rsidRDefault="0059656A" w:rsidP="0059656A">
      <w:pPr>
        <w:rPr>
          <w:rFonts w:ascii="Calibri" w:hAnsi="Calibri" w:cs="Calibri"/>
          <w:b/>
          <w:u w:val="single"/>
          <w:lang w:val="en-US"/>
        </w:rPr>
      </w:pPr>
      <w:r w:rsidRPr="00F569AE">
        <w:rPr>
          <w:rFonts w:ascii="Calibri" w:hAnsi="Calibri" w:cs="Calibri"/>
          <w:noProof/>
          <w:lang w:val="en-US"/>
        </w:rPr>
        <w:drawing>
          <wp:inline distT="0" distB="0" distL="0" distR="0" wp14:anchorId="2163648F" wp14:editId="3B485A4E">
            <wp:extent cx="6055995" cy="3128010"/>
            <wp:effectExtent l="0" t="0" r="14605" b="8890"/>
            <wp:docPr id="1034612907" name="Chart 12">
              <a:extLst xmlns:a="http://schemas.openxmlformats.org/drawingml/2006/main">
                <a:ext uri="{FF2B5EF4-FFF2-40B4-BE49-F238E27FC236}">
                  <a16:creationId xmlns:a16="http://schemas.microsoft.com/office/drawing/2014/main" id="{C7C9260E-2EF0-40B5-A23E-1D59C87988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3"/>
              </a:graphicData>
            </a:graphic>
          </wp:inline>
        </w:drawing>
      </w:r>
    </w:p>
    <w:p w14:paraId="1EA5A884" w14:textId="77777777" w:rsidR="0059656A" w:rsidRPr="00F569AE" w:rsidRDefault="0059656A" w:rsidP="0059656A">
      <w:pPr>
        <w:rPr>
          <w:rFonts w:ascii="Calibri" w:hAnsi="Calibri" w:cs="Calibri"/>
          <w:b/>
          <w:u w:val="single"/>
          <w:lang w:val="en-US"/>
        </w:rPr>
      </w:pPr>
    </w:p>
    <w:p w14:paraId="543E85D3" w14:textId="77777777" w:rsidR="0059656A" w:rsidRPr="00F569AE" w:rsidRDefault="0059656A" w:rsidP="0059656A">
      <w:pPr>
        <w:rPr>
          <w:rFonts w:ascii="Calibri" w:hAnsi="Calibri" w:cs="Calibri"/>
          <w:b/>
          <w:u w:val="single"/>
          <w:lang w:val="en-US"/>
        </w:rPr>
      </w:pPr>
      <w:r w:rsidRPr="00F569AE">
        <w:rPr>
          <w:rFonts w:ascii="Calibri" w:hAnsi="Calibri" w:cs="Calibri"/>
          <w:b/>
          <w:u w:val="single"/>
          <w:lang w:val="en-US"/>
        </w:rPr>
        <w:t xml:space="preserve">7. What particularly you would like to mention as an achievement? </w:t>
      </w:r>
    </w:p>
    <w:p w14:paraId="7DA0E07E" w14:textId="284D99EA" w:rsidR="0059656A" w:rsidRPr="00F569AE" w:rsidRDefault="0059656A" w:rsidP="0059656A">
      <w:pPr>
        <w:pStyle w:val="ListParagraph"/>
        <w:spacing w:line="276" w:lineRule="atLeast"/>
        <w:ind w:left="0"/>
        <w:rPr>
          <w:rFonts w:ascii="Calibri" w:hAnsi="Calibri" w:cs="Calibri"/>
          <w:color w:val="000000"/>
        </w:rPr>
      </w:pPr>
      <w:r w:rsidRPr="00F569AE">
        <w:rPr>
          <w:rFonts w:ascii="Calibri" w:hAnsi="Calibri" w:cs="Calibri"/>
          <w:noProof/>
        </w:rPr>
        <w:drawing>
          <wp:inline distT="0" distB="0" distL="0" distR="0" wp14:anchorId="7D157486" wp14:editId="1D922F5A">
            <wp:extent cx="5967730" cy="3072130"/>
            <wp:effectExtent l="0" t="0" r="13970" b="13970"/>
            <wp:docPr id="1196188436" name="Chart 11">
              <a:extLst xmlns:a="http://schemas.openxmlformats.org/drawingml/2006/main">
                <a:ext uri="{FF2B5EF4-FFF2-40B4-BE49-F238E27FC236}">
                  <a16:creationId xmlns:a16="http://schemas.microsoft.com/office/drawing/2014/main" id="{6D9EBCB7-9481-439B-8938-67AB4944A7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4"/>
              </a:graphicData>
            </a:graphic>
          </wp:inline>
        </w:drawing>
      </w:r>
    </w:p>
    <w:p w14:paraId="1FD130BF" w14:textId="77777777" w:rsidR="0059656A" w:rsidRPr="00F569AE" w:rsidRDefault="0059656A" w:rsidP="0059656A">
      <w:pPr>
        <w:spacing w:line="276" w:lineRule="atLeast"/>
        <w:rPr>
          <w:rFonts w:ascii="Calibri" w:hAnsi="Calibri" w:cs="Calibri"/>
          <w:b/>
          <w:color w:val="000000"/>
          <w:u w:val="single"/>
          <w:lang w:val="en-US"/>
        </w:rPr>
      </w:pPr>
    </w:p>
    <w:p w14:paraId="3747C350" w14:textId="77777777" w:rsidR="0059656A" w:rsidRPr="00F569AE" w:rsidRDefault="0059656A" w:rsidP="0059656A">
      <w:pPr>
        <w:spacing w:line="276" w:lineRule="atLeast"/>
        <w:rPr>
          <w:rFonts w:ascii="Calibri" w:hAnsi="Calibri" w:cs="Calibri"/>
          <w:b/>
          <w:color w:val="000000"/>
          <w:u w:val="single"/>
          <w:lang w:val="en-US"/>
        </w:rPr>
      </w:pPr>
    </w:p>
    <w:p w14:paraId="571CA92E" w14:textId="77777777" w:rsidR="0059656A" w:rsidRPr="00F569AE" w:rsidRDefault="0059656A" w:rsidP="0059656A">
      <w:pPr>
        <w:spacing w:line="276" w:lineRule="atLeast"/>
        <w:rPr>
          <w:rFonts w:ascii="Calibri" w:hAnsi="Calibri" w:cs="Calibri"/>
          <w:b/>
          <w:color w:val="000000"/>
          <w:u w:val="single"/>
          <w:lang w:val="en-US"/>
        </w:rPr>
      </w:pPr>
    </w:p>
    <w:p w14:paraId="019330BE" w14:textId="77777777" w:rsidR="0059656A" w:rsidRPr="00F569AE" w:rsidRDefault="0059656A" w:rsidP="0059656A">
      <w:pPr>
        <w:spacing w:line="276" w:lineRule="atLeast"/>
        <w:rPr>
          <w:rFonts w:ascii="Calibri" w:hAnsi="Calibri" w:cs="Calibri"/>
          <w:b/>
          <w:color w:val="000000"/>
          <w:u w:val="single"/>
          <w:lang w:val="en-US"/>
        </w:rPr>
      </w:pPr>
    </w:p>
    <w:p w14:paraId="06C19323" w14:textId="77777777" w:rsidR="0059656A" w:rsidRPr="00F569AE" w:rsidRDefault="0059656A" w:rsidP="0059656A">
      <w:pPr>
        <w:spacing w:line="276" w:lineRule="atLeast"/>
        <w:rPr>
          <w:rFonts w:ascii="Calibri" w:hAnsi="Calibri" w:cs="Calibri"/>
          <w:b/>
          <w:color w:val="000000"/>
          <w:u w:val="single"/>
          <w:lang w:val="en-US"/>
        </w:rPr>
      </w:pPr>
    </w:p>
    <w:p w14:paraId="4B365C57" w14:textId="77777777" w:rsidR="0059656A" w:rsidRPr="00F569AE" w:rsidRDefault="0059656A" w:rsidP="0059656A">
      <w:pPr>
        <w:spacing w:line="276" w:lineRule="atLeast"/>
        <w:rPr>
          <w:rFonts w:ascii="Calibri" w:hAnsi="Calibri" w:cs="Calibri"/>
          <w:b/>
          <w:color w:val="000000"/>
          <w:u w:val="single"/>
          <w:lang w:val="en-US"/>
        </w:rPr>
      </w:pPr>
    </w:p>
    <w:p w14:paraId="7F81448A" w14:textId="77777777" w:rsidR="0059656A" w:rsidRPr="00F569AE" w:rsidRDefault="0059656A" w:rsidP="0059656A">
      <w:pPr>
        <w:spacing w:line="276" w:lineRule="atLeast"/>
        <w:rPr>
          <w:rFonts w:ascii="Calibri" w:hAnsi="Calibri" w:cs="Calibri"/>
          <w:b/>
          <w:color w:val="000000"/>
          <w:u w:val="single"/>
          <w:lang w:val="en-US"/>
        </w:rPr>
      </w:pPr>
    </w:p>
    <w:p w14:paraId="1D2F5CF1" w14:textId="77777777" w:rsidR="0059656A" w:rsidRPr="00F569AE" w:rsidRDefault="0059656A" w:rsidP="0059656A">
      <w:pPr>
        <w:spacing w:line="276" w:lineRule="atLeast"/>
        <w:rPr>
          <w:rFonts w:ascii="Calibri" w:hAnsi="Calibri" w:cs="Calibri"/>
          <w:b/>
          <w:color w:val="000000"/>
          <w:u w:val="single"/>
          <w:lang w:val="en-US"/>
        </w:rPr>
      </w:pPr>
    </w:p>
    <w:p w14:paraId="3D0D584D" w14:textId="77777777" w:rsidR="0059656A" w:rsidRPr="00F569AE" w:rsidRDefault="0059656A" w:rsidP="0059656A">
      <w:pPr>
        <w:spacing w:line="276" w:lineRule="atLeast"/>
        <w:rPr>
          <w:rFonts w:ascii="Calibri" w:hAnsi="Calibri" w:cs="Calibri"/>
          <w:b/>
          <w:color w:val="000000"/>
          <w:u w:val="single"/>
          <w:lang w:val="en-US"/>
        </w:rPr>
      </w:pPr>
      <w:r w:rsidRPr="00F569AE">
        <w:rPr>
          <w:rFonts w:ascii="Calibri" w:hAnsi="Calibri" w:cs="Calibri"/>
          <w:b/>
          <w:color w:val="000000"/>
          <w:u w:val="single"/>
          <w:lang w:val="en-US"/>
        </w:rPr>
        <w:t>7.1 What are the 3 examples of the most prominent achievements / results of MEG II project?</w:t>
      </w:r>
    </w:p>
    <w:p w14:paraId="44015824" w14:textId="77777777" w:rsidR="0059656A" w:rsidRPr="00F569AE" w:rsidRDefault="0059656A" w:rsidP="0059656A">
      <w:pPr>
        <w:spacing w:line="276" w:lineRule="atLeast"/>
        <w:rPr>
          <w:rFonts w:ascii="Calibri" w:hAnsi="Calibri" w:cs="Calibri"/>
          <w:b/>
          <w:color w:val="000000"/>
          <w:u w:val="single"/>
          <w:lang w:val="en-US"/>
        </w:rPr>
      </w:pPr>
    </w:p>
    <w:p w14:paraId="029F3293" w14:textId="637BD28C" w:rsidR="0059656A" w:rsidRPr="00F569AE" w:rsidRDefault="0059656A" w:rsidP="0059656A">
      <w:pPr>
        <w:spacing w:line="276" w:lineRule="atLeast"/>
        <w:rPr>
          <w:rFonts w:ascii="Calibri" w:hAnsi="Calibri" w:cs="Calibri"/>
          <w:b/>
          <w:color w:val="000000"/>
          <w:u w:val="single"/>
          <w:lang w:val="en-US"/>
        </w:rPr>
      </w:pPr>
      <w:r w:rsidRPr="00F569AE">
        <w:rPr>
          <w:rFonts w:ascii="Calibri" w:hAnsi="Calibri" w:cs="Calibri"/>
          <w:noProof/>
          <w:lang w:val="en-US"/>
        </w:rPr>
        <w:drawing>
          <wp:inline distT="0" distB="0" distL="0" distR="0" wp14:anchorId="3B2429D2" wp14:editId="524606B3">
            <wp:extent cx="5751195" cy="3184525"/>
            <wp:effectExtent l="0" t="0" r="14605" b="15875"/>
            <wp:docPr id="16" name="Chart 10">
              <a:extLst xmlns:a="http://schemas.openxmlformats.org/drawingml/2006/main">
                <a:ext uri="{FF2B5EF4-FFF2-40B4-BE49-F238E27FC236}">
                  <a16:creationId xmlns:a16="http://schemas.microsoft.com/office/drawing/2014/main" id="{E01AD217-602A-4859-A8F2-2146DE93F8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5"/>
              </a:graphicData>
            </a:graphic>
          </wp:inline>
        </w:drawing>
      </w:r>
      <w:r w:rsidRPr="00F569AE">
        <w:rPr>
          <w:rFonts w:ascii="Calibri" w:hAnsi="Calibri" w:cs="Calibri"/>
          <w:b/>
          <w:color w:val="000000"/>
          <w:u w:val="single"/>
          <w:lang w:val="en-US"/>
        </w:rPr>
        <w:t xml:space="preserve"> </w:t>
      </w:r>
    </w:p>
    <w:p w14:paraId="3063EE8C" w14:textId="77777777" w:rsidR="0059656A" w:rsidRPr="00F569AE" w:rsidRDefault="0059656A" w:rsidP="0059656A">
      <w:pPr>
        <w:spacing w:line="276" w:lineRule="atLeast"/>
        <w:rPr>
          <w:rFonts w:ascii="Calibri" w:hAnsi="Calibri" w:cs="Calibri"/>
          <w:color w:val="000000"/>
          <w:lang w:val="en-US"/>
        </w:rPr>
      </w:pPr>
    </w:p>
    <w:p w14:paraId="04C32CBC" w14:textId="77777777" w:rsidR="0059656A" w:rsidRPr="00F569AE" w:rsidRDefault="0059656A" w:rsidP="0059656A">
      <w:pPr>
        <w:spacing w:line="276" w:lineRule="atLeast"/>
        <w:rPr>
          <w:rFonts w:ascii="Calibri" w:hAnsi="Calibri" w:cs="Calibri"/>
          <w:color w:val="000000"/>
          <w:lang w:val="en-US"/>
        </w:rPr>
      </w:pPr>
    </w:p>
    <w:tbl>
      <w:tblPr>
        <w:tblStyle w:val="TableGrid"/>
        <w:tblW w:w="0" w:type="auto"/>
        <w:tblInd w:w="108" w:type="dxa"/>
        <w:tblLook w:val="04A0" w:firstRow="1" w:lastRow="0" w:firstColumn="1" w:lastColumn="0" w:noHBand="0" w:noVBand="1"/>
      </w:tblPr>
      <w:tblGrid>
        <w:gridCol w:w="2968"/>
        <w:gridCol w:w="3073"/>
        <w:gridCol w:w="2861"/>
      </w:tblGrid>
      <w:tr w:rsidR="0059656A" w:rsidRPr="00F569AE" w14:paraId="314A5E73" w14:textId="77777777" w:rsidTr="0059656A">
        <w:trPr>
          <w:tblHeader/>
        </w:trPr>
        <w:tc>
          <w:tcPr>
            <w:tcW w:w="935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97D16F" w14:textId="77777777" w:rsidR="0059656A" w:rsidRPr="00F569AE" w:rsidRDefault="0059656A">
            <w:pPr>
              <w:spacing w:line="276" w:lineRule="atLeast"/>
              <w:jc w:val="center"/>
              <w:rPr>
                <w:rFonts w:ascii="Calibri" w:hAnsi="Calibri" w:cs="Calibri"/>
                <w:b/>
                <w:color w:val="000000"/>
                <w:lang w:val="en-US" w:eastAsia="en-US"/>
              </w:rPr>
            </w:pPr>
            <w:r w:rsidRPr="00F569AE">
              <w:rPr>
                <w:rFonts w:ascii="Calibri" w:hAnsi="Calibri" w:cs="Calibri"/>
                <w:b/>
                <w:color w:val="000000"/>
                <w:lang w:val="en-US" w:eastAsia="en-US"/>
              </w:rPr>
              <w:t>Achievements / results of MEG II project</w:t>
            </w:r>
          </w:p>
        </w:tc>
      </w:tr>
      <w:tr w:rsidR="0059656A" w:rsidRPr="00F569AE" w14:paraId="44CBC238" w14:textId="77777777" w:rsidTr="0059656A">
        <w:tc>
          <w:tcPr>
            <w:tcW w:w="3128" w:type="dxa"/>
            <w:tcBorders>
              <w:top w:val="single" w:sz="4" w:space="0" w:color="auto"/>
              <w:left w:val="single" w:sz="4" w:space="0" w:color="auto"/>
              <w:bottom w:val="single" w:sz="4" w:space="0" w:color="auto"/>
              <w:right w:val="single" w:sz="4" w:space="0" w:color="auto"/>
            </w:tcBorders>
            <w:hideMark/>
          </w:tcPr>
          <w:p w14:paraId="0D16346D"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Reduction of NWR</w:t>
            </w:r>
          </w:p>
        </w:tc>
        <w:tc>
          <w:tcPr>
            <w:tcW w:w="3236" w:type="dxa"/>
            <w:tcBorders>
              <w:top w:val="single" w:sz="4" w:space="0" w:color="auto"/>
              <w:left w:val="single" w:sz="4" w:space="0" w:color="auto"/>
              <w:bottom w:val="single" w:sz="4" w:space="0" w:color="auto"/>
              <w:right w:val="single" w:sz="4" w:space="0" w:color="auto"/>
            </w:tcBorders>
            <w:hideMark/>
          </w:tcPr>
          <w:p w14:paraId="27E5FA7D"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Financial stability</w:t>
            </w:r>
          </w:p>
        </w:tc>
        <w:tc>
          <w:tcPr>
            <w:tcW w:w="2992" w:type="dxa"/>
            <w:tcBorders>
              <w:top w:val="single" w:sz="4" w:space="0" w:color="auto"/>
              <w:left w:val="single" w:sz="4" w:space="0" w:color="auto"/>
              <w:bottom w:val="single" w:sz="4" w:space="0" w:color="auto"/>
              <w:right w:val="single" w:sz="4" w:space="0" w:color="auto"/>
            </w:tcBorders>
            <w:hideMark/>
          </w:tcPr>
          <w:p w14:paraId="3CC74C6D"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Defined relations between LG and WUC</w:t>
            </w:r>
          </w:p>
        </w:tc>
      </w:tr>
      <w:tr w:rsidR="0059656A" w:rsidRPr="00F569AE" w14:paraId="4047FAC0" w14:textId="77777777" w:rsidTr="0059656A">
        <w:tc>
          <w:tcPr>
            <w:tcW w:w="3128" w:type="dxa"/>
            <w:tcBorders>
              <w:top w:val="single" w:sz="4" w:space="0" w:color="auto"/>
              <w:left w:val="single" w:sz="4" w:space="0" w:color="auto"/>
              <w:bottom w:val="single" w:sz="4" w:space="0" w:color="auto"/>
              <w:right w:val="single" w:sz="4" w:space="0" w:color="auto"/>
            </w:tcBorders>
            <w:hideMark/>
          </w:tcPr>
          <w:p w14:paraId="57E6C944"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(Draft) Law on water services</w:t>
            </w:r>
          </w:p>
        </w:tc>
        <w:tc>
          <w:tcPr>
            <w:tcW w:w="3236" w:type="dxa"/>
            <w:tcBorders>
              <w:top w:val="single" w:sz="4" w:space="0" w:color="auto"/>
              <w:left w:val="single" w:sz="4" w:space="0" w:color="auto"/>
              <w:bottom w:val="single" w:sz="4" w:space="0" w:color="auto"/>
              <w:right w:val="single" w:sz="4" w:space="0" w:color="auto"/>
            </w:tcBorders>
            <w:hideMark/>
          </w:tcPr>
          <w:p w14:paraId="4BC41742"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Systemic improvement of business</w:t>
            </w:r>
          </w:p>
        </w:tc>
        <w:tc>
          <w:tcPr>
            <w:tcW w:w="2992" w:type="dxa"/>
            <w:tcBorders>
              <w:top w:val="single" w:sz="4" w:space="0" w:color="auto"/>
              <w:left w:val="single" w:sz="4" w:space="0" w:color="auto"/>
              <w:bottom w:val="single" w:sz="4" w:space="0" w:color="auto"/>
              <w:right w:val="single" w:sz="4" w:space="0" w:color="auto"/>
            </w:tcBorders>
            <w:hideMark/>
          </w:tcPr>
          <w:p w14:paraId="3CBD2BD9"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Better communication with LG</w:t>
            </w:r>
          </w:p>
        </w:tc>
      </w:tr>
      <w:tr w:rsidR="0059656A" w:rsidRPr="00F569AE" w14:paraId="3B29CCBB" w14:textId="77777777" w:rsidTr="0059656A">
        <w:tc>
          <w:tcPr>
            <w:tcW w:w="3128" w:type="dxa"/>
            <w:tcBorders>
              <w:top w:val="single" w:sz="4" w:space="0" w:color="auto"/>
              <w:left w:val="single" w:sz="4" w:space="0" w:color="auto"/>
              <w:bottom w:val="single" w:sz="4" w:space="0" w:color="auto"/>
              <w:right w:val="single" w:sz="4" w:space="0" w:color="auto"/>
            </w:tcBorders>
            <w:hideMark/>
          </w:tcPr>
          <w:p w14:paraId="246B6634"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New views on water management</w:t>
            </w:r>
          </w:p>
        </w:tc>
        <w:tc>
          <w:tcPr>
            <w:tcW w:w="3236" w:type="dxa"/>
            <w:tcBorders>
              <w:top w:val="single" w:sz="4" w:space="0" w:color="auto"/>
              <w:left w:val="single" w:sz="4" w:space="0" w:color="auto"/>
              <w:bottom w:val="single" w:sz="4" w:space="0" w:color="auto"/>
              <w:right w:val="single" w:sz="4" w:space="0" w:color="auto"/>
            </w:tcBorders>
            <w:hideMark/>
          </w:tcPr>
          <w:p w14:paraId="473C932F"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 xml:space="preserve">WUC consolidation </w:t>
            </w:r>
          </w:p>
        </w:tc>
        <w:tc>
          <w:tcPr>
            <w:tcW w:w="2992" w:type="dxa"/>
            <w:tcBorders>
              <w:top w:val="single" w:sz="4" w:space="0" w:color="auto"/>
              <w:left w:val="single" w:sz="4" w:space="0" w:color="auto"/>
              <w:bottom w:val="single" w:sz="4" w:space="0" w:color="auto"/>
              <w:right w:val="single" w:sz="4" w:space="0" w:color="auto"/>
            </w:tcBorders>
            <w:hideMark/>
          </w:tcPr>
          <w:p w14:paraId="79E7580C"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Understanding between different WUCs</w:t>
            </w:r>
          </w:p>
        </w:tc>
      </w:tr>
      <w:tr w:rsidR="0059656A" w:rsidRPr="00F569AE" w14:paraId="67FF6B7B" w14:textId="77777777" w:rsidTr="0059656A">
        <w:tc>
          <w:tcPr>
            <w:tcW w:w="3128" w:type="dxa"/>
            <w:tcBorders>
              <w:top w:val="single" w:sz="4" w:space="0" w:color="auto"/>
              <w:left w:val="single" w:sz="4" w:space="0" w:color="auto"/>
              <w:bottom w:val="single" w:sz="4" w:space="0" w:color="auto"/>
              <w:right w:val="single" w:sz="4" w:space="0" w:color="auto"/>
            </w:tcBorders>
            <w:hideMark/>
          </w:tcPr>
          <w:p w14:paraId="4D9FEBE3"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 xml:space="preserve">Establishment of DMA zones </w:t>
            </w:r>
          </w:p>
        </w:tc>
        <w:tc>
          <w:tcPr>
            <w:tcW w:w="3236" w:type="dxa"/>
            <w:tcBorders>
              <w:top w:val="single" w:sz="4" w:space="0" w:color="auto"/>
              <w:left w:val="single" w:sz="4" w:space="0" w:color="auto"/>
              <w:bottom w:val="single" w:sz="4" w:space="0" w:color="auto"/>
              <w:right w:val="single" w:sz="4" w:space="0" w:color="auto"/>
            </w:tcBorders>
            <w:hideMark/>
          </w:tcPr>
          <w:p w14:paraId="0B294806"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PSA agreement signing</w:t>
            </w:r>
          </w:p>
        </w:tc>
        <w:tc>
          <w:tcPr>
            <w:tcW w:w="2992" w:type="dxa"/>
            <w:tcBorders>
              <w:top w:val="single" w:sz="4" w:space="0" w:color="auto"/>
              <w:left w:val="single" w:sz="4" w:space="0" w:color="auto"/>
              <w:bottom w:val="single" w:sz="4" w:space="0" w:color="auto"/>
              <w:right w:val="single" w:sz="4" w:space="0" w:color="auto"/>
            </w:tcBorders>
            <w:hideMark/>
          </w:tcPr>
          <w:p w14:paraId="49BCB884"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GIS charting</w:t>
            </w:r>
          </w:p>
        </w:tc>
      </w:tr>
      <w:tr w:rsidR="0059656A" w:rsidRPr="00F569AE" w14:paraId="06C6BAF4" w14:textId="77777777" w:rsidTr="0059656A">
        <w:tc>
          <w:tcPr>
            <w:tcW w:w="3128" w:type="dxa"/>
            <w:tcBorders>
              <w:top w:val="single" w:sz="4" w:space="0" w:color="auto"/>
              <w:left w:val="single" w:sz="4" w:space="0" w:color="auto"/>
              <w:bottom w:val="single" w:sz="4" w:space="0" w:color="auto"/>
              <w:right w:val="single" w:sz="4" w:space="0" w:color="auto"/>
            </w:tcBorders>
            <w:hideMark/>
          </w:tcPr>
          <w:p w14:paraId="4CCB2B1E"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Reduction of NWR</w:t>
            </w:r>
          </w:p>
        </w:tc>
        <w:tc>
          <w:tcPr>
            <w:tcW w:w="3236" w:type="dxa"/>
            <w:tcBorders>
              <w:top w:val="single" w:sz="4" w:space="0" w:color="auto"/>
              <w:left w:val="single" w:sz="4" w:space="0" w:color="auto"/>
              <w:bottom w:val="single" w:sz="4" w:space="0" w:color="auto"/>
              <w:right w:val="single" w:sz="4" w:space="0" w:color="auto"/>
            </w:tcBorders>
            <w:hideMark/>
          </w:tcPr>
          <w:p w14:paraId="29420B25"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Rationalization of jobs</w:t>
            </w:r>
          </w:p>
        </w:tc>
        <w:tc>
          <w:tcPr>
            <w:tcW w:w="2992" w:type="dxa"/>
            <w:tcBorders>
              <w:top w:val="single" w:sz="4" w:space="0" w:color="auto"/>
              <w:left w:val="single" w:sz="4" w:space="0" w:color="auto"/>
              <w:bottom w:val="single" w:sz="4" w:space="0" w:color="auto"/>
              <w:right w:val="single" w:sz="4" w:space="0" w:color="auto"/>
            </w:tcBorders>
            <w:hideMark/>
          </w:tcPr>
          <w:p w14:paraId="65B25DD6"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Establishing client relations function</w:t>
            </w:r>
          </w:p>
        </w:tc>
      </w:tr>
      <w:tr w:rsidR="0059656A" w:rsidRPr="00F569AE" w14:paraId="23BD31B6" w14:textId="77777777" w:rsidTr="0059656A">
        <w:tc>
          <w:tcPr>
            <w:tcW w:w="3128" w:type="dxa"/>
            <w:tcBorders>
              <w:top w:val="single" w:sz="4" w:space="0" w:color="auto"/>
              <w:left w:val="single" w:sz="4" w:space="0" w:color="auto"/>
              <w:bottom w:val="single" w:sz="4" w:space="0" w:color="auto"/>
              <w:right w:val="single" w:sz="4" w:space="0" w:color="auto"/>
            </w:tcBorders>
            <w:hideMark/>
          </w:tcPr>
          <w:p w14:paraId="10FEDED0"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Legal framework</w:t>
            </w:r>
          </w:p>
        </w:tc>
        <w:tc>
          <w:tcPr>
            <w:tcW w:w="3236" w:type="dxa"/>
            <w:tcBorders>
              <w:top w:val="single" w:sz="4" w:space="0" w:color="auto"/>
              <w:left w:val="single" w:sz="4" w:space="0" w:color="auto"/>
              <w:bottom w:val="single" w:sz="4" w:space="0" w:color="auto"/>
              <w:right w:val="single" w:sz="4" w:space="0" w:color="auto"/>
            </w:tcBorders>
            <w:hideMark/>
          </w:tcPr>
          <w:p w14:paraId="1CB67F92"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Network charting</w:t>
            </w:r>
          </w:p>
        </w:tc>
        <w:tc>
          <w:tcPr>
            <w:tcW w:w="2992" w:type="dxa"/>
            <w:tcBorders>
              <w:top w:val="single" w:sz="4" w:space="0" w:color="auto"/>
              <w:left w:val="single" w:sz="4" w:space="0" w:color="auto"/>
              <w:bottom w:val="single" w:sz="4" w:space="0" w:color="auto"/>
              <w:right w:val="single" w:sz="4" w:space="0" w:color="auto"/>
            </w:tcBorders>
            <w:hideMark/>
          </w:tcPr>
          <w:p w14:paraId="2048CBBF"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Establishment of cost centers</w:t>
            </w:r>
          </w:p>
        </w:tc>
      </w:tr>
      <w:tr w:rsidR="0059656A" w:rsidRPr="00F569AE" w14:paraId="43055AF2" w14:textId="77777777" w:rsidTr="0059656A">
        <w:tc>
          <w:tcPr>
            <w:tcW w:w="3128" w:type="dxa"/>
            <w:tcBorders>
              <w:top w:val="single" w:sz="4" w:space="0" w:color="auto"/>
              <w:left w:val="single" w:sz="4" w:space="0" w:color="auto"/>
              <w:bottom w:val="single" w:sz="4" w:space="0" w:color="auto"/>
              <w:right w:val="single" w:sz="4" w:space="0" w:color="auto"/>
            </w:tcBorders>
            <w:hideMark/>
          </w:tcPr>
          <w:p w14:paraId="2C28C5FF"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Water price calculation methodology</w:t>
            </w:r>
          </w:p>
        </w:tc>
        <w:tc>
          <w:tcPr>
            <w:tcW w:w="3236" w:type="dxa"/>
            <w:tcBorders>
              <w:top w:val="single" w:sz="4" w:space="0" w:color="auto"/>
              <w:left w:val="single" w:sz="4" w:space="0" w:color="auto"/>
              <w:bottom w:val="single" w:sz="4" w:space="0" w:color="auto"/>
              <w:right w:val="single" w:sz="4" w:space="0" w:color="auto"/>
            </w:tcBorders>
            <w:hideMark/>
          </w:tcPr>
          <w:p w14:paraId="334087ED"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Reduction of losses</w:t>
            </w:r>
          </w:p>
        </w:tc>
        <w:tc>
          <w:tcPr>
            <w:tcW w:w="2992" w:type="dxa"/>
            <w:tcBorders>
              <w:top w:val="single" w:sz="4" w:space="0" w:color="auto"/>
              <w:left w:val="single" w:sz="4" w:space="0" w:color="auto"/>
              <w:bottom w:val="single" w:sz="4" w:space="0" w:color="auto"/>
              <w:right w:val="single" w:sz="4" w:space="0" w:color="auto"/>
            </w:tcBorders>
            <w:hideMark/>
          </w:tcPr>
          <w:p w14:paraId="4DAB6317"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Improved synergy between WUC and its founder</w:t>
            </w:r>
          </w:p>
        </w:tc>
      </w:tr>
      <w:tr w:rsidR="0059656A" w:rsidRPr="00F569AE" w14:paraId="5A13F87D" w14:textId="77777777" w:rsidTr="0059656A">
        <w:tc>
          <w:tcPr>
            <w:tcW w:w="3128" w:type="dxa"/>
            <w:tcBorders>
              <w:top w:val="single" w:sz="4" w:space="0" w:color="auto"/>
              <w:left w:val="single" w:sz="4" w:space="0" w:color="auto"/>
              <w:bottom w:val="single" w:sz="4" w:space="0" w:color="auto"/>
              <w:right w:val="single" w:sz="4" w:space="0" w:color="auto"/>
            </w:tcBorders>
            <w:hideMark/>
          </w:tcPr>
          <w:p w14:paraId="3F7EDDD7"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Subventions to vulnerable groups</w:t>
            </w:r>
          </w:p>
        </w:tc>
        <w:tc>
          <w:tcPr>
            <w:tcW w:w="3236" w:type="dxa"/>
            <w:tcBorders>
              <w:top w:val="single" w:sz="4" w:space="0" w:color="auto"/>
              <w:left w:val="single" w:sz="4" w:space="0" w:color="auto"/>
              <w:bottom w:val="single" w:sz="4" w:space="0" w:color="auto"/>
              <w:right w:val="single" w:sz="4" w:space="0" w:color="auto"/>
            </w:tcBorders>
            <w:hideMark/>
          </w:tcPr>
          <w:p w14:paraId="0111587A"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PSA agreement signing</w:t>
            </w:r>
          </w:p>
        </w:tc>
        <w:tc>
          <w:tcPr>
            <w:tcW w:w="2992" w:type="dxa"/>
            <w:tcBorders>
              <w:top w:val="single" w:sz="4" w:space="0" w:color="auto"/>
              <w:left w:val="single" w:sz="4" w:space="0" w:color="auto"/>
              <w:bottom w:val="single" w:sz="4" w:space="0" w:color="auto"/>
              <w:right w:val="single" w:sz="4" w:space="0" w:color="auto"/>
            </w:tcBorders>
            <w:hideMark/>
          </w:tcPr>
          <w:p w14:paraId="117BEBDB"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Performed revalorization of fixed assets</w:t>
            </w:r>
          </w:p>
        </w:tc>
      </w:tr>
      <w:tr w:rsidR="0059656A" w:rsidRPr="00F569AE" w14:paraId="0BDC10DB" w14:textId="77777777" w:rsidTr="0059656A">
        <w:tc>
          <w:tcPr>
            <w:tcW w:w="3128" w:type="dxa"/>
            <w:tcBorders>
              <w:top w:val="single" w:sz="4" w:space="0" w:color="auto"/>
              <w:left w:val="single" w:sz="4" w:space="0" w:color="auto"/>
              <w:bottom w:val="single" w:sz="4" w:space="0" w:color="auto"/>
              <w:right w:val="single" w:sz="4" w:space="0" w:color="auto"/>
            </w:tcBorders>
            <w:hideMark/>
          </w:tcPr>
          <w:p w14:paraId="4B30C723"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Training (in NWR, etc.)</w:t>
            </w:r>
          </w:p>
        </w:tc>
        <w:tc>
          <w:tcPr>
            <w:tcW w:w="3236" w:type="dxa"/>
            <w:tcBorders>
              <w:top w:val="single" w:sz="4" w:space="0" w:color="auto"/>
              <w:left w:val="single" w:sz="4" w:space="0" w:color="auto"/>
              <w:bottom w:val="single" w:sz="4" w:space="0" w:color="auto"/>
              <w:right w:val="single" w:sz="4" w:space="0" w:color="auto"/>
            </w:tcBorders>
            <w:hideMark/>
          </w:tcPr>
          <w:p w14:paraId="29546547"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Exchange of experiences and linking with other WUCs</w:t>
            </w:r>
          </w:p>
        </w:tc>
        <w:tc>
          <w:tcPr>
            <w:tcW w:w="2992" w:type="dxa"/>
            <w:tcBorders>
              <w:top w:val="single" w:sz="4" w:space="0" w:color="auto"/>
              <w:left w:val="single" w:sz="4" w:space="0" w:color="auto"/>
              <w:bottom w:val="single" w:sz="4" w:space="0" w:color="auto"/>
              <w:right w:val="single" w:sz="4" w:space="0" w:color="auto"/>
            </w:tcBorders>
            <w:hideMark/>
          </w:tcPr>
          <w:p w14:paraId="25BE2D49"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Secured tools for financial and operational management</w:t>
            </w:r>
          </w:p>
        </w:tc>
      </w:tr>
      <w:tr w:rsidR="0059656A" w:rsidRPr="00F569AE" w14:paraId="359764BE" w14:textId="77777777" w:rsidTr="0059656A">
        <w:tc>
          <w:tcPr>
            <w:tcW w:w="3128" w:type="dxa"/>
            <w:tcBorders>
              <w:top w:val="single" w:sz="4" w:space="0" w:color="auto"/>
              <w:left w:val="single" w:sz="4" w:space="0" w:color="auto"/>
              <w:bottom w:val="single" w:sz="4" w:space="0" w:color="auto"/>
              <w:right w:val="single" w:sz="4" w:space="0" w:color="auto"/>
            </w:tcBorders>
            <w:hideMark/>
          </w:tcPr>
          <w:p w14:paraId="147F520A"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lastRenderedPageBreak/>
              <w:t>DMA zones</w:t>
            </w:r>
          </w:p>
        </w:tc>
        <w:tc>
          <w:tcPr>
            <w:tcW w:w="3236" w:type="dxa"/>
            <w:tcBorders>
              <w:top w:val="single" w:sz="4" w:space="0" w:color="auto"/>
              <w:left w:val="single" w:sz="4" w:space="0" w:color="auto"/>
              <w:bottom w:val="single" w:sz="4" w:space="0" w:color="auto"/>
              <w:right w:val="single" w:sz="4" w:space="0" w:color="auto"/>
            </w:tcBorders>
            <w:hideMark/>
          </w:tcPr>
          <w:p w14:paraId="737B111D"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PSA agreement signing</w:t>
            </w:r>
          </w:p>
        </w:tc>
        <w:tc>
          <w:tcPr>
            <w:tcW w:w="2992" w:type="dxa"/>
            <w:tcBorders>
              <w:top w:val="single" w:sz="4" w:space="0" w:color="auto"/>
              <w:left w:val="single" w:sz="4" w:space="0" w:color="auto"/>
              <w:bottom w:val="single" w:sz="4" w:space="0" w:color="auto"/>
              <w:right w:val="single" w:sz="4" w:space="0" w:color="auto"/>
            </w:tcBorders>
            <w:hideMark/>
          </w:tcPr>
          <w:p w14:paraId="534C6A50"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Price calculation methodology</w:t>
            </w:r>
          </w:p>
        </w:tc>
      </w:tr>
      <w:tr w:rsidR="0059656A" w:rsidRPr="00F569AE" w14:paraId="154DC098" w14:textId="77777777" w:rsidTr="0059656A">
        <w:tc>
          <w:tcPr>
            <w:tcW w:w="3128" w:type="dxa"/>
            <w:tcBorders>
              <w:top w:val="single" w:sz="4" w:space="0" w:color="auto"/>
              <w:left w:val="single" w:sz="4" w:space="0" w:color="auto"/>
              <w:bottom w:val="single" w:sz="4" w:space="0" w:color="auto"/>
              <w:right w:val="single" w:sz="4" w:space="0" w:color="auto"/>
            </w:tcBorders>
            <w:hideMark/>
          </w:tcPr>
          <w:p w14:paraId="0C009329"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KPI indicators</w:t>
            </w:r>
          </w:p>
        </w:tc>
        <w:tc>
          <w:tcPr>
            <w:tcW w:w="3236" w:type="dxa"/>
            <w:tcBorders>
              <w:top w:val="single" w:sz="4" w:space="0" w:color="auto"/>
              <w:left w:val="single" w:sz="4" w:space="0" w:color="auto"/>
              <w:bottom w:val="single" w:sz="4" w:space="0" w:color="auto"/>
              <w:right w:val="single" w:sz="4" w:space="0" w:color="auto"/>
            </w:tcBorders>
            <w:hideMark/>
          </w:tcPr>
          <w:p w14:paraId="0D1A3FF9"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 xml:space="preserve">Developemnt of tariff model </w:t>
            </w:r>
          </w:p>
        </w:tc>
        <w:tc>
          <w:tcPr>
            <w:tcW w:w="2992" w:type="dxa"/>
            <w:tcBorders>
              <w:top w:val="single" w:sz="4" w:space="0" w:color="auto"/>
              <w:left w:val="single" w:sz="4" w:space="0" w:color="auto"/>
              <w:bottom w:val="single" w:sz="4" w:space="0" w:color="auto"/>
              <w:right w:val="single" w:sz="4" w:space="0" w:color="auto"/>
            </w:tcBorders>
            <w:hideMark/>
          </w:tcPr>
          <w:p w14:paraId="4314F026" w14:textId="77777777" w:rsidR="0059656A" w:rsidRPr="00F569AE" w:rsidRDefault="0059656A">
            <w:pPr>
              <w:spacing w:line="276" w:lineRule="atLeast"/>
              <w:rPr>
                <w:rFonts w:ascii="Calibri" w:hAnsi="Calibri" w:cs="Calibri"/>
                <w:color w:val="000000"/>
                <w:lang w:val="en-US" w:eastAsia="en-US"/>
              </w:rPr>
            </w:pPr>
            <w:r w:rsidRPr="00F569AE">
              <w:rPr>
                <w:rFonts w:ascii="Calibri" w:hAnsi="Calibri" w:cs="Calibri"/>
                <w:color w:val="000000"/>
                <w:lang w:val="en-US" w:eastAsia="en-US"/>
              </w:rPr>
              <w:t>NWR reduction</w:t>
            </w:r>
          </w:p>
        </w:tc>
      </w:tr>
    </w:tbl>
    <w:p w14:paraId="62E23213" w14:textId="77777777" w:rsidR="0059656A" w:rsidRPr="00F569AE" w:rsidRDefault="0059656A" w:rsidP="0059656A">
      <w:pPr>
        <w:spacing w:line="276" w:lineRule="atLeast"/>
        <w:rPr>
          <w:rFonts w:ascii="Calibri" w:hAnsi="Calibri" w:cs="Calibri"/>
          <w:color w:val="000000"/>
          <w:lang w:val="en-US"/>
        </w:rPr>
      </w:pPr>
    </w:p>
    <w:p w14:paraId="1AA7FF36" w14:textId="77777777" w:rsidR="0059656A" w:rsidRPr="00F569AE" w:rsidRDefault="0059656A" w:rsidP="0059656A">
      <w:pPr>
        <w:spacing w:line="276" w:lineRule="atLeast"/>
        <w:rPr>
          <w:rFonts w:ascii="Calibri" w:hAnsi="Calibri" w:cs="Calibri"/>
          <w:b/>
          <w:color w:val="000000"/>
          <w:u w:val="single"/>
          <w:lang w:val="en-US"/>
        </w:rPr>
      </w:pPr>
      <w:r w:rsidRPr="00F569AE">
        <w:rPr>
          <w:rFonts w:ascii="Calibri" w:hAnsi="Calibri" w:cs="Calibri"/>
          <w:b/>
          <w:color w:val="000000"/>
          <w:u w:val="single"/>
          <w:lang w:val="en-US"/>
        </w:rPr>
        <w:t>8. Do you consider financial performance improvement plan as a useful instrument in decision making in your enterprise?</w:t>
      </w:r>
    </w:p>
    <w:p w14:paraId="39F67B35" w14:textId="77777777" w:rsidR="0059656A" w:rsidRPr="00F569AE" w:rsidRDefault="0059656A" w:rsidP="0059656A">
      <w:pPr>
        <w:spacing w:line="276" w:lineRule="atLeast"/>
        <w:rPr>
          <w:rFonts w:ascii="Calibri" w:hAnsi="Calibri" w:cs="Calibri"/>
          <w:b/>
          <w:color w:val="000000"/>
          <w:u w:val="single"/>
          <w:lang w:val="en-US"/>
        </w:rPr>
      </w:pPr>
    </w:p>
    <w:p w14:paraId="3FE169C2" w14:textId="6C77C1CC" w:rsidR="0059656A" w:rsidRPr="00F569AE" w:rsidRDefault="0059656A" w:rsidP="0059656A">
      <w:pPr>
        <w:spacing w:line="276" w:lineRule="atLeast"/>
        <w:jc w:val="center"/>
        <w:rPr>
          <w:rFonts w:ascii="Calibri" w:hAnsi="Calibri" w:cs="Calibri"/>
          <w:color w:val="000000"/>
          <w:lang w:val="en-US"/>
        </w:rPr>
      </w:pPr>
      <w:r w:rsidRPr="00F569AE">
        <w:rPr>
          <w:noProof/>
          <w:color w:val="000000"/>
          <w:lang w:val="en-US"/>
        </w:rPr>
        <w:drawing>
          <wp:inline distT="0" distB="0" distL="0" distR="0" wp14:anchorId="756541C4" wp14:editId="1E743DE8">
            <wp:extent cx="5093335" cy="3673475"/>
            <wp:effectExtent l="0" t="0" r="12065" b="9525"/>
            <wp:docPr id="1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p>
    <w:p w14:paraId="45A31895" w14:textId="77777777" w:rsidR="0059656A" w:rsidRPr="00F569AE" w:rsidRDefault="0059656A" w:rsidP="0059656A">
      <w:pPr>
        <w:spacing w:line="276" w:lineRule="atLeast"/>
        <w:rPr>
          <w:rFonts w:ascii="Calibri" w:hAnsi="Calibri" w:cs="Calibri"/>
          <w:b/>
          <w:color w:val="000000"/>
          <w:u w:val="single"/>
          <w:lang w:val="en-US"/>
        </w:rPr>
      </w:pPr>
    </w:p>
    <w:p w14:paraId="1CF2F58E" w14:textId="77777777" w:rsidR="0059656A" w:rsidRPr="00F569AE" w:rsidRDefault="0059656A" w:rsidP="0059656A">
      <w:pPr>
        <w:spacing w:line="276" w:lineRule="atLeast"/>
        <w:rPr>
          <w:rFonts w:ascii="Calibri" w:hAnsi="Calibri" w:cs="Calibri"/>
          <w:b/>
          <w:color w:val="000000"/>
          <w:u w:val="single"/>
          <w:lang w:val="en-US"/>
        </w:rPr>
      </w:pPr>
      <w:r w:rsidRPr="00F569AE">
        <w:rPr>
          <w:rFonts w:ascii="Calibri" w:hAnsi="Calibri" w:cs="Calibri"/>
          <w:b/>
          <w:color w:val="000000"/>
          <w:u w:val="single"/>
          <w:lang w:val="en-US"/>
        </w:rPr>
        <w:t xml:space="preserve">9. Please state how you use financial performance improvement plans for decision making in your enterprise </w:t>
      </w:r>
    </w:p>
    <w:p w14:paraId="2FC311DE" w14:textId="6F7B5A49" w:rsidR="0059656A" w:rsidRPr="00F569AE" w:rsidRDefault="0059656A" w:rsidP="0059656A">
      <w:pPr>
        <w:spacing w:line="276" w:lineRule="atLeast"/>
        <w:jc w:val="both"/>
        <w:rPr>
          <w:rFonts w:ascii="Calibri" w:hAnsi="Calibri" w:cs="Calibri"/>
          <w:color w:val="000000"/>
          <w:lang w:val="en-US"/>
        </w:rPr>
      </w:pPr>
      <w:r w:rsidRPr="00F569AE">
        <w:rPr>
          <w:rFonts w:ascii="Calibri" w:hAnsi="Calibri" w:cs="Calibri"/>
          <w:noProof/>
          <w:lang w:val="en-US"/>
        </w:rPr>
        <w:lastRenderedPageBreak/>
        <w:drawing>
          <wp:inline distT="0" distB="0" distL="0" distR="0" wp14:anchorId="4898EC4C" wp14:editId="6ED15373">
            <wp:extent cx="6055995" cy="3128010"/>
            <wp:effectExtent l="0" t="0" r="14605" b="8890"/>
            <wp:docPr id="11" name="Chart 8">
              <a:extLst xmlns:a="http://schemas.openxmlformats.org/drawingml/2006/main">
                <a:ext uri="{FF2B5EF4-FFF2-40B4-BE49-F238E27FC236}">
                  <a16:creationId xmlns:a16="http://schemas.microsoft.com/office/drawing/2014/main" id="{2E858EF3-123E-47D0-847F-FFC54CFCC1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7"/>
              </a:graphicData>
            </a:graphic>
          </wp:inline>
        </w:drawing>
      </w:r>
    </w:p>
    <w:p w14:paraId="69913DD9" w14:textId="77777777" w:rsidR="0059656A" w:rsidRPr="00F569AE" w:rsidRDefault="0059656A" w:rsidP="0059656A">
      <w:pPr>
        <w:spacing w:line="276" w:lineRule="atLeast"/>
        <w:rPr>
          <w:rFonts w:ascii="Calibri" w:hAnsi="Calibri" w:cs="Calibri"/>
          <w:color w:val="000000"/>
          <w:lang w:val="en-US"/>
        </w:rPr>
      </w:pPr>
    </w:p>
    <w:p w14:paraId="03FEA3A0" w14:textId="77777777" w:rsidR="0059656A" w:rsidRPr="00F569AE" w:rsidRDefault="0059656A" w:rsidP="0059656A">
      <w:pPr>
        <w:spacing w:line="276" w:lineRule="atLeast"/>
        <w:rPr>
          <w:rFonts w:ascii="Calibri" w:hAnsi="Calibri" w:cs="Calibri"/>
          <w:b/>
          <w:color w:val="000000"/>
          <w:u w:val="single"/>
          <w:lang w:val="en-US"/>
        </w:rPr>
      </w:pPr>
    </w:p>
    <w:p w14:paraId="5AD7D2EB" w14:textId="77777777" w:rsidR="0059656A" w:rsidRPr="00F569AE" w:rsidRDefault="0059656A" w:rsidP="0059656A">
      <w:pPr>
        <w:spacing w:line="276" w:lineRule="atLeast"/>
        <w:rPr>
          <w:rFonts w:ascii="Calibri" w:hAnsi="Calibri" w:cs="Calibri"/>
          <w:b/>
          <w:color w:val="000000"/>
          <w:u w:val="single"/>
          <w:lang w:val="en-US"/>
        </w:rPr>
      </w:pPr>
    </w:p>
    <w:p w14:paraId="24C35824" w14:textId="77777777" w:rsidR="0059656A" w:rsidRPr="00F569AE" w:rsidRDefault="0059656A" w:rsidP="0059656A">
      <w:pPr>
        <w:spacing w:line="276" w:lineRule="atLeast"/>
        <w:rPr>
          <w:rFonts w:ascii="Calibri" w:hAnsi="Calibri" w:cs="Calibri"/>
          <w:b/>
          <w:color w:val="000000"/>
          <w:u w:val="single"/>
          <w:lang w:val="en-US"/>
        </w:rPr>
      </w:pPr>
    </w:p>
    <w:p w14:paraId="75191D97" w14:textId="77777777" w:rsidR="0059656A" w:rsidRPr="00F569AE" w:rsidRDefault="0059656A" w:rsidP="0059656A">
      <w:pPr>
        <w:spacing w:line="276" w:lineRule="atLeast"/>
        <w:rPr>
          <w:rFonts w:ascii="Calibri" w:hAnsi="Calibri" w:cs="Calibri"/>
          <w:b/>
          <w:color w:val="000000"/>
          <w:u w:val="single"/>
          <w:lang w:val="en-US"/>
        </w:rPr>
      </w:pPr>
      <w:r w:rsidRPr="00F569AE">
        <w:rPr>
          <w:rFonts w:ascii="Calibri" w:hAnsi="Calibri" w:cs="Calibri"/>
          <w:b/>
          <w:color w:val="000000"/>
          <w:u w:val="single"/>
          <w:lang w:val="en-US"/>
        </w:rPr>
        <w:t>10. How MEG project impacted relationships within your city / municipality? (e.g. between mayor, assembly, water utility company, citizens)? (0 – no impact / 5 – great impact)</w:t>
      </w:r>
    </w:p>
    <w:p w14:paraId="5F9112C1" w14:textId="77777777" w:rsidR="0059656A" w:rsidRPr="00F569AE" w:rsidRDefault="0059656A" w:rsidP="0059656A">
      <w:pPr>
        <w:spacing w:line="276" w:lineRule="atLeast"/>
        <w:rPr>
          <w:rFonts w:ascii="Calibri" w:hAnsi="Calibri" w:cs="Calibri"/>
          <w:b/>
          <w:color w:val="000000"/>
          <w:u w:val="single"/>
          <w:lang w:val="en-US"/>
        </w:rPr>
      </w:pPr>
    </w:p>
    <w:p w14:paraId="5B895B57" w14:textId="2254EC62" w:rsidR="0059656A" w:rsidRPr="00F569AE" w:rsidRDefault="0059656A" w:rsidP="0059656A">
      <w:pPr>
        <w:rPr>
          <w:rFonts w:ascii="Calibri" w:hAnsi="Calibri" w:cs="Calibri"/>
          <w:color w:val="000000"/>
          <w:lang w:val="en-US"/>
        </w:rPr>
      </w:pPr>
      <w:r w:rsidRPr="00F569AE">
        <w:rPr>
          <w:rFonts w:ascii="Calibri" w:hAnsi="Calibri" w:cs="Calibri"/>
          <w:noProof/>
          <w:lang w:val="en-US"/>
        </w:rPr>
        <w:drawing>
          <wp:inline distT="0" distB="0" distL="0" distR="0" wp14:anchorId="2DADEF42" wp14:editId="54D59F81">
            <wp:extent cx="6031865" cy="2975610"/>
            <wp:effectExtent l="0" t="0" r="13335" b="8890"/>
            <wp:docPr id="9" name="Chart 7">
              <a:extLst xmlns:a="http://schemas.openxmlformats.org/drawingml/2006/main">
                <a:ext uri="{FF2B5EF4-FFF2-40B4-BE49-F238E27FC236}">
                  <a16:creationId xmlns:a16="http://schemas.microsoft.com/office/drawing/2014/main" id="{9BB9C2D8-E62C-4770-84E0-40C84B7B54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p w14:paraId="3F8201A8" w14:textId="77777777" w:rsidR="0059656A" w:rsidRPr="00F569AE" w:rsidRDefault="0059656A" w:rsidP="0059656A">
      <w:pPr>
        <w:rPr>
          <w:rFonts w:ascii="Calibri" w:hAnsi="Calibri" w:cs="Calibri"/>
          <w:b/>
          <w:color w:val="000000"/>
          <w:u w:val="single"/>
          <w:lang w:val="en-US"/>
        </w:rPr>
      </w:pPr>
    </w:p>
    <w:p w14:paraId="798656D4" w14:textId="77777777" w:rsidR="0059656A" w:rsidRPr="00F569AE" w:rsidRDefault="0059656A" w:rsidP="0059656A">
      <w:pPr>
        <w:rPr>
          <w:rFonts w:ascii="Calibri" w:hAnsi="Calibri" w:cs="Calibri"/>
          <w:b/>
          <w:color w:val="000000"/>
          <w:u w:val="single"/>
          <w:lang w:val="en-US"/>
        </w:rPr>
      </w:pPr>
      <w:r w:rsidRPr="00F569AE">
        <w:rPr>
          <w:rFonts w:ascii="Calibri" w:hAnsi="Calibri" w:cs="Calibri"/>
          <w:b/>
          <w:color w:val="000000"/>
          <w:u w:val="single"/>
          <w:lang w:val="en-US"/>
        </w:rPr>
        <w:t>10.1 Please provide illustrative examples of MEG impact on relationships within LGU (mayor, assembly, water utility, citizens)?</w:t>
      </w:r>
    </w:p>
    <w:p w14:paraId="31BE0A30" w14:textId="08F56283" w:rsidR="0059656A" w:rsidRPr="00F569AE" w:rsidRDefault="0059656A" w:rsidP="0059656A">
      <w:pPr>
        <w:rPr>
          <w:rFonts w:ascii="Calibri" w:hAnsi="Calibri" w:cs="Calibri"/>
          <w:color w:val="000000"/>
          <w:lang w:val="en-US"/>
        </w:rPr>
      </w:pPr>
      <w:r w:rsidRPr="00F569AE">
        <w:rPr>
          <w:rFonts w:ascii="Calibri" w:hAnsi="Calibri" w:cs="Calibri"/>
          <w:noProof/>
          <w:lang w:val="en-US"/>
        </w:rPr>
        <w:lastRenderedPageBreak/>
        <w:drawing>
          <wp:inline distT="0" distB="0" distL="0" distR="0" wp14:anchorId="04C0940B" wp14:editId="2B481FB6">
            <wp:extent cx="6055995" cy="3128010"/>
            <wp:effectExtent l="0" t="0" r="14605" b="8890"/>
            <wp:docPr id="12" name="Chart 6">
              <a:extLst xmlns:a="http://schemas.openxmlformats.org/drawingml/2006/main">
                <a:ext uri="{FF2B5EF4-FFF2-40B4-BE49-F238E27FC236}">
                  <a16:creationId xmlns:a16="http://schemas.microsoft.com/office/drawing/2014/main" id="{C45C047E-2D3A-48E2-95A6-5E9245E02E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p>
    <w:p w14:paraId="6299A0FD" w14:textId="77777777" w:rsidR="0059656A" w:rsidRPr="00F569AE" w:rsidRDefault="0059656A" w:rsidP="0059656A">
      <w:pPr>
        <w:tabs>
          <w:tab w:val="left" w:pos="2025"/>
        </w:tabs>
        <w:rPr>
          <w:rFonts w:ascii="Calibri" w:hAnsi="Calibri" w:cs="Calibri"/>
          <w:color w:val="000000"/>
          <w:lang w:val="en-US"/>
        </w:rPr>
      </w:pPr>
      <w:r w:rsidRPr="00F569AE">
        <w:rPr>
          <w:rFonts w:ascii="Calibri" w:hAnsi="Calibri" w:cs="Calibri"/>
          <w:color w:val="000000"/>
          <w:lang w:val="en-US"/>
        </w:rPr>
        <w:tab/>
      </w:r>
    </w:p>
    <w:p w14:paraId="3AC1E3AD" w14:textId="77777777" w:rsidR="0059656A" w:rsidRPr="00F569AE" w:rsidRDefault="0059656A" w:rsidP="0059656A">
      <w:pPr>
        <w:tabs>
          <w:tab w:val="left" w:pos="2025"/>
        </w:tabs>
        <w:rPr>
          <w:rFonts w:ascii="Calibri" w:hAnsi="Calibri" w:cs="Calibri"/>
          <w:color w:val="000000"/>
          <w:lang w:val="en-US"/>
        </w:rPr>
      </w:pPr>
    </w:p>
    <w:p w14:paraId="3B482E8D" w14:textId="77777777" w:rsidR="0059656A" w:rsidRPr="00F569AE" w:rsidRDefault="0059656A" w:rsidP="0059656A">
      <w:pPr>
        <w:tabs>
          <w:tab w:val="left" w:pos="2025"/>
        </w:tabs>
        <w:rPr>
          <w:rFonts w:ascii="Calibri" w:hAnsi="Calibri" w:cs="Calibri"/>
          <w:color w:val="000000"/>
          <w:lang w:val="en-US"/>
        </w:rPr>
      </w:pPr>
    </w:p>
    <w:p w14:paraId="5B2EB4BB" w14:textId="77777777" w:rsidR="0059656A" w:rsidRPr="00F569AE" w:rsidRDefault="0059656A" w:rsidP="0059656A">
      <w:pPr>
        <w:tabs>
          <w:tab w:val="left" w:pos="2025"/>
        </w:tabs>
        <w:rPr>
          <w:rFonts w:ascii="Calibri" w:hAnsi="Calibri" w:cs="Calibri"/>
          <w:color w:val="000000"/>
          <w:lang w:val="en-US"/>
        </w:rPr>
      </w:pPr>
    </w:p>
    <w:p w14:paraId="29D85E26" w14:textId="77777777" w:rsidR="0059656A" w:rsidRPr="00F569AE" w:rsidRDefault="0059656A" w:rsidP="0059656A">
      <w:pPr>
        <w:tabs>
          <w:tab w:val="left" w:pos="2025"/>
        </w:tabs>
        <w:rPr>
          <w:rFonts w:ascii="Calibri" w:hAnsi="Calibri" w:cs="Calibri"/>
          <w:color w:val="000000"/>
          <w:lang w:val="en-US"/>
        </w:rPr>
      </w:pPr>
    </w:p>
    <w:p w14:paraId="6CA0A714" w14:textId="77777777" w:rsidR="0059656A" w:rsidRPr="00F569AE" w:rsidRDefault="0059656A" w:rsidP="0059656A">
      <w:pPr>
        <w:tabs>
          <w:tab w:val="left" w:pos="2025"/>
        </w:tabs>
        <w:rPr>
          <w:rFonts w:ascii="Calibri" w:hAnsi="Calibri" w:cs="Calibri"/>
          <w:color w:val="000000"/>
          <w:lang w:val="en-US"/>
        </w:rPr>
      </w:pPr>
    </w:p>
    <w:p w14:paraId="6A368AD9" w14:textId="77777777" w:rsidR="0059656A" w:rsidRPr="00F569AE" w:rsidRDefault="0059656A" w:rsidP="0059656A">
      <w:pPr>
        <w:tabs>
          <w:tab w:val="left" w:pos="2025"/>
        </w:tabs>
        <w:rPr>
          <w:rFonts w:ascii="Calibri" w:hAnsi="Calibri" w:cs="Calibri"/>
          <w:color w:val="000000"/>
          <w:lang w:val="en-US"/>
        </w:rPr>
      </w:pPr>
    </w:p>
    <w:p w14:paraId="497985EA" w14:textId="77777777" w:rsidR="0059656A" w:rsidRPr="00F569AE" w:rsidRDefault="0059656A" w:rsidP="0059656A">
      <w:pPr>
        <w:tabs>
          <w:tab w:val="left" w:pos="2025"/>
        </w:tabs>
        <w:rPr>
          <w:rFonts w:ascii="Calibri" w:hAnsi="Calibri" w:cs="Calibri"/>
          <w:color w:val="000000"/>
          <w:lang w:val="en-US"/>
        </w:rPr>
      </w:pPr>
    </w:p>
    <w:p w14:paraId="56134F1A" w14:textId="77777777" w:rsidR="0059656A" w:rsidRPr="00F569AE" w:rsidRDefault="0059656A" w:rsidP="0059656A">
      <w:pPr>
        <w:rPr>
          <w:rFonts w:ascii="Calibri" w:hAnsi="Calibri" w:cs="Calibri"/>
          <w:b/>
          <w:color w:val="000000"/>
          <w:u w:val="single"/>
          <w:lang w:val="en-US"/>
        </w:rPr>
      </w:pPr>
      <w:r w:rsidRPr="00F569AE">
        <w:rPr>
          <w:rFonts w:ascii="Calibri" w:hAnsi="Calibri" w:cs="Calibri"/>
          <w:b/>
          <w:color w:val="000000"/>
          <w:u w:val="single"/>
          <w:lang w:val="en-US"/>
        </w:rPr>
        <w:t>11. How are your personal capacities improved as part of the MEG project?</w:t>
      </w:r>
    </w:p>
    <w:p w14:paraId="3DCE8445" w14:textId="77777777" w:rsidR="0059656A" w:rsidRPr="00F569AE" w:rsidRDefault="0059656A" w:rsidP="0059656A">
      <w:pPr>
        <w:rPr>
          <w:rFonts w:ascii="Calibri" w:hAnsi="Calibri" w:cs="Calibri"/>
          <w:b/>
          <w:color w:val="000000"/>
          <w:u w:val="single"/>
          <w:lang w:val="en-US"/>
        </w:rPr>
      </w:pPr>
    </w:p>
    <w:p w14:paraId="36B50D27" w14:textId="25301BCD" w:rsidR="0059656A" w:rsidRPr="00F569AE" w:rsidRDefault="0059656A" w:rsidP="0059656A">
      <w:pPr>
        <w:rPr>
          <w:rFonts w:ascii="Calibri" w:hAnsi="Calibri" w:cs="Calibri"/>
          <w:color w:val="000000"/>
          <w:lang w:val="en-US"/>
        </w:rPr>
      </w:pPr>
      <w:r w:rsidRPr="00F569AE">
        <w:rPr>
          <w:rFonts w:ascii="Calibri" w:hAnsi="Calibri" w:cs="Calibri"/>
          <w:noProof/>
          <w:lang w:val="en-US"/>
        </w:rPr>
        <w:lastRenderedPageBreak/>
        <w:drawing>
          <wp:inline distT="0" distB="0" distL="0" distR="0" wp14:anchorId="6AFC0E09" wp14:editId="2C8C80A6">
            <wp:extent cx="6055995" cy="3890010"/>
            <wp:effectExtent l="0" t="0" r="14605" b="8890"/>
            <wp:docPr id="13" name="Chart 5">
              <a:extLst xmlns:a="http://schemas.openxmlformats.org/drawingml/2006/main">
                <a:ext uri="{FF2B5EF4-FFF2-40B4-BE49-F238E27FC236}">
                  <a16:creationId xmlns:a16="http://schemas.microsoft.com/office/drawing/2014/main" id="{480F6B5F-3CDE-4CE1-9077-6A436A141B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inline>
        </w:drawing>
      </w:r>
    </w:p>
    <w:p w14:paraId="5AC672F3" w14:textId="77777777" w:rsidR="0059656A" w:rsidRPr="00F569AE" w:rsidRDefault="0059656A" w:rsidP="0059656A">
      <w:pPr>
        <w:pStyle w:val="ListParagraph"/>
        <w:rPr>
          <w:rFonts w:ascii="Calibri" w:hAnsi="Calibri" w:cs="Calibri"/>
          <w:color w:val="000000"/>
        </w:rPr>
      </w:pPr>
    </w:p>
    <w:p w14:paraId="0A34AFB2" w14:textId="77777777" w:rsidR="0059656A" w:rsidRPr="00F569AE" w:rsidRDefault="0059656A" w:rsidP="0059656A">
      <w:pPr>
        <w:jc w:val="both"/>
        <w:rPr>
          <w:rFonts w:ascii="Calibri" w:hAnsi="Calibri" w:cs="Calibri"/>
          <w:b/>
          <w:u w:val="single"/>
          <w:lang w:val="en-US"/>
        </w:rPr>
      </w:pPr>
      <w:r w:rsidRPr="00F569AE">
        <w:rPr>
          <w:rFonts w:ascii="Calibri" w:hAnsi="Calibri" w:cs="Calibri"/>
          <w:b/>
          <w:u w:val="single"/>
          <w:lang w:val="en-US"/>
        </w:rPr>
        <w:t>12. How inclusive were consultations with the citizens? (0 – not inclusive / 5 – very inclusive)</w:t>
      </w:r>
    </w:p>
    <w:p w14:paraId="2244E3DB" w14:textId="77777777" w:rsidR="0059656A" w:rsidRPr="00F569AE" w:rsidRDefault="0059656A" w:rsidP="0059656A">
      <w:pPr>
        <w:rPr>
          <w:rFonts w:ascii="Calibri" w:hAnsi="Calibri" w:cs="Calibri"/>
          <w:color w:val="000000"/>
          <w:lang w:val="en-US"/>
        </w:rPr>
      </w:pPr>
      <w:r w:rsidRPr="00F569AE">
        <w:rPr>
          <w:rFonts w:ascii="Calibri" w:hAnsi="Calibri" w:cs="Calibri"/>
          <w:color w:val="000000"/>
          <w:lang w:val="en-US"/>
        </w:rPr>
        <w:t xml:space="preserve">. </w:t>
      </w:r>
    </w:p>
    <w:p w14:paraId="47E61822" w14:textId="68F9059F" w:rsidR="0059656A" w:rsidRPr="00F569AE" w:rsidRDefault="0059656A" w:rsidP="0059656A">
      <w:pPr>
        <w:rPr>
          <w:rFonts w:ascii="Calibri" w:hAnsi="Calibri" w:cs="Calibri"/>
          <w:lang w:val="en-US"/>
        </w:rPr>
      </w:pPr>
      <w:r w:rsidRPr="00F569AE">
        <w:rPr>
          <w:rFonts w:ascii="Calibri" w:hAnsi="Calibri" w:cs="Calibri"/>
          <w:noProof/>
          <w:shd w:val="clear" w:color="auto" w:fill="0E2841" w:themeFill="text2"/>
          <w:lang w:val="en-US"/>
        </w:rPr>
        <w:drawing>
          <wp:inline distT="0" distB="0" distL="0" distR="0" wp14:anchorId="62B35745" wp14:editId="42E5123A">
            <wp:extent cx="5839460" cy="3200400"/>
            <wp:effectExtent l="0" t="0" r="15240" b="12700"/>
            <wp:docPr id="10" name="Chart 4">
              <a:extLst xmlns:a="http://schemas.openxmlformats.org/drawingml/2006/main">
                <a:ext uri="{FF2B5EF4-FFF2-40B4-BE49-F238E27FC236}">
                  <a16:creationId xmlns:a16="http://schemas.microsoft.com/office/drawing/2014/main" id="{C1AABD3A-4C1D-41F5-9965-1BCB7FE6A8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1"/>
              </a:graphicData>
            </a:graphic>
          </wp:inline>
        </w:drawing>
      </w:r>
    </w:p>
    <w:p w14:paraId="6138A671" w14:textId="77777777" w:rsidR="0059656A" w:rsidRPr="00F569AE" w:rsidRDefault="0059656A" w:rsidP="0059656A">
      <w:pPr>
        <w:rPr>
          <w:rFonts w:ascii="Calibri" w:hAnsi="Calibri" w:cs="Calibri"/>
          <w:b/>
          <w:u w:val="single"/>
          <w:lang w:val="en-US"/>
        </w:rPr>
      </w:pPr>
    </w:p>
    <w:p w14:paraId="555631F0" w14:textId="77777777" w:rsidR="0059656A" w:rsidRPr="00F569AE" w:rsidRDefault="0059656A" w:rsidP="0059656A">
      <w:pPr>
        <w:rPr>
          <w:rFonts w:ascii="Calibri" w:hAnsi="Calibri" w:cs="Calibri"/>
          <w:b/>
          <w:u w:val="single"/>
          <w:lang w:val="en-US"/>
        </w:rPr>
      </w:pPr>
    </w:p>
    <w:p w14:paraId="66C6ABD0" w14:textId="77777777" w:rsidR="0059656A" w:rsidRPr="00F569AE" w:rsidRDefault="0059656A" w:rsidP="0059656A">
      <w:pPr>
        <w:rPr>
          <w:rFonts w:ascii="Calibri" w:hAnsi="Calibri" w:cs="Calibri"/>
          <w:b/>
          <w:u w:val="single"/>
          <w:lang w:val="en-US"/>
        </w:rPr>
      </w:pPr>
    </w:p>
    <w:p w14:paraId="6EBA2C6B" w14:textId="77777777" w:rsidR="0059656A" w:rsidRPr="00F569AE" w:rsidRDefault="0059656A" w:rsidP="0059656A">
      <w:pPr>
        <w:rPr>
          <w:rFonts w:ascii="Calibri" w:hAnsi="Calibri" w:cs="Calibri"/>
          <w:b/>
          <w:u w:val="single"/>
          <w:lang w:val="en-US"/>
        </w:rPr>
      </w:pPr>
    </w:p>
    <w:p w14:paraId="7746E740" w14:textId="77777777" w:rsidR="0059656A" w:rsidRPr="00F569AE" w:rsidRDefault="0059656A" w:rsidP="0059656A">
      <w:pPr>
        <w:rPr>
          <w:rFonts w:ascii="Calibri" w:hAnsi="Calibri" w:cs="Calibri"/>
          <w:b/>
          <w:u w:val="single"/>
          <w:lang w:val="en-US"/>
        </w:rPr>
      </w:pPr>
    </w:p>
    <w:p w14:paraId="76226F1E" w14:textId="77777777" w:rsidR="0059656A" w:rsidRPr="00F569AE" w:rsidRDefault="0059656A" w:rsidP="0059656A">
      <w:pPr>
        <w:rPr>
          <w:rFonts w:ascii="Calibri" w:hAnsi="Calibri" w:cs="Calibri"/>
          <w:b/>
          <w:u w:val="single"/>
          <w:lang w:val="en-US"/>
        </w:rPr>
      </w:pPr>
      <w:r w:rsidRPr="00F569AE">
        <w:rPr>
          <w:rFonts w:ascii="Calibri" w:hAnsi="Calibri" w:cs="Calibri"/>
          <w:b/>
          <w:u w:val="single"/>
          <w:lang w:val="en-US"/>
        </w:rPr>
        <w:t>12.1 What are illustrative examples of citizens’ involvement in consultations?</w:t>
      </w:r>
    </w:p>
    <w:p w14:paraId="220DCF41" w14:textId="77777777" w:rsidR="0059656A" w:rsidRPr="00F569AE" w:rsidRDefault="0059656A" w:rsidP="0059656A">
      <w:pPr>
        <w:rPr>
          <w:rFonts w:ascii="Calibri" w:hAnsi="Calibri" w:cs="Calibri"/>
          <w:b/>
          <w:u w:val="single"/>
          <w:lang w:val="en-US"/>
        </w:rPr>
      </w:pPr>
    </w:p>
    <w:p w14:paraId="06D4C61C" w14:textId="2F9E8454" w:rsidR="0059656A" w:rsidRPr="00F569AE" w:rsidRDefault="0059656A" w:rsidP="0059656A">
      <w:pPr>
        <w:rPr>
          <w:rFonts w:ascii="Calibri" w:hAnsi="Calibri" w:cs="Calibri"/>
          <w:lang w:val="en-US"/>
        </w:rPr>
      </w:pPr>
      <w:r w:rsidRPr="00F569AE">
        <w:rPr>
          <w:rFonts w:ascii="Calibri" w:hAnsi="Calibri" w:cs="Calibri"/>
          <w:noProof/>
          <w:lang w:val="en-US"/>
        </w:rPr>
        <w:drawing>
          <wp:inline distT="0" distB="0" distL="0" distR="0" wp14:anchorId="1527D067" wp14:editId="6ABEAA77">
            <wp:extent cx="5839460" cy="2943860"/>
            <wp:effectExtent l="0" t="0" r="15240" b="15240"/>
            <wp:docPr id="14" name="Chart 3">
              <a:extLst xmlns:a="http://schemas.openxmlformats.org/drawingml/2006/main">
                <a:ext uri="{FF2B5EF4-FFF2-40B4-BE49-F238E27FC236}">
                  <a16:creationId xmlns:a16="http://schemas.microsoft.com/office/drawing/2014/main" id="{E4C38EEB-4ABD-427B-A912-390D40842E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inline>
        </w:drawing>
      </w:r>
    </w:p>
    <w:p w14:paraId="2BC0DD51" w14:textId="77777777" w:rsidR="0059656A" w:rsidRPr="00F569AE" w:rsidRDefault="0059656A" w:rsidP="0059656A">
      <w:pPr>
        <w:jc w:val="both"/>
        <w:rPr>
          <w:rFonts w:ascii="Calibri" w:hAnsi="Calibri" w:cs="Calibri"/>
          <w:b/>
          <w:u w:val="single"/>
          <w:lang w:val="en-US"/>
        </w:rPr>
      </w:pPr>
    </w:p>
    <w:p w14:paraId="20F7284C" w14:textId="77777777" w:rsidR="0059656A" w:rsidRPr="00F569AE" w:rsidRDefault="0059656A" w:rsidP="0059656A">
      <w:pPr>
        <w:jc w:val="both"/>
        <w:rPr>
          <w:rFonts w:ascii="Calibri" w:hAnsi="Calibri" w:cs="Calibri"/>
          <w:b/>
          <w:u w:val="single"/>
          <w:lang w:val="en-US"/>
        </w:rPr>
      </w:pPr>
    </w:p>
    <w:p w14:paraId="44D1A41B" w14:textId="77777777" w:rsidR="0059656A" w:rsidRPr="00F569AE" w:rsidRDefault="0059656A" w:rsidP="0059656A">
      <w:pPr>
        <w:jc w:val="both"/>
        <w:rPr>
          <w:rFonts w:ascii="Calibri" w:hAnsi="Calibri" w:cs="Calibri"/>
          <w:b/>
          <w:u w:val="single"/>
          <w:lang w:val="en-US"/>
        </w:rPr>
      </w:pPr>
      <w:r w:rsidRPr="00F569AE">
        <w:rPr>
          <w:rFonts w:ascii="Calibri" w:hAnsi="Calibri" w:cs="Calibri"/>
          <w:b/>
          <w:u w:val="single"/>
          <w:lang w:val="en-US"/>
        </w:rPr>
        <w:t>13. What are your recommendations for the next round of the MEG project?</w:t>
      </w:r>
    </w:p>
    <w:p w14:paraId="39917800" w14:textId="77777777" w:rsidR="0059656A" w:rsidRPr="00F569AE" w:rsidRDefault="0059656A" w:rsidP="0059656A">
      <w:pPr>
        <w:jc w:val="both"/>
        <w:rPr>
          <w:rFonts w:ascii="Calibri" w:hAnsi="Calibri" w:cs="Calibri"/>
          <w:b/>
          <w:u w:val="single"/>
          <w:lang w:val="en-US"/>
        </w:rPr>
      </w:pPr>
    </w:p>
    <w:p w14:paraId="1CB569D3" w14:textId="1290719C" w:rsidR="0059656A" w:rsidRPr="00F569AE" w:rsidRDefault="0059656A" w:rsidP="0059656A">
      <w:pPr>
        <w:jc w:val="both"/>
        <w:rPr>
          <w:rFonts w:ascii="Calibri" w:hAnsi="Calibri" w:cs="Calibri"/>
          <w:lang w:val="en-US"/>
        </w:rPr>
      </w:pPr>
      <w:r w:rsidRPr="00F569AE">
        <w:rPr>
          <w:rFonts w:ascii="Calibri" w:hAnsi="Calibri" w:cs="Calibri"/>
          <w:noProof/>
          <w:lang w:val="en-US"/>
        </w:rPr>
        <w:drawing>
          <wp:inline distT="0" distB="0" distL="0" distR="0" wp14:anchorId="3372CD32" wp14:editId="11736258">
            <wp:extent cx="5839460" cy="3401060"/>
            <wp:effectExtent l="0" t="0" r="15240" b="15240"/>
            <wp:docPr id="15" name="Chart 2">
              <a:extLst xmlns:a="http://schemas.openxmlformats.org/drawingml/2006/main">
                <a:ext uri="{FF2B5EF4-FFF2-40B4-BE49-F238E27FC236}">
                  <a16:creationId xmlns:a16="http://schemas.microsoft.com/office/drawing/2014/main" id="{95FBF8D7-373B-4C38-9098-7BB9FE83E5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p>
    <w:bookmarkEnd w:id="219"/>
    <w:p w14:paraId="76A9849D" w14:textId="77777777" w:rsidR="0059656A" w:rsidRPr="00F569AE" w:rsidRDefault="0059656A" w:rsidP="0059656A">
      <w:pPr>
        <w:spacing w:after="160" w:line="276" w:lineRule="auto"/>
        <w:jc w:val="both"/>
        <w:rPr>
          <w:rFonts w:ascii="Calibri" w:eastAsia="Calibri" w:hAnsi="Calibri" w:cs="Calibri"/>
          <w:lang w:val="en-US"/>
        </w:rPr>
      </w:pPr>
    </w:p>
    <w:p w14:paraId="60516761" w14:textId="77777777" w:rsidR="0059656A" w:rsidRPr="00F569AE" w:rsidRDefault="0059656A" w:rsidP="0059656A">
      <w:pPr>
        <w:spacing w:after="160" w:line="276" w:lineRule="auto"/>
        <w:jc w:val="center"/>
        <w:rPr>
          <w:rFonts w:ascii="Calibri" w:eastAsia="Calibri" w:hAnsi="Calibri" w:cs="Calibri"/>
          <w:lang w:val="en-US"/>
        </w:rPr>
      </w:pPr>
    </w:p>
    <w:p w14:paraId="5F0B21A5" w14:textId="77777777" w:rsidR="000C52E4" w:rsidRPr="00F569AE" w:rsidRDefault="000C52E4" w:rsidP="005D2DD7">
      <w:pPr>
        <w:spacing w:after="160" w:line="276" w:lineRule="auto"/>
        <w:rPr>
          <w:rFonts w:ascii="Calibri" w:eastAsia="Calibri" w:hAnsi="Calibri" w:cs="Calibri"/>
          <w:lang w:val="en-US"/>
        </w:rPr>
      </w:pPr>
    </w:p>
    <w:p w14:paraId="2D47D441" w14:textId="77777777" w:rsidR="000C52E4" w:rsidRPr="00F569AE" w:rsidRDefault="000C52E4" w:rsidP="006E0638">
      <w:pPr>
        <w:spacing w:after="160" w:line="276" w:lineRule="auto"/>
        <w:jc w:val="center"/>
        <w:rPr>
          <w:rFonts w:ascii="Calibri" w:eastAsia="Calibri" w:hAnsi="Calibri" w:cs="Calibri"/>
          <w:lang w:val="en-US"/>
        </w:rPr>
      </w:pPr>
    </w:p>
    <w:p w14:paraId="30418097" w14:textId="135E86E0" w:rsidR="00980BAE" w:rsidRPr="00F569AE" w:rsidRDefault="00E16730" w:rsidP="001D45CB">
      <w:pPr>
        <w:pStyle w:val="Heading2"/>
        <w:rPr>
          <w:rFonts w:ascii="Calibri" w:eastAsia="Calibri" w:hAnsi="Calibri" w:cs="Calibri"/>
        </w:rPr>
      </w:pPr>
      <w:bookmarkStart w:id="220" w:name="_Toc200528848"/>
      <w:bookmarkStart w:id="221" w:name="_Toc210058544"/>
      <w:r w:rsidRPr="00F569AE">
        <w:rPr>
          <w:rFonts w:ascii="Calibri" w:hAnsi="Calibri" w:cs="Calibri"/>
          <w:i/>
        </w:rPr>
        <w:lastRenderedPageBreak/>
        <w:t xml:space="preserve">Annex </w:t>
      </w:r>
      <w:r w:rsidR="000C52E4" w:rsidRPr="00F569AE">
        <w:rPr>
          <w:rFonts w:ascii="Calibri" w:hAnsi="Calibri" w:cs="Calibri"/>
          <w:i/>
        </w:rPr>
        <w:t>9</w:t>
      </w:r>
      <w:r w:rsidRPr="00F569AE">
        <w:rPr>
          <w:rFonts w:ascii="Calibri" w:hAnsi="Calibri" w:cs="Calibri"/>
          <w:i/>
        </w:rPr>
        <w:t xml:space="preserve">: </w:t>
      </w:r>
      <w:bookmarkEnd w:id="220"/>
      <w:r w:rsidR="001D45CB" w:rsidRPr="00F569AE">
        <w:rPr>
          <w:rFonts w:ascii="Calibri" w:hAnsi="Calibri" w:cs="Calibri"/>
          <w:i/>
        </w:rPr>
        <w:t>Case studies</w:t>
      </w:r>
      <w:bookmarkEnd w:id="221"/>
    </w:p>
    <w:p w14:paraId="0ED7975B" w14:textId="77777777" w:rsidR="00DA4C33" w:rsidRPr="00F569AE" w:rsidRDefault="00DA4C33" w:rsidP="00085D9B">
      <w:pPr>
        <w:spacing w:after="160" w:line="276" w:lineRule="auto"/>
        <w:jc w:val="both"/>
        <w:rPr>
          <w:rFonts w:ascii="Calibri" w:eastAsia="Calibri" w:hAnsi="Calibri" w:cs="Calibri"/>
          <w:lang w:val="en-US"/>
        </w:rPr>
      </w:pPr>
    </w:p>
    <w:p w14:paraId="0951C6A3" w14:textId="77777777" w:rsidR="00657F84" w:rsidRPr="00F569AE" w:rsidRDefault="00657F84" w:rsidP="00657F84">
      <w:pPr>
        <w:spacing w:after="160" w:line="276" w:lineRule="auto"/>
        <w:jc w:val="both"/>
        <w:rPr>
          <w:rFonts w:ascii="Calibri" w:eastAsia="Calibri" w:hAnsi="Calibri" w:cs="Calibri"/>
          <w:b/>
          <w:i/>
          <w:color w:val="4C94D8" w:themeColor="text2" w:themeTint="80"/>
          <w:sz w:val="28"/>
          <w:szCs w:val="28"/>
          <w:lang w:val="en-US"/>
        </w:rPr>
      </w:pPr>
      <w:r w:rsidRPr="00F569AE">
        <w:rPr>
          <w:rFonts w:ascii="Calibri" w:eastAsia="Calibri" w:hAnsi="Calibri" w:cs="Calibri"/>
          <w:b/>
          <w:i/>
          <w:color w:val="4C94D8" w:themeColor="text2" w:themeTint="80"/>
          <w:sz w:val="28"/>
          <w:szCs w:val="28"/>
          <w:lang w:val="en-US"/>
        </w:rPr>
        <w:t>Case study on PSA in Bihać (FBiH)</w:t>
      </w:r>
    </w:p>
    <w:tbl>
      <w:tblPr>
        <w:tblStyle w:val="TableGrid"/>
        <w:tblW w:w="0" w:type="auto"/>
        <w:tblLook w:val="04A0" w:firstRow="1" w:lastRow="0" w:firstColumn="1" w:lastColumn="0" w:noHBand="0" w:noVBand="1"/>
      </w:tblPr>
      <w:tblGrid>
        <w:gridCol w:w="9010"/>
      </w:tblGrid>
      <w:tr w:rsidR="00E10746" w:rsidRPr="00F569AE" w14:paraId="14B2CA39" w14:textId="77777777" w:rsidTr="00E10746">
        <w:tc>
          <w:tcPr>
            <w:tcW w:w="9010" w:type="dxa"/>
            <w:shd w:val="clear" w:color="auto" w:fill="D9D9D9" w:themeFill="background1" w:themeFillShade="D9"/>
          </w:tcPr>
          <w:p w14:paraId="5FCED0C2" w14:textId="77777777" w:rsidR="00E10746" w:rsidRPr="00B7233A" w:rsidRDefault="00E10746" w:rsidP="00E10746">
            <w:pPr>
              <w:rPr>
                <w:rFonts w:ascii="Calibri" w:hAnsi="Calibri" w:cs="Calibri"/>
                <w:lang w:val="en-US"/>
              </w:rPr>
            </w:pPr>
            <w:r w:rsidRPr="00B7233A">
              <w:rPr>
                <w:rFonts w:ascii="Calibri" w:hAnsi="Calibri" w:cs="Calibri"/>
                <w:b/>
                <w:i/>
                <w:lang w:val="en-US"/>
              </w:rPr>
              <w:t xml:space="preserve">Area name: </w:t>
            </w:r>
            <w:r w:rsidRPr="00B7233A">
              <w:rPr>
                <w:rFonts w:ascii="Calibri" w:hAnsi="Calibri" w:cs="Calibri"/>
                <w:b/>
                <w:i/>
                <w:lang w:val="en-US"/>
              </w:rPr>
              <w:tab/>
            </w:r>
            <w:r w:rsidRPr="00B7233A">
              <w:rPr>
                <w:rFonts w:ascii="Calibri" w:hAnsi="Calibri" w:cs="Calibri"/>
                <w:b/>
                <w:i/>
                <w:lang w:val="en-US"/>
              </w:rPr>
              <w:tab/>
            </w:r>
            <w:r w:rsidRPr="00B7233A">
              <w:rPr>
                <w:rFonts w:ascii="Calibri" w:hAnsi="Calibri" w:cs="Calibri"/>
                <w:b/>
                <w:i/>
                <w:lang w:val="en-US"/>
              </w:rPr>
              <w:tab/>
            </w:r>
            <w:r w:rsidRPr="00B7233A">
              <w:rPr>
                <w:rFonts w:ascii="Calibri" w:hAnsi="Calibri" w:cs="Calibri"/>
                <w:lang w:val="en-US"/>
              </w:rPr>
              <w:t>Bihać</w:t>
            </w:r>
          </w:p>
          <w:p w14:paraId="1C2B97D1" w14:textId="77777777" w:rsidR="00E10746" w:rsidRPr="00B7233A" w:rsidRDefault="00E10746" w:rsidP="00E10746">
            <w:pPr>
              <w:rPr>
                <w:rFonts w:ascii="Calibri" w:hAnsi="Calibri" w:cs="Calibri"/>
                <w:lang w:val="en-US"/>
              </w:rPr>
            </w:pPr>
            <w:r w:rsidRPr="00B7233A">
              <w:rPr>
                <w:rFonts w:ascii="Calibri" w:hAnsi="Calibri" w:cs="Calibri"/>
                <w:b/>
                <w:i/>
                <w:lang w:val="en-US"/>
              </w:rPr>
              <w:t xml:space="preserve">Date: </w:t>
            </w:r>
            <w:r w:rsidRPr="00B7233A">
              <w:rPr>
                <w:rFonts w:ascii="Calibri" w:hAnsi="Calibri" w:cs="Calibri"/>
                <w:b/>
                <w:i/>
                <w:lang w:val="en-US"/>
              </w:rPr>
              <w:tab/>
            </w:r>
            <w:r w:rsidRPr="00B7233A">
              <w:rPr>
                <w:rFonts w:ascii="Calibri" w:hAnsi="Calibri" w:cs="Calibri"/>
                <w:b/>
                <w:i/>
                <w:lang w:val="en-US"/>
              </w:rPr>
              <w:tab/>
            </w:r>
            <w:r w:rsidRPr="00B7233A">
              <w:rPr>
                <w:rFonts w:ascii="Calibri" w:hAnsi="Calibri" w:cs="Calibri"/>
                <w:b/>
                <w:i/>
                <w:lang w:val="en-US"/>
              </w:rPr>
              <w:tab/>
            </w:r>
            <w:r w:rsidRPr="00B7233A">
              <w:rPr>
                <w:rFonts w:ascii="Calibri" w:hAnsi="Calibri" w:cs="Calibri"/>
                <w:b/>
                <w:i/>
                <w:lang w:val="en-US"/>
              </w:rPr>
              <w:tab/>
            </w:r>
            <w:r w:rsidRPr="00B7233A">
              <w:rPr>
                <w:rFonts w:ascii="Calibri" w:hAnsi="Calibri" w:cs="Calibri"/>
                <w:lang w:val="en-US"/>
              </w:rPr>
              <w:t>12.06.2025</w:t>
            </w:r>
          </w:p>
          <w:p w14:paraId="4F6BF1A2" w14:textId="77777777" w:rsidR="00E10746" w:rsidRPr="00B7233A" w:rsidRDefault="00E10746" w:rsidP="00E10746">
            <w:pPr>
              <w:tabs>
                <w:tab w:val="left" w:pos="720"/>
                <w:tab w:val="left" w:pos="1440"/>
                <w:tab w:val="left" w:pos="2160"/>
                <w:tab w:val="left" w:pos="2880"/>
                <w:tab w:val="left" w:pos="4269"/>
              </w:tabs>
              <w:rPr>
                <w:rFonts w:ascii="Calibri" w:hAnsi="Calibri" w:cs="Calibri"/>
                <w:lang w:val="en-US"/>
              </w:rPr>
            </w:pPr>
            <w:r w:rsidRPr="00B7233A">
              <w:rPr>
                <w:rFonts w:ascii="Calibri" w:hAnsi="Calibri" w:cs="Calibri"/>
                <w:b/>
                <w:i/>
                <w:lang w:val="en-US"/>
              </w:rPr>
              <w:t>Name of the expert:</w:t>
            </w:r>
            <w:r w:rsidRPr="00B7233A">
              <w:rPr>
                <w:rFonts w:ascii="Calibri" w:hAnsi="Calibri" w:cs="Calibri"/>
                <w:b/>
                <w:i/>
                <w:lang w:val="en-US"/>
              </w:rPr>
              <w:tab/>
            </w:r>
            <w:r w:rsidRPr="00B7233A">
              <w:rPr>
                <w:rFonts w:ascii="Calibri" w:hAnsi="Calibri" w:cs="Calibri"/>
                <w:b/>
                <w:i/>
                <w:lang w:val="en-US"/>
              </w:rPr>
              <w:tab/>
            </w:r>
            <w:r w:rsidRPr="00B7233A">
              <w:rPr>
                <w:rFonts w:ascii="Calibri" w:hAnsi="Calibri" w:cs="Calibri"/>
                <w:lang w:val="en-US"/>
              </w:rPr>
              <w:t xml:space="preserve">Mišel Pavlica  </w:t>
            </w:r>
          </w:p>
          <w:p w14:paraId="7B21C357" w14:textId="77777777" w:rsidR="00E10746" w:rsidRPr="00B7233A" w:rsidRDefault="00E10746" w:rsidP="00E10746">
            <w:pPr>
              <w:tabs>
                <w:tab w:val="left" w:pos="720"/>
                <w:tab w:val="left" w:pos="1440"/>
                <w:tab w:val="left" w:pos="2160"/>
                <w:tab w:val="left" w:pos="2880"/>
                <w:tab w:val="left" w:pos="4269"/>
              </w:tabs>
              <w:rPr>
                <w:rFonts w:ascii="Calibri" w:hAnsi="Calibri" w:cs="Calibri"/>
                <w:lang w:val="en-US"/>
              </w:rPr>
            </w:pPr>
            <w:r w:rsidRPr="00B7233A">
              <w:rPr>
                <w:rFonts w:ascii="Calibri" w:hAnsi="Calibri" w:cs="Calibri"/>
                <w:b/>
                <w:i/>
                <w:lang w:val="en-US"/>
              </w:rPr>
              <w:t>Population:</w:t>
            </w:r>
            <w:r w:rsidRPr="00B7233A">
              <w:rPr>
                <w:rFonts w:ascii="Calibri" w:hAnsi="Calibri" w:cs="Calibri"/>
                <w:lang w:val="en-US"/>
              </w:rPr>
              <w:t xml:space="preserve"> </w:t>
            </w:r>
            <w:r w:rsidRPr="00B7233A">
              <w:rPr>
                <w:rFonts w:ascii="Calibri" w:hAnsi="Calibri" w:cs="Calibri"/>
                <w:lang w:val="en-US"/>
              </w:rPr>
              <w:tab/>
            </w:r>
            <w:r w:rsidRPr="00B7233A">
              <w:rPr>
                <w:rFonts w:ascii="Calibri" w:hAnsi="Calibri" w:cs="Calibri"/>
                <w:lang w:val="en-US"/>
              </w:rPr>
              <w:tab/>
            </w:r>
            <w:r w:rsidRPr="00B7233A">
              <w:rPr>
                <w:rFonts w:ascii="Calibri" w:hAnsi="Calibri" w:cs="Calibri"/>
                <w:lang w:val="en-US"/>
              </w:rPr>
              <w:tab/>
              <w:t>72,500</w:t>
            </w:r>
            <w:r w:rsidRPr="00B7233A">
              <w:rPr>
                <w:rFonts w:ascii="Calibri" w:hAnsi="Calibri" w:cs="Calibri"/>
                <w:lang w:val="en-US"/>
              </w:rPr>
              <w:tab/>
            </w:r>
          </w:p>
          <w:p w14:paraId="5E12B1CD" w14:textId="77777777" w:rsidR="00E10746" w:rsidRPr="00F569AE" w:rsidRDefault="00E10746" w:rsidP="00E10746">
            <w:pPr>
              <w:tabs>
                <w:tab w:val="left" w:pos="720"/>
                <w:tab w:val="left" w:pos="1440"/>
                <w:tab w:val="left" w:pos="2160"/>
                <w:tab w:val="left" w:pos="2880"/>
                <w:tab w:val="left" w:pos="4269"/>
              </w:tabs>
              <w:rPr>
                <w:rFonts w:ascii="Calibri" w:hAnsi="Calibri" w:cs="Calibri"/>
                <w:lang w:val="en-US"/>
              </w:rPr>
            </w:pPr>
            <w:r w:rsidRPr="00F569AE">
              <w:rPr>
                <w:rFonts w:ascii="Calibri" w:hAnsi="Calibri" w:cs="Calibri"/>
                <w:b/>
                <w:i/>
                <w:lang w:val="en-US"/>
              </w:rPr>
              <w:t>Number of (water) subscribers:</w:t>
            </w:r>
            <w:r w:rsidRPr="00F569AE">
              <w:rPr>
                <w:rFonts w:ascii="Calibri" w:hAnsi="Calibri" w:cs="Calibri"/>
                <w:lang w:val="en-US"/>
              </w:rPr>
              <w:t xml:space="preserve"> 24,074</w:t>
            </w:r>
          </w:p>
          <w:p w14:paraId="299C959E" w14:textId="77777777" w:rsidR="00E10746" w:rsidRPr="00B7233A" w:rsidRDefault="00E10746" w:rsidP="00E10746">
            <w:pPr>
              <w:tabs>
                <w:tab w:val="left" w:pos="720"/>
                <w:tab w:val="left" w:pos="1440"/>
                <w:tab w:val="left" w:pos="2160"/>
                <w:tab w:val="left" w:pos="2880"/>
                <w:tab w:val="left" w:pos="4269"/>
              </w:tabs>
              <w:rPr>
                <w:rFonts w:ascii="Calibri" w:hAnsi="Calibri" w:cs="Calibri"/>
                <w:lang w:val="en-US"/>
              </w:rPr>
            </w:pPr>
          </w:p>
          <w:p w14:paraId="772489F7" w14:textId="77777777" w:rsidR="00E10746" w:rsidRPr="00F569AE" w:rsidRDefault="00E10746" w:rsidP="00E10746">
            <w:pPr>
              <w:rPr>
                <w:rFonts w:ascii="Calibri" w:hAnsi="Calibri" w:cs="Calibri"/>
                <w:b/>
                <w:i/>
                <w:lang w:val="en-US"/>
              </w:rPr>
            </w:pPr>
            <w:r w:rsidRPr="00F569AE">
              <w:rPr>
                <w:rFonts w:ascii="Calibri" w:hAnsi="Calibri" w:cs="Calibri"/>
                <w:b/>
                <w:i/>
                <w:lang w:val="en-US"/>
              </w:rPr>
              <w:t xml:space="preserve">Discussion participants: </w:t>
            </w:r>
          </w:p>
          <w:p w14:paraId="4FCDB214" w14:textId="77777777" w:rsidR="00E10746" w:rsidRPr="00F569AE" w:rsidRDefault="00E10746" w:rsidP="006C530E">
            <w:pPr>
              <w:pStyle w:val="ListParagraph"/>
              <w:numPr>
                <w:ilvl w:val="0"/>
                <w:numId w:val="33"/>
              </w:numPr>
              <w:spacing w:after="200" w:line="276" w:lineRule="auto"/>
              <w:rPr>
                <w:rFonts w:ascii="Calibri" w:hAnsi="Calibri" w:cs="Calibri"/>
              </w:rPr>
            </w:pPr>
            <w:r w:rsidRPr="00F569AE">
              <w:rPr>
                <w:rFonts w:ascii="Calibri" w:hAnsi="Calibri" w:cs="Calibri"/>
              </w:rPr>
              <w:t>Vildana Zulić, municipal MEG I &amp; II project coordinator</w:t>
            </w:r>
          </w:p>
          <w:p w14:paraId="213591F1" w14:textId="77777777" w:rsidR="00E10746" w:rsidRPr="00F569AE" w:rsidRDefault="00E10746" w:rsidP="006C530E">
            <w:pPr>
              <w:pStyle w:val="ListParagraph"/>
              <w:numPr>
                <w:ilvl w:val="0"/>
                <w:numId w:val="33"/>
              </w:numPr>
              <w:spacing w:after="200" w:line="276" w:lineRule="auto"/>
              <w:rPr>
                <w:rFonts w:ascii="Calibri" w:hAnsi="Calibri" w:cs="Calibri"/>
              </w:rPr>
            </w:pPr>
            <w:r w:rsidRPr="00F569AE">
              <w:rPr>
                <w:rFonts w:ascii="Calibri" w:hAnsi="Calibri" w:cs="Calibri"/>
              </w:rPr>
              <w:t>Ibrahim Begić, secretary of the City’s Assembly</w:t>
            </w:r>
          </w:p>
          <w:p w14:paraId="1F2C9AE0" w14:textId="77777777" w:rsidR="00E10746" w:rsidRPr="00F569AE" w:rsidRDefault="00E10746" w:rsidP="006C530E">
            <w:pPr>
              <w:pStyle w:val="ListParagraph"/>
              <w:numPr>
                <w:ilvl w:val="0"/>
                <w:numId w:val="33"/>
              </w:numPr>
              <w:spacing w:after="200" w:line="276" w:lineRule="auto"/>
              <w:rPr>
                <w:rFonts w:ascii="Calibri" w:hAnsi="Calibri" w:cs="Calibri"/>
              </w:rPr>
            </w:pPr>
            <w:r w:rsidRPr="00F569AE">
              <w:rPr>
                <w:rFonts w:ascii="Calibri" w:hAnsi="Calibri" w:cs="Calibri"/>
              </w:rPr>
              <w:t>Adnan Jusić, representative of Public Water Utility company Bihać</w:t>
            </w:r>
          </w:p>
          <w:p w14:paraId="18306C2D" w14:textId="13E05202" w:rsidR="00E10746" w:rsidRPr="00F569AE" w:rsidRDefault="00E10746" w:rsidP="006C530E">
            <w:pPr>
              <w:pStyle w:val="ListParagraph"/>
              <w:numPr>
                <w:ilvl w:val="0"/>
                <w:numId w:val="33"/>
              </w:numPr>
              <w:spacing w:after="200" w:line="276" w:lineRule="auto"/>
            </w:pPr>
            <w:r w:rsidRPr="00F569AE">
              <w:rPr>
                <w:rFonts w:ascii="Calibri" w:hAnsi="Calibri" w:cs="Calibri"/>
              </w:rPr>
              <w:t>Adnan Sović, representative of Public Water Utility company Bihać</w:t>
            </w:r>
          </w:p>
        </w:tc>
      </w:tr>
    </w:tbl>
    <w:p w14:paraId="48D6EB8D" w14:textId="77777777" w:rsidR="00657F84" w:rsidRPr="00F569AE" w:rsidRDefault="00657F84" w:rsidP="00657F84">
      <w:pPr>
        <w:spacing w:after="160" w:line="276" w:lineRule="auto"/>
        <w:jc w:val="both"/>
        <w:rPr>
          <w:rFonts w:ascii="Calibri" w:eastAsia="Calibri" w:hAnsi="Calibri" w:cs="Calibri"/>
          <w:b/>
          <w:i/>
          <w:color w:val="4C94D8" w:themeColor="text2" w:themeTint="80"/>
          <w:lang w:val="en-US"/>
        </w:rPr>
      </w:pPr>
    </w:p>
    <w:p w14:paraId="35EF0691" w14:textId="17FE43DE" w:rsidR="00657F84" w:rsidRPr="00F569AE" w:rsidRDefault="00E10746" w:rsidP="00E10746">
      <w:pPr>
        <w:spacing w:after="160" w:line="276" w:lineRule="auto"/>
        <w:jc w:val="both"/>
        <w:rPr>
          <w:rFonts w:ascii="Calibri" w:eastAsia="Calibri" w:hAnsi="Calibri" w:cs="Calibri"/>
          <w:b/>
          <w:i/>
          <w:color w:val="4C94D8" w:themeColor="text2" w:themeTint="80"/>
          <w:lang w:val="en-US"/>
        </w:rPr>
      </w:pPr>
      <w:r w:rsidRPr="00F569AE">
        <w:rPr>
          <w:rFonts w:ascii="Calibri" w:hAnsi="Calibri" w:cs="Calibri"/>
          <w:b/>
          <w:sz w:val="28"/>
          <w:szCs w:val="28"/>
          <w:lang w:val="en-US"/>
        </w:rPr>
        <w:t>DESCRIPTIVE PART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E10746" w:rsidRPr="00F569AE" w14:paraId="000A08EF" w14:textId="77777777" w:rsidTr="00E10746">
        <w:tc>
          <w:tcPr>
            <w:tcW w:w="9010" w:type="dxa"/>
            <w:shd w:val="clear" w:color="auto" w:fill="F2F2F2" w:themeFill="background1" w:themeFillShade="F2"/>
          </w:tcPr>
          <w:p w14:paraId="2C7783DA" w14:textId="38A84858" w:rsidR="00E10746" w:rsidRPr="00BC0EF3" w:rsidRDefault="00E10746" w:rsidP="00E10746">
            <w:pPr>
              <w:spacing w:line="276" w:lineRule="auto"/>
              <w:rPr>
                <w:rFonts w:ascii="Calibri" w:hAnsi="Calibri" w:cs="Calibri"/>
                <w:b/>
                <w:lang w:val="en-US"/>
              </w:rPr>
            </w:pPr>
            <w:r w:rsidRPr="00BC0EF3">
              <w:rPr>
                <w:rFonts w:ascii="Calibri" w:hAnsi="Calibri" w:cs="Calibri"/>
                <w:b/>
                <w:lang w:val="en-US"/>
              </w:rPr>
              <w:t>I. When was the Public Service Agreement (PSA) signed and institutionalized?</w:t>
            </w:r>
          </w:p>
        </w:tc>
      </w:tr>
    </w:tbl>
    <w:p w14:paraId="5FAD6709" w14:textId="77777777" w:rsidR="00E10746" w:rsidRPr="00BC0EF3" w:rsidRDefault="00E10746" w:rsidP="00E10746">
      <w:pPr>
        <w:spacing w:line="276" w:lineRule="auto"/>
        <w:jc w:val="both"/>
        <w:rPr>
          <w:rFonts w:ascii="Calibri" w:hAnsi="Calibri" w:cs="Calibri"/>
          <w:lang w:val="en-US"/>
        </w:rPr>
      </w:pPr>
      <w:r w:rsidRPr="00BC0EF3">
        <w:rPr>
          <w:rFonts w:ascii="Calibri" w:hAnsi="Calibri" w:cs="Calibri"/>
          <w:lang w:val="en-US"/>
        </w:rPr>
        <w:t>The City of Bihać is one of the LGs which participated in implementation of both, MEG I and MEG II projects. The joint collaboration platform between the City and the City’s Assembly on one and public water utility company (WUC) on the other side resulted in signing of the “Contract on provision of water services at the territory of the City of Bihać (Ugovor o pružanju javnih vodnih usluga na području Grada Bihaća)” in September 2017.</w:t>
      </w:r>
      <w:r w:rsidRPr="00BC0EF3">
        <w:rPr>
          <w:rStyle w:val="Emphasis"/>
          <w:rFonts w:ascii="Calibri" w:eastAsiaTheme="majorEastAsia" w:hAnsi="Calibri" w:cs="Calibri"/>
          <w:b/>
          <w:color w:val="767676"/>
          <w:sz w:val="21"/>
          <w:szCs w:val="21"/>
          <w:shd w:val="clear" w:color="auto" w:fill="FFFFFF"/>
          <w:lang w:val="en-US"/>
        </w:rPr>
        <w:t xml:space="preserve"> </w:t>
      </w:r>
      <w:r w:rsidRPr="00BC0EF3">
        <w:rPr>
          <w:rFonts w:ascii="Calibri" w:hAnsi="Calibri" w:cs="Calibri"/>
          <w:lang w:val="en-US"/>
        </w:rPr>
        <w:t>The PSA implementation was also a part of the work programme of City’s Assembly. The adopted PSA is not considered a formality and the City of Bihać has carried out significant efforts on PSA institutionalization (please see below).</w:t>
      </w:r>
    </w:p>
    <w:p w14:paraId="62AB14A8" w14:textId="77777777" w:rsidR="00657F84" w:rsidRPr="00BC0EF3" w:rsidRDefault="00657F84" w:rsidP="00657F84">
      <w:pPr>
        <w:spacing w:after="160" w:line="276" w:lineRule="auto"/>
        <w:jc w:val="both"/>
        <w:rPr>
          <w:rFonts w:ascii="Calibri" w:eastAsia="Calibri" w:hAnsi="Calibri" w:cs="Calibri"/>
          <w:color w:val="4C94D8" w:themeColor="text2" w:themeTint="80"/>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E10746" w:rsidRPr="00F569AE" w14:paraId="54F49774" w14:textId="77777777" w:rsidTr="00E10746">
        <w:tc>
          <w:tcPr>
            <w:tcW w:w="9010" w:type="dxa"/>
            <w:shd w:val="clear" w:color="auto" w:fill="F2F2F2" w:themeFill="background1" w:themeFillShade="F2"/>
          </w:tcPr>
          <w:p w14:paraId="6549A2BA" w14:textId="1EEDFAB8" w:rsidR="00E10746" w:rsidRPr="00BC0EF3" w:rsidRDefault="00E10746" w:rsidP="00E10746">
            <w:pPr>
              <w:spacing w:line="276" w:lineRule="auto"/>
              <w:jc w:val="both"/>
              <w:rPr>
                <w:rFonts w:ascii="Calibri" w:hAnsi="Calibri" w:cs="Calibri"/>
                <w:b/>
                <w:lang w:val="en-US"/>
              </w:rPr>
            </w:pPr>
            <w:r w:rsidRPr="00BC0EF3">
              <w:rPr>
                <w:rFonts w:ascii="Calibri" w:hAnsi="Calibri" w:cs="Calibri"/>
                <w:b/>
                <w:lang w:val="en-US"/>
              </w:rPr>
              <w:t>II. What does the PSA entail?</w:t>
            </w:r>
          </w:p>
        </w:tc>
      </w:tr>
    </w:tbl>
    <w:p w14:paraId="65962B6C" w14:textId="77777777" w:rsidR="00E10746" w:rsidRPr="00BC0EF3" w:rsidRDefault="00E10746" w:rsidP="00E10746">
      <w:pPr>
        <w:spacing w:line="276" w:lineRule="auto"/>
        <w:jc w:val="both"/>
        <w:rPr>
          <w:rFonts w:ascii="Calibri" w:hAnsi="Calibri" w:cs="Calibri"/>
          <w:lang w:val="en-US"/>
        </w:rPr>
      </w:pPr>
      <w:r w:rsidRPr="00BC0EF3">
        <w:rPr>
          <w:rFonts w:ascii="Calibri" w:hAnsi="Calibri" w:cs="Calibri"/>
          <w:lang w:val="en-US"/>
        </w:rPr>
        <w:t xml:space="preserve">The PSA entails understanding of mutual responsibilities, and methodologies and procedures that govern the relations between the City of Bihać and its communal enterprise (WUC) with regard to matters that secure provision of quality water services to citizens and companies at the territory of Bihać City.  In addition, the systematization of City’s department in charge of water / wastewater – Department for development management, communal services and environment protection is aligned with the needs of PSA institutionalization. Accordingly, a new department’s </w:t>
      </w:r>
      <w:r w:rsidRPr="00BC0EF3">
        <w:rPr>
          <w:rFonts w:ascii="Calibri" w:hAnsi="Calibri" w:cs="Calibri"/>
          <w:b/>
          <w:lang w:val="en-US"/>
        </w:rPr>
        <w:t xml:space="preserve">Section for waters and environment protection </w:t>
      </w:r>
      <w:r w:rsidRPr="00BC0EF3">
        <w:rPr>
          <w:rFonts w:ascii="Calibri" w:hAnsi="Calibri" w:cs="Calibri"/>
          <w:lang w:val="en-US"/>
        </w:rPr>
        <w:t xml:space="preserve">was established and a person responsible to follow up the operations of WUC was engaged by the City. This newly formed section is responsible for implementation of contracted elements of PSA. </w:t>
      </w:r>
    </w:p>
    <w:p w14:paraId="4D0CAF0B" w14:textId="77777777" w:rsidR="00E10746" w:rsidRPr="00BC0EF3" w:rsidRDefault="00E10746" w:rsidP="00E10746">
      <w:pPr>
        <w:spacing w:line="276" w:lineRule="auto"/>
        <w:jc w:val="both"/>
        <w:rPr>
          <w:rFonts w:ascii="Calibri" w:hAnsi="Calibri" w:cs="Calibri"/>
          <w:b/>
          <w:lang w:val="en-US"/>
        </w:rPr>
      </w:pPr>
    </w:p>
    <w:p w14:paraId="3352CDAC" w14:textId="77777777" w:rsidR="00E10746" w:rsidRPr="00BC0EF3" w:rsidRDefault="00E10746" w:rsidP="00E10746">
      <w:pPr>
        <w:spacing w:line="276" w:lineRule="auto"/>
        <w:jc w:val="both"/>
        <w:rPr>
          <w:rFonts w:ascii="Calibri" w:hAnsi="Calibri" w:cs="Calibri"/>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E10746" w:rsidRPr="00F569AE" w14:paraId="070DBE3C" w14:textId="77777777" w:rsidTr="00E10746">
        <w:tc>
          <w:tcPr>
            <w:tcW w:w="9010" w:type="dxa"/>
            <w:shd w:val="clear" w:color="auto" w:fill="F2F2F2" w:themeFill="background1" w:themeFillShade="F2"/>
          </w:tcPr>
          <w:p w14:paraId="6BA07DFA" w14:textId="2C20353E" w:rsidR="00E10746" w:rsidRPr="00BC0EF3" w:rsidRDefault="00E10746" w:rsidP="00E10746">
            <w:pPr>
              <w:spacing w:line="276" w:lineRule="auto"/>
              <w:jc w:val="both"/>
              <w:rPr>
                <w:rFonts w:ascii="Calibri" w:hAnsi="Calibri" w:cs="Calibri"/>
                <w:b/>
                <w:lang w:val="en-US"/>
              </w:rPr>
            </w:pPr>
            <w:r w:rsidRPr="00BC0EF3">
              <w:rPr>
                <w:rFonts w:ascii="Calibri" w:hAnsi="Calibri" w:cs="Calibri"/>
                <w:b/>
                <w:lang w:val="en-US"/>
              </w:rPr>
              <w:lastRenderedPageBreak/>
              <w:t>III. What are the mayor gaps in the content?</w:t>
            </w:r>
          </w:p>
        </w:tc>
      </w:tr>
    </w:tbl>
    <w:p w14:paraId="019C02A1" w14:textId="399BAD37" w:rsidR="00E10746" w:rsidRPr="00BC0EF3" w:rsidRDefault="00E10746" w:rsidP="00E10746">
      <w:pPr>
        <w:spacing w:line="276" w:lineRule="auto"/>
        <w:jc w:val="both"/>
        <w:rPr>
          <w:rFonts w:ascii="Calibri" w:hAnsi="Calibri" w:cs="Calibri"/>
          <w:lang w:val="en-US"/>
        </w:rPr>
      </w:pPr>
      <w:r w:rsidRPr="00BC0EF3">
        <w:rPr>
          <w:rFonts w:ascii="Calibri" w:hAnsi="Calibri" w:cs="Calibri"/>
          <w:lang w:val="en-US"/>
        </w:rPr>
        <w:t>The MEG coordinator and the other representatives of the City of Bihać do not consider that there are any particular gaps in the content of the PSA. It was prepared following the consultations of the key interested parties (WUC, City administration, City’s assembly) and it reflects their understanding and agreement. To this end, the PSA is considered to be useful for both, the water enterprise and its owner (the City</w:t>
      </w:r>
      <w:r w:rsidR="0098225C" w:rsidRPr="00BC0EF3">
        <w:rPr>
          <w:rFonts w:ascii="Calibri" w:hAnsi="Calibri" w:cs="Calibri"/>
          <w:lang w:val="en-US"/>
        </w:rPr>
        <w:t>)</w:t>
      </w:r>
      <w:r w:rsidRPr="00BC0EF3">
        <w:rPr>
          <w:rFonts w:ascii="Calibri" w:hAnsi="Calibri" w:cs="Calibri"/>
          <w:lang w:val="en-US"/>
        </w:rPr>
        <w:t xml:space="preserve">, and consequently for all citizens. </w:t>
      </w:r>
    </w:p>
    <w:p w14:paraId="591D7ED4" w14:textId="77777777" w:rsidR="00E10746" w:rsidRPr="00BC0EF3" w:rsidRDefault="00E10746" w:rsidP="00E10746">
      <w:pPr>
        <w:spacing w:line="276" w:lineRule="auto"/>
        <w:jc w:val="both"/>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E10746" w:rsidRPr="00F569AE" w14:paraId="27D8440B" w14:textId="77777777" w:rsidTr="00E10746">
        <w:tc>
          <w:tcPr>
            <w:tcW w:w="9010" w:type="dxa"/>
            <w:shd w:val="clear" w:color="auto" w:fill="F2F2F2" w:themeFill="background1" w:themeFillShade="F2"/>
          </w:tcPr>
          <w:p w14:paraId="01C2C3A5" w14:textId="7E8BA978" w:rsidR="00E10746" w:rsidRPr="00BC0EF3" w:rsidRDefault="00E10746" w:rsidP="00E10746">
            <w:pPr>
              <w:spacing w:line="276" w:lineRule="auto"/>
              <w:jc w:val="both"/>
              <w:rPr>
                <w:rFonts w:ascii="Calibri" w:hAnsi="Calibri" w:cs="Calibri"/>
                <w:b/>
                <w:lang w:val="en-US"/>
              </w:rPr>
            </w:pPr>
            <w:r w:rsidRPr="00BC0EF3">
              <w:rPr>
                <w:rFonts w:ascii="Calibri" w:hAnsi="Calibri" w:cs="Calibri"/>
                <w:b/>
                <w:lang w:val="en-US"/>
              </w:rPr>
              <w:t>IV. Was design process consultative? Who was involved?</w:t>
            </w:r>
          </w:p>
        </w:tc>
      </w:tr>
    </w:tbl>
    <w:p w14:paraId="5A91DC5B" w14:textId="77777777" w:rsidR="00E10746" w:rsidRPr="00F569AE" w:rsidRDefault="00E10746" w:rsidP="00E10746">
      <w:pPr>
        <w:spacing w:line="276" w:lineRule="auto"/>
        <w:jc w:val="both"/>
        <w:rPr>
          <w:rFonts w:ascii="Calibri" w:hAnsi="Calibri" w:cs="Calibri"/>
          <w:lang w:val="en-US"/>
        </w:rPr>
      </w:pPr>
      <w:r w:rsidRPr="00F569AE">
        <w:rPr>
          <w:rFonts w:ascii="Calibri" w:hAnsi="Calibri" w:cs="Calibri"/>
          <w:lang w:val="en-US"/>
        </w:rPr>
        <w:t>The designing of the PSA involved consultations between the representatives of the City of Bihać and local WUC – Public Enterprise “Vodovod” Bihać. After the initial understanding between the parties (the City administration and the WUC) was reached, the elected representatives of the Bihać City’s Assembly were also involved in the process of consultations. The draft PSA agreement has been formally presented to and adopted by City’s Assembly representatives in 2017.</w:t>
      </w:r>
    </w:p>
    <w:p w14:paraId="1D43820C" w14:textId="77777777" w:rsidR="00E10746" w:rsidRPr="00BC0EF3" w:rsidRDefault="00E10746" w:rsidP="00E10746">
      <w:pPr>
        <w:spacing w:line="276" w:lineRule="auto"/>
        <w:jc w:val="both"/>
        <w:rPr>
          <w:rFonts w:ascii="Calibri" w:hAnsi="Calibri" w:cs="Calibri"/>
          <w:lang w:val="en-US"/>
        </w:rPr>
      </w:pPr>
    </w:p>
    <w:p w14:paraId="28BF7CAE" w14:textId="4EF161D8" w:rsidR="00E10746" w:rsidRPr="00F569AE" w:rsidRDefault="00E10746" w:rsidP="00E10746">
      <w:pPr>
        <w:spacing w:line="276" w:lineRule="auto"/>
        <w:jc w:val="both"/>
        <w:rPr>
          <w:rFonts w:ascii="Calibri" w:hAnsi="Calibri" w:cs="Calibri"/>
          <w:lang w:val="en-US"/>
        </w:rPr>
      </w:pPr>
      <w:r w:rsidRPr="00F569AE">
        <w:rPr>
          <w:rFonts w:ascii="Calibri" w:hAnsi="Calibri" w:cs="Calibri"/>
          <w:lang w:val="en-US"/>
        </w:rPr>
        <w:t xml:space="preserve">In addition to elected officials from the City’s Assembly, the City’s administration representatives and the utility enterprise representatives, no further consultations with other parties, including other public institutions and organizations, private sector representatives, non-governmental sector or representatives of vulnerable groups took place. In practice, it was assumed that elected deputies of the City of Bihać Assembly represent the opinion of all other interested parties. </w:t>
      </w:r>
    </w:p>
    <w:p w14:paraId="551EEF15" w14:textId="77777777" w:rsidR="00E10746" w:rsidRPr="00BC0EF3" w:rsidRDefault="00E10746" w:rsidP="00E10746">
      <w:pPr>
        <w:spacing w:line="276" w:lineRule="auto"/>
        <w:jc w:val="both"/>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E10746" w:rsidRPr="00F569AE" w14:paraId="5D90013C" w14:textId="77777777" w:rsidTr="00E10746">
        <w:tc>
          <w:tcPr>
            <w:tcW w:w="9010" w:type="dxa"/>
            <w:shd w:val="clear" w:color="auto" w:fill="F2F2F2" w:themeFill="background1" w:themeFillShade="F2"/>
          </w:tcPr>
          <w:p w14:paraId="48C8E1EC" w14:textId="4B861312" w:rsidR="00E10746" w:rsidRPr="00BC0EF3" w:rsidRDefault="00E10746" w:rsidP="00E10746">
            <w:pPr>
              <w:spacing w:line="276" w:lineRule="auto"/>
              <w:jc w:val="both"/>
              <w:rPr>
                <w:rFonts w:ascii="Calibri" w:hAnsi="Calibri" w:cs="Calibri"/>
                <w:b/>
                <w:lang w:val="en-US"/>
              </w:rPr>
            </w:pPr>
            <w:r w:rsidRPr="00BC0EF3">
              <w:rPr>
                <w:rFonts w:ascii="Calibri" w:hAnsi="Calibri" w:cs="Calibri"/>
                <w:b/>
                <w:lang w:val="en-US"/>
              </w:rPr>
              <w:t>V. Were vulnerable groups involved in consultation? Who?</w:t>
            </w:r>
          </w:p>
        </w:tc>
      </w:tr>
    </w:tbl>
    <w:p w14:paraId="5022AD9F" w14:textId="77777777" w:rsidR="00E10746" w:rsidRPr="00F569AE" w:rsidRDefault="00E10746" w:rsidP="00E10746">
      <w:pPr>
        <w:spacing w:line="276" w:lineRule="auto"/>
        <w:jc w:val="both"/>
        <w:rPr>
          <w:rFonts w:ascii="Calibri" w:hAnsi="Calibri" w:cs="Calibri"/>
          <w:lang w:val="en-US"/>
        </w:rPr>
      </w:pPr>
      <w:r w:rsidRPr="00F569AE">
        <w:rPr>
          <w:rFonts w:ascii="Calibri" w:hAnsi="Calibri" w:cs="Calibri"/>
          <w:lang w:val="en-US"/>
        </w:rPr>
        <w:t xml:space="preserve">The vulnerable groups were not involved in the consultation process during the preparation of PSA. No opinions of representatives of vulnerable groups were taken into consideration, either directly or indirectly. </w:t>
      </w:r>
    </w:p>
    <w:p w14:paraId="18F4498B" w14:textId="77777777" w:rsidR="00E10746" w:rsidRPr="00F569AE" w:rsidRDefault="00E10746" w:rsidP="00657F84">
      <w:pPr>
        <w:spacing w:after="160" w:line="276" w:lineRule="auto"/>
        <w:jc w:val="both"/>
        <w:rPr>
          <w:rFonts w:ascii="Calibri" w:eastAsia="Calibri" w:hAnsi="Calibri" w:cs="Calibri"/>
          <w:b/>
          <w:i/>
          <w:color w:val="4C94D8" w:themeColor="text2" w:themeTint="80"/>
          <w:lang w:val="en-US"/>
        </w:rPr>
      </w:pPr>
    </w:p>
    <w:p w14:paraId="1335F1FB" w14:textId="77777777" w:rsidR="00E10746" w:rsidRPr="00F569AE" w:rsidRDefault="00E10746" w:rsidP="00E10746">
      <w:pPr>
        <w:spacing w:line="276" w:lineRule="auto"/>
        <w:rPr>
          <w:rFonts w:ascii="Calibri" w:hAnsi="Calibri" w:cs="Calibri"/>
          <w:b/>
          <w:sz w:val="28"/>
          <w:szCs w:val="28"/>
          <w:lang w:val="en-US"/>
        </w:rPr>
      </w:pPr>
      <w:r w:rsidRPr="00F569AE">
        <w:rPr>
          <w:rFonts w:ascii="Calibri" w:hAnsi="Calibri" w:cs="Calibri"/>
          <w:b/>
          <w:sz w:val="28"/>
          <w:szCs w:val="28"/>
          <w:lang w:val="en-US"/>
        </w:rPr>
        <w:t>ANALYTICAL PART</w:t>
      </w:r>
    </w:p>
    <w:p w14:paraId="6E82FC8A" w14:textId="77777777" w:rsidR="004F7A5D" w:rsidRPr="00F569AE" w:rsidRDefault="004F7A5D" w:rsidP="00E10746">
      <w:pPr>
        <w:spacing w:line="276" w:lineRule="auto"/>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4F7A5D" w:rsidRPr="00F569AE" w14:paraId="4C3B4E86" w14:textId="77777777" w:rsidTr="004F7A5D">
        <w:tc>
          <w:tcPr>
            <w:tcW w:w="9010" w:type="dxa"/>
            <w:shd w:val="clear" w:color="auto" w:fill="F2F2F2" w:themeFill="background1" w:themeFillShade="F2"/>
          </w:tcPr>
          <w:p w14:paraId="56BA82DD" w14:textId="3082E187" w:rsidR="004F7A5D" w:rsidRPr="00F569AE" w:rsidRDefault="004F7A5D" w:rsidP="004F7A5D">
            <w:pPr>
              <w:spacing w:line="276" w:lineRule="auto"/>
              <w:jc w:val="both"/>
              <w:rPr>
                <w:rFonts w:ascii="Calibri" w:hAnsi="Calibri" w:cs="Calibri"/>
                <w:lang w:val="en-US"/>
              </w:rPr>
            </w:pPr>
            <w:r w:rsidRPr="00F569AE">
              <w:rPr>
                <w:rFonts w:ascii="Calibri" w:hAnsi="Calibri" w:cs="Calibri"/>
                <w:b/>
                <w:lang w:val="en-US"/>
              </w:rPr>
              <w:t>I.  Does PSA allow effective governing of the water sector and why?</w:t>
            </w:r>
          </w:p>
        </w:tc>
      </w:tr>
    </w:tbl>
    <w:p w14:paraId="0C0B0746" w14:textId="77777777" w:rsidR="004F7A5D" w:rsidRPr="00F569AE" w:rsidRDefault="004F7A5D" w:rsidP="004F7A5D">
      <w:pPr>
        <w:spacing w:line="276" w:lineRule="auto"/>
        <w:jc w:val="both"/>
        <w:rPr>
          <w:rFonts w:ascii="Calibri" w:hAnsi="Calibri" w:cs="Calibri"/>
          <w:lang w:val="en-US"/>
        </w:rPr>
      </w:pPr>
      <w:r w:rsidRPr="00F569AE">
        <w:rPr>
          <w:rFonts w:ascii="Calibri" w:hAnsi="Calibri" w:cs="Calibri"/>
          <w:lang w:val="en-US"/>
        </w:rPr>
        <w:t xml:space="preserve">The PSA allows the effective governing of the water sector, enabling the processes which are important for long-term sustainability of the enterprise in charge of water supply and wastewaters in the City of Bihać. The PSA enables the transfer of properly associated with waters / wastewaters from the City of Bihać to communal enterprise, improvement of WUCs management and planning practices, reductions in non-revenue water and realistic calculation of operation costs. PSA also takes into consideration the interests of vulnerable categories and enables provision of subsidies to families who are not able to afford to pay the increased cost of services. Furthermore, the PSA is also considered a useful tool which enables easier decision-making processes in City’s Assembly in relation to water supply / wastewater treatment, in connection with the work of local communal enterprise. For instance, the City’s </w:t>
      </w:r>
      <w:r w:rsidRPr="00F569AE">
        <w:rPr>
          <w:rFonts w:ascii="Calibri" w:hAnsi="Calibri" w:cs="Calibri"/>
          <w:lang w:val="en-US"/>
        </w:rPr>
        <w:lastRenderedPageBreak/>
        <w:t xml:space="preserve">Assembly has adopted a new tariff system price list with increased prices in September 2023 according to the cost calculation methodology proposed by MEG. The adoption process of the new and increased service prices was difficult and it did not go political difficulties. However, the price calculation methodology, along with the signed PSA, enable it’s easier formal adoption at the level of City’s Assembly. </w:t>
      </w:r>
    </w:p>
    <w:p w14:paraId="1E22CB7E" w14:textId="77777777" w:rsidR="004F7A5D" w:rsidRPr="00BC0EF3" w:rsidRDefault="004F7A5D" w:rsidP="004F7A5D">
      <w:pPr>
        <w:spacing w:line="276" w:lineRule="auto"/>
        <w:jc w:val="both"/>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4F7A5D" w:rsidRPr="00F569AE" w14:paraId="40A1A9B0" w14:textId="77777777" w:rsidTr="004F7A5D">
        <w:tc>
          <w:tcPr>
            <w:tcW w:w="9010" w:type="dxa"/>
            <w:shd w:val="clear" w:color="auto" w:fill="F2F2F2" w:themeFill="background1" w:themeFillShade="F2"/>
          </w:tcPr>
          <w:p w14:paraId="6960C63B" w14:textId="64F2D0E3" w:rsidR="004F7A5D" w:rsidRPr="00F569AE" w:rsidRDefault="004F7A5D" w:rsidP="004F7A5D">
            <w:pPr>
              <w:spacing w:line="276" w:lineRule="auto"/>
              <w:jc w:val="both"/>
              <w:rPr>
                <w:rFonts w:ascii="Calibri" w:hAnsi="Calibri" w:cs="Calibri"/>
                <w:b/>
                <w:lang w:val="en-US"/>
              </w:rPr>
            </w:pPr>
            <w:r w:rsidRPr="00F569AE">
              <w:rPr>
                <w:rFonts w:ascii="Calibri" w:hAnsi="Calibri" w:cs="Calibri"/>
                <w:b/>
                <w:lang w:val="en-US"/>
              </w:rPr>
              <w:t>II. What is missing in content or process of PSA</w:t>
            </w:r>
          </w:p>
        </w:tc>
      </w:tr>
    </w:tbl>
    <w:p w14:paraId="7DE1514E" w14:textId="6CB802BF" w:rsidR="004F7A5D" w:rsidRPr="00F569AE" w:rsidRDefault="004F7A5D" w:rsidP="004F7A5D">
      <w:pPr>
        <w:spacing w:line="276" w:lineRule="auto"/>
        <w:jc w:val="both"/>
        <w:rPr>
          <w:rFonts w:ascii="Calibri" w:hAnsi="Calibri" w:cs="Calibri"/>
          <w:lang w:val="en-US"/>
        </w:rPr>
      </w:pPr>
      <w:r w:rsidRPr="00F569AE">
        <w:rPr>
          <w:rFonts w:ascii="Calibri" w:hAnsi="Calibri" w:cs="Calibri"/>
          <w:lang w:val="en-US"/>
        </w:rPr>
        <w:t xml:space="preserve">The content of the signed PSA effectively covers the relevant elements with relation to water supply and wastewater services of the City of Bihać. Since it was thoroughly prepared, there seem to be no particular deficiencies in the content. However, the consultation process during preparation and adoption of PSA could have involved representatives of more parties, such as private sector, public institutions and organizations, and civil society sector representatives. Better inclusion of representatives of vulnerable groups, which is relevant for the process of PSA consultations, was not followed. </w:t>
      </w:r>
    </w:p>
    <w:p w14:paraId="47F90BDB" w14:textId="77777777" w:rsidR="004F7A5D" w:rsidRPr="00BC0EF3" w:rsidRDefault="004F7A5D" w:rsidP="004F7A5D">
      <w:pPr>
        <w:spacing w:line="276" w:lineRule="auto"/>
        <w:jc w:val="both"/>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4F7A5D" w:rsidRPr="00F569AE" w14:paraId="51ECEB7E" w14:textId="77777777" w:rsidTr="004F7A5D">
        <w:tc>
          <w:tcPr>
            <w:tcW w:w="9010" w:type="dxa"/>
            <w:shd w:val="clear" w:color="auto" w:fill="F2F2F2" w:themeFill="background1" w:themeFillShade="F2"/>
          </w:tcPr>
          <w:p w14:paraId="5793889E" w14:textId="5E504E79" w:rsidR="004F7A5D" w:rsidRPr="00BC0EF3" w:rsidRDefault="004F7A5D" w:rsidP="004F7A5D">
            <w:pPr>
              <w:spacing w:line="276" w:lineRule="auto"/>
              <w:jc w:val="both"/>
              <w:rPr>
                <w:rFonts w:ascii="Calibri" w:hAnsi="Calibri" w:cs="Calibri"/>
                <w:lang w:val="en-US"/>
              </w:rPr>
            </w:pPr>
            <w:r w:rsidRPr="00BC0EF3">
              <w:rPr>
                <w:rFonts w:ascii="Calibri" w:hAnsi="Calibri" w:cs="Calibri"/>
                <w:b/>
                <w:lang w:val="en-US"/>
              </w:rPr>
              <w:t>III. What changes in water / wastewater sector management does PSA trigger and why?</w:t>
            </w:r>
          </w:p>
        </w:tc>
      </w:tr>
    </w:tbl>
    <w:p w14:paraId="564AE1E6" w14:textId="77777777" w:rsidR="004F7A5D" w:rsidRPr="00F569AE" w:rsidRDefault="004F7A5D" w:rsidP="004F7A5D">
      <w:pPr>
        <w:spacing w:line="276" w:lineRule="auto"/>
        <w:jc w:val="both"/>
        <w:rPr>
          <w:rFonts w:ascii="Calibri" w:hAnsi="Calibri" w:cs="Calibri"/>
          <w:lang w:val="en-US"/>
        </w:rPr>
      </w:pPr>
      <w:r w:rsidRPr="00F569AE">
        <w:rPr>
          <w:rFonts w:ascii="Calibri" w:hAnsi="Calibri" w:cs="Calibri"/>
          <w:lang w:val="en-US"/>
        </w:rPr>
        <w:t xml:space="preserve">PSA represents an important instrument which governs relations between local WUC and the City. The main responsibilities of the City arising from PSA signing involve: </w:t>
      </w:r>
    </w:p>
    <w:p w14:paraId="11C91956" w14:textId="77777777" w:rsidR="004F7A5D" w:rsidRPr="00F569AE" w:rsidRDefault="004F7A5D" w:rsidP="006C530E">
      <w:pPr>
        <w:pStyle w:val="ListParagraph"/>
        <w:numPr>
          <w:ilvl w:val="0"/>
          <w:numId w:val="34"/>
        </w:numPr>
        <w:spacing w:after="200" w:line="276" w:lineRule="auto"/>
        <w:jc w:val="both"/>
        <w:rPr>
          <w:rFonts w:ascii="Calibri" w:hAnsi="Calibri" w:cs="Calibri"/>
        </w:rPr>
      </w:pPr>
      <w:r w:rsidRPr="00F569AE">
        <w:rPr>
          <w:rFonts w:ascii="Calibri" w:hAnsi="Calibri" w:cs="Calibri"/>
        </w:rPr>
        <w:t xml:space="preserve">establishment of new section for waters and environment protection under the Department for development management, communal services and environment protection, </w:t>
      </w:r>
    </w:p>
    <w:p w14:paraId="6ADDB77B" w14:textId="77777777" w:rsidR="004F7A5D" w:rsidRPr="00F569AE" w:rsidRDefault="004F7A5D" w:rsidP="006C530E">
      <w:pPr>
        <w:pStyle w:val="ListParagraph"/>
        <w:numPr>
          <w:ilvl w:val="0"/>
          <w:numId w:val="34"/>
        </w:numPr>
        <w:spacing w:after="200" w:line="276" w:lineRule="auto"/>
        <w:jc w:val="both"/>
        <w:rPr>
          <w:rFonts w:ascii="Calibri" w:hAnsi="Calibri" w:cs="Calibri"/>
        </w:rPr>
      </w:pPr>
      <w:r w:rsidRPr="00F569AE">
        <w:rPr>
          <w:rFonts w:ascii="Calibri" w:hAnsi="Calibri" w:cs="Calibri"/>
        </w:rPr>
        <w:t>regular supervision of work of local WUC, which represents a responsibility of a dedicated person employed in LG according to new job systematization,</w:t>
      </w:r>
    </w:p>
    <w:p w14:paraId="56D4CF36" w14:textId="77777777" w:rsidR="004F7A5D" w:rsidRPr="00F569AE" w:rsidRDefault="004F7A5D" w:rsidP="006C530E">
      <w:pPr>
        <w:pStyle w:val="ListParagraph"/>
        <w:numPr>
          <w:ilvl w:val="0"/>
          <w:numId w:val="34"/>
        </w:numPr>
        <w:spacing w:after="200" w:line="276" w:lineRule="auto"/>
        <w:jc w:val="both"/>
        <w:rPr>
          <w:rFonts w:ascii="Calibri" w:hAnsi="Calibri" w:cs="Calibri"/>
        </w:rPr>
      </w:pPr>
      <w:r w:rsidRPr="00F569AE">
        <w:rPr>
          <w:rFonts w:ascii="Calibri" w:hAnsi="Calibri" w:cs="Calibri"/>
        </w:rPr>
        <w:t xml:space="preserve">establishing and operation of a committee in charge of recording and transfer of property associated with provision of water and wastewater services,  </w:t>
      </w:r>
    </w:p>
    <w:p w14:paraId="3D1E2941" w14:textId="77777777" w:rsidR="004F7A5D" w:rsidRPr="00F569AE" w:rsidRDefault="004F7A5D" w:rsidP="006C530E">
      <w:pPr>
        <w:pStyle w:val="ListParagraph"/>
        <w:numPr>
          <w:ilvl w:val="0"/>
          <w:numId w:val="34"/>
        </w:numPr>
        <w:spacing w:after="200" w:line="276" w:lineRule="auto"/>
        <w:jc w:val="both"/>
        <w:rPr>
          <w:rFonts w:ascii="Calibri" w:hAnsi="Calibri" w:cs="Calibri"/>
        </w:rPr>
      </w:pPr>
      <w:r w:rsidRPr="00F569AE">
        <w:rPr>
          <w:rFonts w:ascii="Calibri" w:hAnsi="Calibri" w:cs="Calibri"/>
        </w:rPr>
        <w:t>provision of subsidies to social categories of population.</w:t>
      </w:r>
    </w:p>
    <w:p w14:paraId="492165E6" w14:textId="77777777" w:rsidR="004F7A5D" w:rsidRPr="00BC0EF3" w:rsidRDefault="004F7A5D" w:rsidP="004F7A5D">
      <w:pPr>
        <w:spacing w:line="276" w:lineRule="auto"/>
        <w:jc w:val="both"/>
        <w:rPr>
          <w:rFonts w:ascii="Calibri" w:hAnsi="Calibri" w:cs="Calibri"/>
          <w:lang w:val="en-US"/>
        </w:rPr>
      </w:pPr>
      <w:r w:rsidRPr="00BC0EF3">
        <w:rPr>
          <w:rFonts w:ascii="Calibri" w:hAnsi="Calibri" w:cs="Calibri"/>
          <w:lang w:val="en-US"/>
        </w:rPr>
        <w:t xml:space="preserve">The change involves application of the methodology for price calculation what contributed to more realistic economically based calculation and increased prices. The City’s assembly has adopted the latest prices prepared in accordance with the tariff setting methodology in September 2023. However, citizens’ satisfaction with water prices has decreased compared to previous years, while satisfaction with the quality of water services rose. </w:t>
      </w:r>
    </w:p>
    <w:p w14:paraId="214F06BE" w14:textId="77777777" w:rsidR="004F7A5D" w:rsidRPr="00BC0EF3" w:rsidRDefault="004F7A5D" w:rsidP="004F7A5D">
      <w:pPr>
        <w:spacing w:line="276" w:lineRule="auto"/>
        <w:jc w:val="both"/>
        <w:rPr>
          <w:rFonts w:ascii="Calibri" w:hAnsi="Calibri" w:cs="Calibri"/>
          <w:lang w:val="en-US"/>
        </w:rPr>
      </w:pPr>
      <w:r w:rsidRPr="00BC0EF3">
        <w:rPr>
          <w:rFonts w:ascii="Calibri" w:hAnsi="Calibri" w:cs="Calibri"/>
          <w:lang w:val="en-US"/>
        </w:rPr>
        <w:t>Another change which arose from the PSA signing involves introduction of subsidies for socially vulnerable categories with extension of the reach to several social categories. In addition, an improvement of financial situation in the WUC may be attributed to PSA signing and implementation. Consequently, Bihać WUC was not financially supported through budget transfers form the City during the past two years.</w:t>
      </w:r>
    </w:p>
    <w:p w14:paraId="6FC266DC" w14:textId="77777777" w:rsidR="004F7A5D" w:rsidRPr="00BC0EF3" w:rsidRDefault="004F7A5D" w:rsidP="004F7A5D">
      <w:pPr>
        <w:spacing w:line="276" w:lineRule="auto"/>
        <w:jc w:val="both"/>
        <w:rPr>
          <w:rFonts w:ascii="Calibri" w:hAnsi="Calibri" w:cs="Calibri"/>
          <w:lang w:val="en-US"/>
        </w:rPr>
      </w:pPr>
    </w:p>
    <w:p w14:paraId="6C74FB53" w14:textId="77777777" w:rsidR="004F7A5D" w:rsidRPr="00BC0EF3" w:rsidRDefault="004F7A5D" w:rsidP="004F7A5D">
      <w:pPr>
        <w:spacing w:line="276" w:lineRule="auto"/>
        <w:jc w:val="both"/>
        <w:rPr>
          <w:rFonts w:ascii="Calibri" w:hAnsi="Calibri" w:cs="Calibri"/>
          <w:lang w:val="en-US"/>
        </w:rPr>
      </w:pPr>
    </w:p>
    <w:p w14:paraId="0196950A" w14:textId="77777777" w:rsidR="004F7A5D" w:rsidRPr="00BC0EF3" w:rsidRDefault="004F7A5D" w:rsidP="004F7A5D">
      <w:pPr>
        <w:spacing w:line="276" w:lineRule="auto"/>
        <w:jc w:val="both"/>
        <w:rPr>
          <w:rFonts w:ascii="Calibri" w:hAnsi="Calibri" w:cs="Calibri"/>
          <w:lang w:val="en-US"/>
        </w:rPr>
      </w:pPr>
    </w:p>
    <w:p w14:paraId="1DDA0C72" w14:textId="77777777" w:rsidR="004F7A5D" w:rsidRPr="00BC0EF3" w:rsidRDefault="004F7A5D" w:rsidP="004F7A5D">
      <w:pPr>
        <w:spacing w:line="276" w:lineRule="auto"/>
        <w:jc w:val="both"/>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4F7A5D" w:rsidRPr="00F569AE" w14:paraId="76322FF6" w14:textId="77777777" w:rsidTr="004F7A5D">
        <w:tc>
          <w:tcPr>
            <w:tcW w:w="9010" w:type="dxa"/>
            <w:shd w:val="clear" w:color="auto" w:fill="F2F2F2" w:themeFill="background1" w:themeFillShade="F2"/>
          </w:tcPr>
          <w:p w14:paraId="2A616A27" w14:textId="37D2E909" w:rsidR="004F7A5D" w:rsidRPr="00BC0EF3" w:rsidRDefault="004F7A5D" w:rsidP="004F7A5D">
            <w:pPr>
              <w:spacing w:line="276" w:lineRule="auto"/>
              <w:jc w:val="both"/>
              <w:rPr>
                <w:rFonts w:ascii="Calibri" w:hAnsi="Calibri" w:cs="Calibri"/>
                <w:b/>
                <w:lang w:val="en-US"/>
              </w:rPr>
            </w:pPr>
            <w:r w:rsidRPr="00BC0EF3">
              <w:rPr>
                <w:rFonts w:ascii="Calibri" w:hAnsi="Calibri" w:cs="Calibri"/>
                <w:b/>
                <w:lang w:val="en-US"/>
              </w:rPr>
              <w:lastRenderedPageBreak/>
              <w:t>IV. What are the main lessons learned</w:t>
            </w:r>
          </w:p>
        </w:tc>
      </w:tr>
    </w:tbl>
    <w:p w14:paraId="1C0EDA35" w14:textId="77777777" w:rsidR="004F7A5D" w:rsidRPr="00BC0EF3" w:rsidRDefault="004F7A5D" w:rsidP="004F7A5D">
      <w:pPr>
        <w:spacing w:line="276" w:lineRule="auto"/>
        <w:jc w:val="both"/>
        <w:rPr>
          <w:rFonts w:ascii="Calibri" w:hAnsi="Calibri" w:cs="Calibri"/>
          <w:lang w:val="en-US"/>
        </w:rPr>
      </w:pPr>
    </w:p>
    <w:p w14:paraId="2B205B69" w14:textId="77777777" w:rsidR="004F7A5D" w:rsidRPr="00F569AE" w:rsidRDefault="004F7A5D" w:rsidP="0033780B">
      <w:pPr>
        <w:pStyle w:val="ListParagraph"/>
        <w:numPr>
          <w:ilvl w:val="0"/>
          <w:numId w:val="25"/>
        </w:numPr>
        <w:spacing w:after="200" w:line="276" w:lineRule="auto"/>
        <w:jc w:val="both"/>
        <w:rPr>
          <w:rFonts w:ascii="Calibri" w:hAnsi="Calibri" w:cs="Calibri"/>
        </w:rPr>
      </w:pPr>
      <w:r w:rsidRPr="00F569AE">
        <w:rPr>
          <w:rFonts w:ascii="Calibri" w:hAnsi="Calibri" w:cs="Calibri"/>
        </w:rPr>
        <w:t xml:space="preserve">Different court practices with regard to registration of the property and its ownership transfer from LGs to WUSc. Namely, the responsible City’s committee registers the communal property and advises the local court to transfer it to WUC. However, in some cases the court refuses to formally transfer the ownership of the property to WUC. </w:t>
      </w:r>
    </w:p>
    <w:p w14:paraId="135F916E" w14:textId="77777777" w:rsidR="004F7A5D" w:rsidRPr="00F569AE" w:rsidRDefault="004F7A5D" w:rsidP="0033780B">
      <w:pPr>
        <w:pStyle w:val="ListParagraph"/>
        <w:numPr>
          <w:ilvl w:val="0"/>
          <w:numId w:val="25"/>
        </w:numPr>
        <w:spacing w:after="200" w:line="276" w:lineRule="auto"/>
        <w:jc w:val="both"/>
        <w:rPr>
          <w:rFonts w:ascii="Calibri" w:hAnsi="Calibri" w:cs="Calibri"/>
        </w:rPr>
      </w:pPr>
      <w:r w:rsidRPr="00F569AE">
        <w:rPr>
          <w:rFonts w:ascii="Calibri" w:hAnsi="Calibri" w:cs="Calibri"/>
        </w:rPr>
        <w:t>Accordingly, the process of drafting of the new law of water services (City’s MEG II project coordinator was involved) should have also involved court representatives to acknowledge and formally address the issue of court practices with regard to property registration and transfer.</w:t>
      </w:r>
    </w:p>
    <w:p w14:paraId="2E632C99" w14:textId="77777777" w:rsidR="004F7A5D" w:rsidRPr="00F569AE" w:rsidRDefault="004F7A5D" w:rsidP="004F7A5D">
      <w:pPr>
        <w:pStyle w:val="ListParagraph"/>
        <w:spacing w:after="200" w:line="276" w:lineRule="auto"/>
        <w:jc w:val="both"/>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4F7A5D" w:rsidRPr="00F569AE" w14:paraId="1E3AA663" w14:textId="77777777" w:rsidTr="004F7A5D">
        <w:tc>
          <w:tcPr>
            <w:tcW w:w="9010" w:type="dxa"/>
            <w:shd w:val="clear" w:color="auto" w:fill="F2F2F2" w:themeFill="background1" w:themeFillShade="F2"/>
          </w:tcPr>
          <w:p w14:paraId="43B552EA" w14:textId="4CD4C536" w:rsidR="004F7A5D" w:rsidRPr="00BC0EF3" w:rsidRDefault="004F7A5D" w:rsidP="004F7A5D">
            <w:pPr>
              <w:spacing w:line="276" w:lineRule="auto"/>
              <w:jc w:val="both"/>
              <w:rPr>
                <w:rFonts w:ascii="Calibri" w:hAnsi="Calibri" w:cs="Calibri"/>
                <w:b/>
                <w:lang w:val="en-US"/>
              </w:rPr>
            </w:pPr>
            <w:r w:rsidRPr="00BC0EF3">
              <w:rPr>
                <w:rFonts w:ascii="Calibri" w:hAnsi="Calibri" w:cs="Calibri"/>
                <w:b/>
                <w:lang w:val="en-US"/>
              </w:rPr>
              <w:t>V. What are the main recommendations</w:t>
            </w:r>
          </w:p>
        </w:tc>
      </w:tr>
    </w:tbl>
    <w:p w14:paraId="545AEAF9" w14:textId="77777777" w:rsidR="004F7A5D" w:rsidRPr="00BC0EF3" w:rsidRDefault="004F7A5D" w:rsidP="004F7A5D">
      <w:pPr>
        <w:spacing w:line="276" w:lineRule="auto"/>
        <w:jc w:val="both"/>
        <w:rPr>
          <w:rFonts w:ascii="Calibri" w:hAnsi="Calibri" w:cs="Calibri"/>
          <w:lang w:val="en-US"/>
        </w:rPr>
      </w:pPr>
    </w:p>
    <w:p w14:paraId="684FD11F" w14:textId="6CDD1ED0" w:rsidR="004F7A5D" w:rsidRPr="00BC0EF3" w:rsidRDefault="004F7A5D" w:rsidP="006C530E">
      <w:pPr>
        <w:pStyle w:val="ListParagraph"/>
        <w:numPr>
          <w:ilvl w:val="0"/>
          <w:numId w:val="35"/>
        </w:numPr>
        <w:spacing w:after="200" w:line="276" w:lineRule="auto"/>
        <w:jc w:val="both"/>
        <w:rPr>
          <w:rFonts w:ascii="Calibri" w:hAnsi="Calibri" w:cs="Calibri"/>
        </w:rPr>
      </w:pPr>
      <w:r w:rsidRPr="00F569AE">
        <w:rPr>
          <w:rFonts w:ascii="Calibri" w:hAnsi="Calibri" w:cs="Calibri"/>
        </w:rPr>
        <w:t>Include representatives of vulnerable groups, NGOs, private companies in the process of consultations associated with implementation of PSA</w:t>
      </w:r>
    </w:p>
    <w:p w14:paraId="50FAFC8A" w14:textId="77777777" w:rsidR="004F7A5D" w:rsidRPr="00F569AE" w:rsidRDefault="004F7A5D" w:rsidP="0033780B">
      <w:pPr>
        <w:pStyle w:val="ListParagraph"/>
        <w:numPr>
          <w:ilvl w:val="0"/>
          <w:numId w:val="24"/>
        </w:numPr>
        <w:spacing w:after="200" w:line="276" w:lineRule="auto"/>
        <w:jc w:val="both"/>
        <w:rPr>
          <w:rFonts w:ascii="Calibri" w:hAnsi="Calibri" w:cs="Calibri"/>
        </w:rPr>
      </w:pPr>
      <w:r w:rsidRPr="00F569AE">
        <w:rPr>
          <w:rFonts w:ascii="Calibri" w:hAnsi="Calibri" w:cs="Calibri"/>
        </w:rPr>
        <w:t>Support further strengthening of technical capacities of water sector enterprises and their employees in needed.</w:t>
      </w:r>
    </w:p>
    <w:p w14:paraId="47B72D26" w14:textId="77777777" w:rsidR="004F7A5D" w:rsidRPr="00F569AE" w:rsidRDefault="004F7A5D" w:rsidP="0033780B">
      <w:pPr>
        <w:pStyle w:val="ListParagraph"/>
        <w:numPr>
          <w:ilvl w:val="0"/>
          <w:numId w:val="24"/>
        </w:numPr>
        <w:spacing w:after="200" w:line="276" w:lineRule="auto"/>
        <w:jc w:val="both"/>
        <w:rPr>
          <w:rFonts w:ascii="Calibri" w:hAnsi="Calibri" w:cs="Calibri"/>
        </w:rPr>
      </w:pPr>
      <w:r w:rsidRPr="00F569AE">
        <w:rPr>
          <w:rFonts w:ascii="Calibri" w:hAnsi="Calibri" w:cs="Calibri"/>
        </w:rPr>
        <w:t xml:space="preserve">Provide education to LG assembly deputies in tariff calculation methodology (to limit the possibility to use tariffs for political discussions). </w:t>
      </w:r>
    </w:p>
    <w:p w14:paraId="594BDDAD" w14:textId="77777777" w:rsidR="004F7A5D" w:rsidRPr="00F569AE" w:rsidRDefault="004F7A5D" w:rsidP="0033780B">
      <w:pPr>
        <w:pStyle w:val="ListParagraph"/>
        <w:numPr>
          <w:ilvl w:val="0"/>
          <w:numId w:val="24"/>
        </w:numPr>
        <w:spacing w:after="200" w:line="276" w:lineRule="auto"/>
        <w:jc w:val="both"/>
        <w:rPr>
          <w:rFonts w:ascii="Calibri" w:hAnsi="Calibri" w:cs="Calibri"/>
        </w:rPr>
      </w:pPr>
      <w:r w:rsidRPr="00F569AE">
        <w:rPr>
          <w:rFonts w:ascii="Calibri" w:hAnsi="Calibri" w:cs="Calibri"/>
        </w:rPr>
        <w:t xml:space="preserve">LGs could be given an option not to participate in MEG activities they do not need. For instance, in case of the City of Bihac, the most efforts have been invested into development of integrity plans, while much less attention (30% per approximation of MEG coordinator) was pad to water / wastewater sector. </w:t>
      </w:r>
    </w:p>
    <w:p w14:paraId="4E840BA4" w14:textId="77777777" w:rsidR="004F7A5D" w:rsidRPr="00F569AE" w:rsidRDefault="004F7A5D" w:rsidP="004F7A5D">
      <w:pPr>
        <w:pStyle w:val="ListParagraph"/>
        <w:spacing w:line="276" w:lineRule="auto"/>
        <w:jc w:val="both"/>
        <w:rPr>
          <w:rFonts w:ascii="Calibri" w:hAnsi="Calibri" w:cs="Calibri"/>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996"/>
      </w:tblGrid>
      <w:tr w:rsidR="00E3058D" w:rsidRPr="00F569AE" w14:paraId="4E37311D" w14:textId="77777777" w:rsidTr="003B2AFB">
        <w:trPr>
          <w:trHeight w:val="334"/>
        </w:trPr>
        <w:tc>
          <w:tcPr>
            <w:tcW w:w="8996" w:type="dxa"/>
            <w:shd w:val="clear" w:color="auto" w:fill="F2F2F2" w:themeFill="background1" w:themeFillShade="F2"/>
          </w:tcPr>
          <w:p w14:paraId="239CB778" w14:textId="42768D12" w:rsidR="003B2AFB" w:rsidRPr="00BC0EF3" w:rsidRDefault="003B2AFB" w:rsidP="003B2AFB">
            <w:pPr>
              <w:spacing w:line="276" w:lineRule="auto"/>
              <w:jc w:val="both"/>
              <w:rPr>
                <w:rFonts w:ascii="Calibri" w:hAnsi="Calibri" w:cs="Calibri"/>
                <w:b/>
                <w:lang w:val="en-US"/>
              </w:rPr>
            </w:pPr>
            <w:r w:rsidRPr="00BC0EF3">
              <w:rPr>
                <w:rFonts w:ascii="Calibri" w:hAnsi="Calibri" w:cs="Calibri"/>
                <w:b/>
                <w:lang w:val="en-US"/>
              </w:rPr>
              <w:t>Additional notes</w:t>
            </w:r>
          </w:p>
        </w:tc>
      </w:tr>
    </w:tbl>
    <w:p w14:paraId="5C8F77F7" w14:textId="74889D5D" w:rsidR="004F7A5D" w:rsidRPr="00BC0EF3" w:rsidRDefault="004F7A5D" w:rsidP="003B2AFB">
      <w:pPr>
        <w:spacing w:after="200" w:line="276" w:lineRule="auto"/>
        <w:jc w:val="both"/>
        <w:rPr>
          <w:rFonts w:ascii="Calibri" w:hAnsi="Calibri" w:cs="Calibri"/>
          <w:lang w:val="en-US"/>
        </w:rPr>
      </w:pPr>
      <w:r w:rsidRPr="00BC0EF3">
        <w:rPr>
          <w:rFonts w:ascii="Calibri" w:hAnsi="Calibri" w:cs="Calibri"/>
          <w:lang w:val="en-US"/>
        </w:rPr>
        <w:t>The City of Bihać is experienced in processing of wastewater and is willing to exchange its experiences with the other LGs who intend to establish and operate own wastewater facilities.</w:t>
      </w:r>
    </w:p>
    <w:p w14:paraId="5BBA3FFF" w14:textId="77777777" w:rsidR="00E10746" w:rsidRPr="00F569AE" w:rsidRDefault="00E10746" w:rsidP="00657F84">
      <w:pPr>
        <w:spacing w:after="160" w:line="276" w:lineRule="auto"/>
        <w:jc w:val="both"/>
        <w:rPr>
          <w:rFonts w:ascii="Calibri" w:eastAsia="Calibri" w:hAnsi="Calibri" w:cs="Calibri"/>
          <w:b/>
          <w:i/>
          <w:color w:val="4C94D8" w:themeColor="text2" w:themeTint="80"/>
          <w:lang w:val="en-US"/>
        </w:rPr>
      </w:pPr>
    </w:p>
    <w:p w14:paraId="3253F33E" w14:textId="77777777" w:rsidR="00E10746" w:rsidRPr="00F569AE" w:rsidRDefault="00E10746" w:rsidP="00657F84">
      <w:pPr>
        <w:spacing w:after="160" w:line="276" w:lineRule="auto"/>
        <w:jc w:val="both"/>
        <w:rPr>
          <w:rFonts w:ascii="Calibri" w:eastAsia="Calibri" w:hAnsi="Calibri" w:cs="Calibri"/>
          <w:b/>
          <w:i/>
          <w:color w:val="4C94D8" w:themeColor="text2" w:themeTint="80"/>
          <w:lang w:val="en-US"/>
        </w:rPr>
      </w:pPr>
    </w:p>
    <w:p w14:paraId="03424954" w14:textId="77777777" w:rsidR="00E10746" w:rsidRPr="00F569AE" w:rsidRDefault="00E10746" w:rsidP="00657F84">
      <w:pPr>
        <w:spacing w:after="160" w:line="276" w:lineRule="auto"/>
        <w:jc w:val="both"/>
        <w:rPr>
          <w:rFonts w:ascii="Calibri" w:eastAsia="Calibri" w:hAnsi="Calibri" w:cs="Calibri"/>
          <w:b/>
          <w:i/>
          <w:color w:val="4C94D8" w:themeColor="text2" w:themeTint="80"/>
          <w:lang w:val="en-US"/>
        </w:rPr>
      </w:pPr>
    </w:p>
    <w:p w14:paraId="29C6FC59" w14:textId="77777777" w:rsidR="00E10746" w:rsidRPr="00F569AE" w:rsidRDefault="00E10746" w:rsidP="00657F84">
      <w:pPr>
        <w:spacing w:after="160" w:line="276" w:lineRule="auto"/>
        <w:jc w:val="both"/>
        <w:rPr>
          <w:rFonts w:ascii="Calibri" w:eastAsia="Calibri" w:hAnsi="Calibri" w:cs="Calibri"/>
          <w:b/>
          <w:i/>
          <w:color w:val="4C94D8" w:themeColor="text2" w:themeTint="80"/>
          <w:lang w:val="en-US"/>
        </w:rPr>
      </w:pPr>
    </w:p>
    <w:p w14:paraId="0BA087F8" w14:textId="77777777" w:rsidR="00E10746" w:rsidRPr="00F569AE" w:rsidRDefault="00E10746" w:rsidP="00657F84">
      <w:pPr>
        <w:spacing w:after="160" w:line="276" w:lineRule="auto"/>
        <w:jc w:val="both"/>
        <w:rPr>
          <w:rFonts w:ascii="Calibri" w:eastAsia="Calibri" w:hAnsi="Calibri" w:cs="Calibri"/>
          <w:b/>
          <w:i/>
          <w:color w:val="4C94D8" w:themeColor="text2" w:themeTint="80"/>
          <w:lang w:val="en-US"/>
        </w:rPr>
      </w:pPr>
    </w:p>
    <w:p w14:paraId="6A191F09" w14:textId="77777777" w:rsidR="00D3129F" w:rsidRDefault="00D3129F" w:rsidP="00657F84">
      <w:pPr>
        <w:spacing w:after="160" w:line="276" w:lineRule="auto"/>
        <w:jc w:val="both"/>
        <w:rPr>
          <w:rFonts w:ascii="Calibri" w:eastAsia="Calibri" w:hAnsi="Calibri" w:cs="Calibri"/>
          <w:b/>
          <w:i/>
          <w:color w:val="4C94D8" w:themeColor="text2" w:themeTint="80"/>
          <w:lang w:val="en-US"/>
        </w:rPr>
      </w:pPr>
    </w:p>
    <w:p w14:paraId="14F2BDAE" w14:textId="77777777" w:rsidR="00B7233A" w:rsidRPr="00F569AE" w:rsidRDefault="00B7233A" w:rsidP="00657F84">
      <w:pPr>
        <w:spacing w:after="160" w:line="276" w:lineRule="auto"/>
        <w:jc w:val="both"/>
        <w:rPr>
          <w:rFonts w:ascii="Calibri" w:eastAsia="Calibri" w:hAnsi="Calibri" w:cs="Calibri"/>
          <w:b/>
          <w:i/>
          <w:color w:val="4C94D8" w:themeColor="text2" w:themeTint="80"/>
          <w:lang w:val="en-US"/>
        </w:rPr>
      </w:pPr>
    </w:p>
    <w:p w14:paraId="66136DBF" w14:textId="77777777" w:rsidR="00D729FF" w:rsidRPr="00F569AE" w:rsidRDefault="00D729FF" w:rsidP="00085D9B">
      <w:pPr>
        <w:spacing w:after="160" w:line="276" w:lineRule="auto"/>
        <w:jc w:val="both"/>
        <w:rPr>
          <w:rFonts w:ascii="Calibri" w:eastAsia="Calibri" w:hAnsi="Calibri" w:cs="Calibri"/>
          <w:b/>
          <w:i/>
          <w:color w:val="4C94D8" w:themeColor="text2" w:themeTint="80"/>
          <w:sz w:val="28"/>
          <w:szCs w:val="28"/>
          <w:lang w:val="en-US"/>
        </w:rPr>
      </w:pPr>
      <w:r w:rsidRPr="00F569AE">
        <w:rPr>
          <w:rFonts w:ascii="Calibri" w:eastAsia="Calibri" w:hAnsi="Calibri" w:cs="Calibri"/>
          <w:b/>
          <w:i/>
          <w:color w:val="4C94D8" w:themeColor="text2" w:themeTint="80"/>
          <w:sz w:val="28"/>
          <w:szCs w:val="28"/>
          <w:lang w:val="en-US"/>
        </w:rPr>
        <w:lastRenderedPageBreak/>
        <w:t xml:space="preserve">Case study on PSA in Srbac (RS) </w:t>
      </w:r>
    </w:p>
    <w:tbl>
      <w:tblPr>
        <w:tblStyle w:val="TableGrid"/>
        <w:tblW w:w="0" w:type="auto"/>
        <w:shd w:val="clear" w:color="auto" w:fill="D9D9D9" w:themeFill="background1" w:themeFillShade="D9"/>
        <w:tblLook w:val="04A0" w:firstRow="1" w:lastRow="0" w:firstColumn="1" w:lastColumn="0" w:noHBand="0" w:noVBand="1"/>
      </w:tblPr>
      <w:tblGrid>
        <w:gridCol w:w="9010"/>
      </w:tblGrid>
      <w:tr w:rsidR="00BF0E0B" w:rsidRPr="00F569AE" w14:paraId="70AE1114" w14:textId="77777777" w:rsidTr="00BF0E0B">
        <w:tc>
          <w:tcPr>
            <w:tcW w:w="9010" w:type="dxa"/>
            <w:shd w:val="clear" w:color="auto" w:fill="D9D9D9" w:themeFill="background1" w:themeFillShade="D9"/>
          </w:tcPr>
          <w:p w14:paraId="227612DD" w14:textId="77777777" w:rsidR="00BF0E0B" w:rsidRPr="00F569AE" w:rsidRDefault="00BF0E0B" w:rsidP="00BF0E0B">
            <w:pPr>
              <w:spacing w:line="276" w:lineRule="auto"/>
              <w:rPr>
                <w:rFonts w:ascii="Calibri" w:hAnsi="Calibri" w:cs="Calibri"/>
                <w:lang w:val="en-US"/>
              </w:rPr>
            </w:pPr>
            <w:r w:rsidRPr="00F569AE">
              <w:rPr>
                <w:rFonts w:ascii="Calibri" w:hAnsi="Calibri" w:cs="Calibri"/>
                <w:b/>
                <w:i/>
                <w:lang w:val="en-US"/>
              </w:rPr>
              <w:t xml:space="preserve">Area name: </w:t>
            </w:r>
            <w:r w:rsidRPr="00F569AE">
              <w:rPr>
                <w:rFonts w:ascii="Calibri" w:hAnsi="Calibri" w:cs="Calibri"/>
                <w:b/>
                <w:i/>
                <w:lang w:val="en-US"/>
              </w:rPr>
              <w:tab/>
            </w:r>
            <w:r w:rsidRPr="00F569AE">
              <w:rPr>
                <w:rFonts w:ascii="Calibri" w:hAnsi="Calibri" w:cs="Calibri"/>
                <w:b/>
                <w:i/>
                <w:lang w:val="en-US"/>
              </w:rPr>
              <w:tab/>
            </w:r>
            <w:r w:rsidRPr="00F569AE">
              <w:rPr>
                <w:rFonts w:ascii="Calibri" w:hAnsi="Calibri" w:cs="Calibri"/>
                <w:lang w:val="en-US"/>
              </w:rPr>
              <w:t>Srbac</w:t>
            </w:r>
          </w:p>
          <w:p w14:paraId="26BE7144" w14:textId="77777777" w:rsidR="00BF0E0B" w:rsidRPr="00F569AE" w:rsidRDefault="00BF0E0B" w:rsidP="00BF0E0B">
            <w:pPr>
              <w:spacing w:line="276" w:lineRule="auto"/>
              <w:rPr>
                <w:rFonts w:ascii="Calibri" w:hAnsi="Calibri" w:cs="Calibri"/>
                <w:lang w:val="en-US"/>
              </w:rPr>
            </w:pPr>
            <w:r w:rsidRPr="00F569AE">
              <w:rPr>
                <w:rFonts w:ascii="Calibri" w:hAnsi="Calibri" w:cs="Calibri"/>
                <w:b/>
                <w:i/>
                <w:lang w:val="en-US"/>
              </w:rPr>
              <w:t xml:space="preserve">Date: </w:t>
            </w:r>
            <w:r w:rsidRPr="00F569AE">
              <w:rPr>
                <w:rFonts w:ascii="Calibri" w:hAnsi="Calibri" w:cs="Calibri"/>
                <w:b/>
                <w:i/>
                <w:lang w:val="en-US"/>
              </w:rPr>
              <w:tab/>
            </w:r>
            <w:r w:rsidRPr="00F569AE">
              <w:rPr>
                <w:rFonts w:ascii="Calibri" w:hAnsi="Calibri" w:cs="Calibri"/>
                <w:b/>
                <w:i/>
                <w:lang w:val="en-US"/>
              </w:rPr>
              <w:tab/>
            </w:r>
            <w:r w:rsidRPr="00F569AE">
              <w:rPr>
                <w:rFonts w:ascii="Calibri" w:hAnsi="Calibri" w:cs="Calibri"/>
                <w:b/>
                <w:i/>
                <w:lang w:val="en-US"/>
              </w:rPr>
              <w:tab/>
            </w:r>
            <w:r w:rsidRPr="00F569AE">
              <w:rPr>
                <w:rFonts w:ascii="Calibri" w:hAnsi="Calibri" w:cs="Calibri"/>
                <w:lang w:val="en-US"/>
              </w:rPr>
              <w:t>12.06.2025</w:t>
            </w:r>
          </w:p>
          <w:p w14:paraId="730C1464" w14:textId="77777777" w:rsidR="00BF0E0B" w:rsidRPr="00F569AE" w:rsidRDefault="00BF0E0B" w:rsidP="00BF0E0B">
            <w:pPr>
              <w:tabs>
                <w:tab w:val="left" w:pos="720"/>
                <w:tab w:val="left" w:pos="1440"/>
                <w:tab w:val="left" w:pos="2160"/>
                <w:tab w:val="left" w:pos="2880"/>
                <w:tab w:val="left" w:pos="4269"/>
              </w:tabs>
              <w:spacing w:line="276" w:lineRule="auto"/>
              <w:rPr>
                <w:rFonts w:ascii="Calibri" w:hAnsi="Calibri" w:cs="Calibri"/>
                <w:lang w:val="en-US"/>
              </w:rPr>
            </w:pPr>
            <w:r w:rsidRPr="00F569AE">
              <w:rPr>
                <w:rFonts w:ascii="Calibri" w:hAnsi="Calibri" w:cs="Calibri"/>
                <w:b/>
                <w:i/>
                <w:lang w:val="en-US"/>
              </w:rPr>
              <w:t>Name of the expert:</w:t>
            </w:r>
            <w:r w:rsidRPr="00F569AE">
              <w:rPr>
                <w:rFonts w:ascii="Calibri" w:hAnsi="Calibri" w:cs="Calibri"/>
                <w:b/>
                <w:i/>
                <w:lang w:val="en-US"/>
              </w:rPr>
              <w:tab/>
            </w:r>
            <w:r w:rsidRPr="00F569AE">
              <w:rPr>
                <w:rFonts w:ascii="Calibri" w:hAnsi="Calibri" w:cs="Calibri"/>
                <w:lang w:val="en-US"/>
              </w:rPr>
              <w:t xml:space="preserve">Željka Knežević  </w:t>
            </w:r>
          </w:p>
          <w:p w14:paraId="22101A87" w14:textId="77777777" w:rsidR="00BF0E0B" w:rsidRPr="00F569AE" w:rsidRDefault="00BF0E0B" w:rsidP="00BF0E0B">
            <w:pPr>
              <w:tabs>
                <w:tab w:val="left" w:pos="720"/>
                <w:tab w:val="left" w:pos="1440"/>
                <w:tab w:val="left" w:pos="2160"/>
                <w:tab w:val="left" w:pos="2880"/>
                <w:tab w:val="left" w:pos="4269"/>
              </w:tabs>
              <w:spacing w:line="276" w:lineRule="auto"/>
              <w:rPr>
                <w:rFonts w:ascii="Calibri" w:hAnsi="Calibri" w:cs="Calibri"/>
                <w:lang w:val="en-US"/>
              </w:rPr>
            </w:pPr>
            <w:r w:rsidRPr="00F569AE">
              <w:rPr>
                <w:rFonts w:ascii="Calibri" w:hAnsi="Calibri" w:cs="Calibri"/>
                <w:b/>
                <w:i/>
                <w:lang w:val="en-US"/>
              </w:rPr>
              <w:t>Population:</w:t>
            </w:r>
            <w:r w:rsidRPr="00F569AE">
              <w:rPr>
                <w:rFonts w:ascii="Calibri" w:hAnsi="Calibri" w:cs="Calibri"/>
                <w:lang w:val="en-US"/>
              </w:rPr>
              <w:t xml:space="preserve"> </w:t>
            </w:r>
            <w:r w:rsidRPr="00F569AE">
              <w:rPr>
                <w:rFonts w:ascii="Calibri" w:hAnsi="Calibri" w:cs="Calibri"/>
                <w:lang w:val="en-US"/>
              </w:rPr>
              <w:tab/>
            </w:r>
            <w:r w:rsidRPr="00F569AE">
              <w:rPr>
                <w:rFonts w:ascii="Calibri" w:hAnsi="Calibri" w:cs="Calibri"/>
                <w:lang w:val="en-US"/>
              </w:rPr>
              <w:tab/>
              <w:t>15,600</w:t>
            </w:r>
            <w:r w:rsidRPr="00F569AE">
              <w:rPr>
                <w:rFonts w:ascii="Calibri" w:hAnsi="Calibri" w:cs="Calibri"/>
                <w:lang w:val="en-US"/>
              </w:rPr>
              <w:tab/>
            </w:r>
          </w:p>
          <w:p w14:paraId="63A5E471" w14:textId="77777777" w:rsidR="001A2C0A" w:rsidRPr="00F569AE" w:rsidRDefault="001A2C0A" w:rsidP="00BF0E0B">
            <w:pPr>
              <w:tabs>
                <w:tab w:val="left" w:pos="720"/>
                <w:tab w:val="left" w:pos="1440"/>
                <w:tab w:val="left" w:pos="2160"/>
                <w:tab w:val="left" w:pos="2880"/>
                <w:tab w:val="left" w:pos="4269"/>
              </w:tabs>
              <w:spacing w:line="276" w:lineRule="auto"/>
              <w:rPr>
                <w:rFonts w:ascii="Calibri" w:hAnsi="Calibri" w:cs="Calibri"/>
                <w:lang w:val="en-US"/>
              </w:rPr>
            </w:pPr>
          </w:p>
          <w:p w14:paraId="6E39A102" w14:textId="77777777" w:rsidR="001A2C0A" w:rsidRPr="00F569AE" w:rsidRDefault="001A2C0A" w:rsidP="001A2C0A">
            <w:pPr>
              <w:spacing w:line="276" w:lineRule="auto"/>
              <w:rPr>
                <w:rFonts w:ascii="Calibri" w:hAnsi="Calibri" w:cs="Calibri"/>
                <w:b/>
                <w:i/>
                <w:lang w:val="en-US"/>
              </w:rPr>
            </w:pPr>
            <w:r w:rsidRPr="00F569AE">
              <w:rPr>
                <w:rFonts w:ascii="Calibri" w:hAnsi="Calibri" w:cs="Calibri"/>
                <w:b/>
                <w:i/>
                <w:lang w:val="en-US"/>
              </w:rPr>
              <w:t xml:space="preserve">Discussion participants: </w:t>
            </w:r>
          </w:p>
          <w:p w14:paraId="33E2C163" w14:textId="77777777" w:rsidR="001A2C0A" w:rsidRPr="00F569AE" w:rsidRDefault="001A2C0A" w:rsidP="0033780B">
            <w:pPr>
              <w:pStyle w:val="ListParagraph"/>
              <w:numPr>
                <w:ilvl w:val="0"/>
                <w:numId w:val="27"/>
              </w:numPr>
              <w:spacing w:after="160" w:line="276" w:lineRule="auto"/>
              <w:rPr>
                <w:rFonts w:ascii="Calibri" w:hAnsi="Calibri" w:cs="Calibri"/>
              </w:rPr>
            </w:pPr>
            <w:r w:rsidRPr="00F569AE">
              <w:rPr>
                <w:rFonts w:ascii="Calibri" w:hAnsi="Calibri" w:cs="Calibri"/>
              </w:rPr>
              <w:t>Vladimir Gužvić – Municipality Srbac Deputy Mayor</w:t>
            </w:r>
          </w:p>
          <w:p w14:paraId="1D21CFF4" w14:textId="77777777" w:rsidR="001A2C0A" w:rsidRPr="00F569AE" w:rsidRDefault="001A2C0A" w:rsidP="0033780B">
            <w:pPr>
              <w:pStyle w:val="ListParagraph"/>
              <w:numPr>
                <w:ilvl w:val="0"/>
                <w:numId w:val="27"/>
              </w:numPr>
              <w:spacing w:after="160" w:line="276" w:lineRule="auto"/>
              <w:rPr>
                <w:rFonts w:ascii="Calibri" w:hAnsi="Calibri" w:cs="Calibri"/>
              </w:rPr>
            </w:pPr>
            <w:r w:rsidRPr="00F569AE">
              <w:rPr>
                <w:rFonts w:ascii="Calibri" w:hAnsi="Calibri" w:cs="Calibri"/>
              </w:rPr>
              <w:t>Dražen Stojković – Director of KP Vodovod, Srbac (WUC)</w:t>
            </w:r>
          </w:p>
          <w:p w14:paraId="0C42907F" w14:textId="1C4EFB3A" w:rsidR="001A2C0A" w:rsidRPr="00F569AE" w:rsidRDefault="001A2C0A" w:rsidP="0033780B">
            <w:pPr>
              <w:pStyle w:val="ListParagraph"/>
              <w:numPr>
                <w:ilvl w:val="0"/>
                <w:numId w:val="27"/>
              </w:numPr>
              <w:spacing w:after="200" w:line="276" w:lineRule="auto"/>
              <w:rPr>
                <w:rFonts w:ascii="Calibri" w:hAnsi="Calibri" w:cs="Calibri"/>
              </w:rPr>
            </w:pPr>
            <w:r w:rsidRPr="00F569AE">
              <w:rPr>
                <w:rFonts w:ascii="Calibri" w:hAnsi="Calibri" w:cs="Calibri"/>
              </w:rPr>
              <w:t xml:space="preserve">Predrag Smiljanić, President of the Local Community </w:t>
            </w:r>
          </w:p>
        </w:tc>
      </w:tr>
    </w:tbl>
    <w:p w14:paraId="53D8A68E" w14:textId="77777777" w:rsidR="00657F84" w:rsidRPr="00F569AE" w:rsidRDefault="00657F84" w:rsidP="00657F84">
      <w:pPr>
        <w:rPr>
          <w:rFonts w:ascii="Calibri" w:hAnsi="Calibri" w:cs="Calibri"/>
          <w:b/>
          <w:i/>
          <w:lang w:val="en-US"/>
        </w:rPr>
      </w:pPr>
    </w:p>
    <w:p w14:paraId="0A5C4B10" w14:textId="67F7A50D" w:rsidR="00657F84" w:rsidRPr="00F569AE" w:rsidRDefault="00657F84" w:rsidP="00657F84">
      <w:pPr>
        <w:spacing w:line="276" w:lineRule="auto"/>
        <w:rPr>
          <w:rFonts w:ascii="Calibri" w:hAnsi="Calibri" w:cs="Calibri"/>
          <w:b/>
          <w:sz w:val="28"/>
          <w:szCs w:val="28"/>
          <w:lang w:val="en-US"/>
        </w:rPr>
      </w:pPr>
      <w:r w:rsidRPr="00F569AE">
        <w:rPr>
          <w:rFonts w:ascii="Calibri" w:hAnsi="Calibri" w:cs="Calibri"/>
          <w:lang w:val="en-US"/>
        </w:rPr>
        <w:br/>
      </w:r>
      <w:r w:rsidR="00BF0E0B" w:rsidRPr="00F569AE">
        <w:rPr>
          <w:rFonts w:ascii="Calibri" w:hAnsi="Calibri" w:cs="Calibri"/>
          <w:b/>
          <w:sz w:val="28"/>
          <w:szCs w:val="28"/>
          <w:lang w:val="en-US"/>
        </w:rPr>
        <w:t>DESCRIPTIVE PART</w:t>
      </w:r>
    </w:p>
    <w:p w14:paraId="67A56905" w14:textId="77777777" w:rsidR="00BF0E0B" w:rsidRPr="00F569AE" w:rsidRDefault="00BF0E0B" w:rsidP="00657F84">
      <w:pPr>
        <w:spacing w:line="276" w:lineRule="auto"/>
        <w:rPr>
          <w:rFonts w:ascii="Calibri" w:hAnsi="Calibri" w:cs="Calibri"/>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BF0E0B" w:rsidRPr="00F569AE" w14:paraId="527ED273" w14:textId="77777777" w:rsidTr="00BF0E0B">
        <w:tc>
          <w:tcPr>
            <w:tcW w:w="9010" w:type="dxa"/>
            <w:shd w:val="clear" w:color="auto" w:fill="F2F2F2" w:themeFill="background1" w:themeFillShade="F2"/>
          </w:tcPr>
          <w:p w14:paraId="40D8A6AB" w14:textId="5F877945" w:rsidR="00BF0E0B" w:rsidRPr="00F569AE" w:rsidRDefault="00BF0E0B" w:rsidP="00657F84">
            <w:pPr>
              <w:spacing w:line="276" w:lineRule="auto"/>
              <w:rPr>
                <w:rFonts w:ascii="Calibri" w:hAnsi="Calibri" w:cs="Calibri"/>
                <w:b/>
                <w:lang w:val="en-US"/>
              </w:rPr>
            </w:pPr>
            <w:r w:rsidRPr="00F569AE">
              <w:rPr>
                <w:rFonts w:ascii="Calibri" w:hAnsi="Calibri" w:cs="Calibri"/>
                <w:b/>
                <w:lang w:val="en-US"/>
              </w:rPr>
              <w:t>I. When was the Public Service Agreement (PSA) signed and institutionalized?</w:t>
            </w:r>
          </w:p>
        </w:tc>
      </w:tr>
    </w:tbl>
    <w:p w14:paraId="663176CC" w14:textId="77777777" w:rsidR="00657F84" w:rsidRPr="00F569AE" w:rsidRDefault="00657F84" w:rsidP="00657F84">
      <w:pPr>
        <w:spacing w:line="276" w:lineRule="auto"/>
        <w:jc w:val="both"/>
        <w:rPr>
          <w:rFonts w:ascii="Calibri" w:hAnsi="Calibri" w:cs="Calibri"/>
          <w:lang w:val="en-US"/>
        </w:rPr>
      </w:pPr>
      <w:r w:rsidRPr="00F569AE">
        <w:rPr>
          <w:rFonts w:ascii="Calibri" w:hAnsi="Calibri" w:cs="Calibri"/>
          <w:lang w:val="en-US"/>
        </w:rPr>
        <w:t>Srbac is one of the new municipalities that joined MEG project in the second phase. Preparations for the Public Service Agreement (PSA) began shortly after the municipality joined the MEG project. Before the PSA signing ceremony between the municipality and “KP Vodovod” AD Srbac (the WUC), the municipal assembly discussed and adopted conclusion or decisions about the individual segments of the PSA agreement such as: subsidies of communal services</w:t>
      </w:r>
      <w:r w:rsidRPr="00F569AE">
        <w:rPr>
          <w:rStyle w:val="FootnoteReference"/>
          <w:rFonts w:ascii="Calibri" w:eastAsiaTheme="majorEastAsia" w:hAnsi="Calibri" w:cs="Calibri"/>
          <w:lang w:val="en-US"/>
        </w:rPr>
        <w:footnoteReference w:id="60"/>
      </w:r>
      <w:r w:rsidRPr="00F569AE">
        <w:rPr>
          <w:rFonts w:ascii="Calibri" w:hAnsi="Calibri" w:cs="Calibri"/>
          <w:lang w:val="en-US"/>
        </w:rPr>
        <w:t>, measures, activities and procedures for collecting receivables for the use of public water services</w:t>
      </w:r>
      <w:r w:rsidRPr="00F569AE">
        <w:rPr>
          <w:rStyle w:val="FootnoteReference"/>
          <w:rFonts w:ascii="Calibri" w:eastAsiaTheme="majorEastAsia" w:hAnsi="Calibri" w:cs="Calibri"/>
          <w:lang w:val="en-US"/>
        </w:rPr>
        <w:footnoteReference w:id="61"/>
      </w:r>
      <w:r w:rsidRPr="00F569AE">
        <w:rPr>
          <w:rFonts w:ascii="Calibri" w:hAnsi="Calibri" w:cs="Calibri"/>
          <w:lang w:val="en-US"/>
        </w:rPr>
        <w:t>, etc. and finally adopted a conclusion on giving consent to the PSA contract between the municipality and WUC</w:t>
      </w:r>
      <w:r w:rsidRPr="00F569AE">
        <w:rPr>
          <w:rStyle w:val="FootnoteReference"/>
          <w:rFonts w:ascii="Calibri" w:eastAsiaTheme="majorEastAsia" w:hAnsi="Calibri" w:cs="Calibri"/>
          <w:lang w:val="en-US"/>
        </w:rPr>
        <w:footnoteReference w:id="62"/>
      </w:r>
      <w:r w:rsidRPr="00F569AE">
        <w:rPr>
          <w:rFonts w:ascii="Calibri" w:hAnsi="Calibri" w:cs="Calibri"/>
          <w:lang w:val="en-US"/>
        </w:rPr>
        <w:t>.</w:t>
      </w:r>
    </w:p>
    <w:p w14:paraId="687AD9AC" w14:textId="77777777" w:rsidR="00B7233A" w:rsidRDefault="00B7233A" w:rsidP="00657F84">
      <w:pPr>
        <w:spacing w:line="276" w:lineRule="auto"/>
        <w:jc w:val="both"/>
        <w:rPr>
          <w:rFonts w:ascii="Calibri" w:hAnsi="Calibri" w:cs="Calibri"/>
          <w:lang w:val="en-US"/>
        </w:rPr>
      </w:pPr>
    </w:p>
    <w:p w14:paraId="12A75BC9" w14:textId="4BFD81C3" w:rsidR="00657F84" w:rsidRPr="00F569AE" w:rsidRDefault="00657F84" w:rsidP="00657F84">
      <w:pPr>
        <w:spacing w:line="276" w:lineRule="auto"/>
        <w:jc w:val="both"/>
        <w:rPr>
          <w:rFonts w:ascii="Calibri" w:hAnsi="Calibri" w:cs="Calibri"/>
          <w:lang w:val="en-US"/>
        </w:rPr>
      </w:pPr>
      <w:r w:rsidRPr="00F569AE">
        <w:rPr>
          <w:rFonts w:ascii="Calibri" w:hAnsi="Calibri" w:cs="Calibri"/>
          <w:lang w:val="en-US"/>
        </w:rPr>
        <w:t>The PSA agreement was signed on September 08, 2022</w:t>
      </w:r>
      <w:r w:rsidR="00B7233A">
        <w:rPr>
          <w:rFonts w:ascii="Calibri" w:hAnsi="Calibri" w:cs="Calibri"/>
          <w:lang w:val="en-US"/>
        </w:rPr>
        <w:t>,</w:t>
      </w:r>
      <w:r w:rsidRPr="00F569AE">
        <w:rPr>
          <w:rFonts w:ascii="Calibri" w:hAnsi="Calibri" w:cs="Calibri"/>
          <w:lang w:val="en-US"/>
        </w:rPr>
        <w:t xml:space="preserve"> between the municipality of Srbac and WUC after the prior approval/consent of the municipal assembly, which means that the PSA agreement was institutionalized right after the signing. To further strengthen implementation of the PSA agreement, the Mayor made a decision on the appointment of a commission to monitor the implementation of the PSA agreement</w:t>
      </w:r>
      <w:r w:rsidRPr="00F569AE">
        <w:rPr>
          <w:rStyle w:val="FootnoteReference"/>
          <w:rFonts w:ascii="Calibri" w:eastAsiaTheme="majorEastAsia" w:hAnsi="Calibri" w:cs="Calibri"/>
          <w:lang w:val="en-US"/>
        </w:rPr>
        <w:footnoteReference w:id="63"/>
      </w:r>
    </w:p>
    <w:p w14:paraId="02B0A6C4" w14:textId="77777777" w:rsidR="00E10746" w:rsidRPr="00F569AE" w:rsidRDefault="00E10746" w:rsidP="00657F84">
      <w:pPr>
        <w:spacing w:line="276" w:lineRule="auto"/>
        <w:jc w:val="both"/>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BF0E0B" w:rsidRPr="00F569AE" w14:paraId="1BA5ABA6" w14:textId="77777777" w:rsidTr="00BF0E0B">
        <w:tc>
          <w:tcPr>
            <w:tcW w:w="9010" w:type="dxa"/>
            <w:shd w:val="clear" w:color="auto" w:fill="F2F2F2" w:themeFill="background1" w:themeFillShade="F2"/>
          </w:tcPr>
          <w:p w14:paraId="34C24389" w14:textId="7F797E37" w:rsidR="00BF0E0B" w:rsidRPr="00F569AE" w:rsidRDefault="00BF0E0B" w:rsidP="00BF0E0B">
            <w:pPr>
              <w:spacing w:line="276" w:lineRule="auto"/>
              <w:rPr>
                <w:rFonts w:ascii="Calibri" w:hAnsi="Calibri" w:cs="Calibri"/>
                <w:b/>
                <w:lang w:val="en-US"/>
              </w:rPr>
            </w:pPr>
            <w:r w:rsidRPr="00F569AE">
              <w:rPr>
                <w:rFonts w:ascii="Calibri" w:hAnsi="Calibri" w:cs="Calibri"/>
                <w:b/>
                <w:lang w:val="en-US"/>
              </w:rPr>
              <w:t>II. What does the PSA entail?</w:t>
            </w:r>
          </w:p>
        </w:tc>
      </w:tr>
    </w:tbl>
    <w:p w14:paraId="4D73159B" w14:textId="64F736C4"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 xml:space="preserve">The PSA entails understanding of mutual responsibilities, methodologies and procedures that govern the relations between the Srbac municipality and its communal enterprise (WUC) with regard to matters that secure provision of quality water services to citizens and companies at </w:t>
      </w:r>
      <w:r w:rsidRPr="00F569AE">
        <w:rPr>
          <w:rFonts w:ascii="Calibri" w:hAnsi="Calibri" w:cs="Calibri"/>
          <w:lang w:val="en-US"/>
        </w:rPr>
        <w:lastRenderedPageBreak/>
        <w:t xml:space="preserve">the territory of Srbac municipality. Specifically, the PSA between municipality Srbac and WCU entails the following: </w:t>
      </w:r>
    </w:p>
    <w:p w14:paraId="5310ACE8" w14:textId="5502C26E"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1. Establishment and improvement of a complete system of public water services for water supply, drainage, and wastewater treatment that will fully meet the needs of users in the municipality of Srbac,</w:t>
      </w:r>
    </w:p>
    <w:p w14:paraId="41C612B4"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2. Establishment of a functional environmental protection system related to the provision of public water services,</w:t>
      </w:r>
    </w:p>
    <w:p w14:paraId="66C855BC"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3. Consistent application of legal and other regulations in the provision of public water services,</w:t>
      </w:r>
    </w:p>
    <w:p w14:paraId="2E8DFF0A"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4. Increasing the operational efficiency of the provision of public water services,</w:t>
      </w:r>
    </w:p>
    <w:p w14:paraId="187DF222"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5. Finding and determining different sources of financing for the development of public water services, including the construction of facilities and devices for the public water services system,</w:t>
      </w:r>
    </w:p>
    <w:p w14:paraId="32BED17A"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 xml:space="preserve">6. Achieving operational and financial independence of WUC as a market-oriented entity oriented towards the users of its services, </w:t>
      </w:r>
    </w:p>
    <w:p w14:paraId="5D7707F7"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7. Determining and establishing a price policy for the products and services of the public water service system according to the principles of sustainable development, which ensures the self-sustainability of the public water service system,</w:t>
      </w:r>
    </w:p>
    <w:p w14:paraId="3A7975FB"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8. Provision of financial resources for subsidizing the costs of providing public water services to certain categories of socially vulnerable persons - users of public water services</w:t>
      </w:r>
    </w:p>
    <w:p w14:paraId="60B0038F"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 xml:space="preserve">9. Raising public awareness of the importance of providing public water services and complete dedication to providing public water services to the users, </w:t>
      </w:r>
    </w:p>
    <w:p w14:paraId="5B857BEF"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10. Ensuring constant supervision over the provision of public water services,</w:t>
      </w:r>
    </w:p>
    <w:p w14:paraId="2AF06AC0"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11. Constant cooperation and joint work of the municipality and WUC in ensuring the public water services,</w:t>
      </w:r>
    </w:p>
    <w:p w14:paraId="643C02F1"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12. Establishment and improvement of measures to improve the energy efficiency of the public water service system,</w:t>
      </w:r>
    </w:p>
    <w:p w14:paraId="6D49C46B"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13. Control of rural water supply systems in terms of technical, health and hygienic water quality in accordance with relevant standards and norms,</w:t>
      </w:r>
    </w:p>
    <w:p w14:paraId="42013A27" w14:textId="77777777" w:rsidR="00657F84" w:rsidRPr="00F569AE" w:rsidRDefault="00657F84" w:rsidP="00BF0E0B">
      <w:pPr>
        <w:spacing w:line="276" w:lineRule="auto"/>
        <w:jc w:val="both"/>
        <w:rPr>
          <w:rFonts w:ascii="Calibri" w:hAnsi="Calibri" w:cs="Calibri"/>
          <w:lang w:val="en-US"/>
        </w:rPr>
      </w:pPr>
      <w:r w:rsidRPr="00F569AE">
        <w:rPr>
          <w:rFonts w:ascii="Calibri" w:hAnsi="Calibri" w:cs="Calibri"/>
          <w:lang w:val="en-US"/>
        </w:rPr>
        <w:t>14. ISO standards implementation</w:t>
      </w:r>
    </w:p>
    <w:p w14:paraId="6915B501" w14:textId="083A4242" w:rsidR="00BF0E0B" w:rsidRPr="00F569AE" w:rsidRDefault="00657F84" w:rsidP="00657F84">
      <w:pPr>
        <w:spacing w:line="276" w:lineRule="auto"/>
        <w:jc w:val="both"/>
        <w:rPr>
          <w:rFonts w:ascii="Calibri" w:hAnsi="Calibri" w:cs="Calibri"/>
          <w:lang w:val="en-US"/>
        </w:rPr>
      </w:pPr>
      <w:r w:rsidRPr="00F569AE">
        <w:rPr>
          <w:rFonts w:ascii="Calibri" w:hAnsi="Calibri" w:cs="Calibri"/>
          <w:lang w:val="en-US"/>
        </w:rPr>
        <w:t xml:space="preserve">The joint commission of the municipality, WUC, and representatives of users has been appointed and is in charge of monitoring the implementation of PSA. </w:t>
      </w:r>
    </w:p>
    <w:p w14:paraId="7159EF79" w14:textId="77777777" w:rsidR="00BF0E0B" w:rsidRPr="00F569AE" w:rsidRDefault="00BF0E0B" w:rsidP="00657F84">
      <w:pPr>
        <w:spacing w:line="276" w:lineRule="auto"/>
        <w:jc w:val="both"/>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BF0E0B" w:rsidRPr="00F569AE" w14:paraId="16E190C3" w14:textId="77777777" w:rsidTr="00BF0E0B">
        <w:tc>
          <w:tcPr>
            <w:tcW w:w="9010" w:type="dxa"/>
            <w:shd w:val="clear" w:color="auto" w:fill="F2F2F2" w:themeFill="background1" w:themeFillShade="F2"/>
          </w:tcPr>
          <w:p w14:paraId="102C8471" w14:textId="798F30A5" w:rsidR="00BF0E0B" w:rsidRPr="00F569AE" w:rsidRDefault="00BF0E0B" w:rsidP="00BF0E0B">
            <w:pPr>
              <w:spacing w:line="276" w:lineRule="auto"/>
              <w:rPr>
                <w:rFonts w:ascii="Calibri" w:hAnsi="Calibri" w:cs="Calibri"/>
                <w:b/>
                <w:lang w:val="en-US"/>
              </w:rPr>
            </w:pPr>
            <w:r w:rsidRPr="00F569AE">
              <w:rPr>
                <w:rFonts w:ascii="Calibri" w:hAnsi="Calibri" w:cs="Calibri"/>
                <w:b/>
                <w:lang w:val="en-US"/>
              </w:rPr>
              <w:t xml:space="preserve">III. What are the mayor gaps in the content? </w:t>
            </w:r>
          </w:p>
        </w:tc>
      </w:tr>
    </w:tbl>
    <w:p w14:paraId="744900D1" w14:textId="65C76D88" w:rsidR="00657F84" w:rsidRPr="00F569AE" w:rsidRDefault="00657F84" w:rsidP="00657F84">
      <w:pPr>
        <w:spacing w:line="276" w:lineRule="auto"/>
        <w:jc w:val="both"/>
        <w:rPr>
          <w:rFonts w:ascii="Calibri" w:hAnsi="Calibri" w:cs="Calibri"/>
          <w:lang w:val="en-US"/>
        </w:rPr>
      </w:pPr>
      <w:r w:rsidRPr="00F569AE">
        <w:rPr>
          <w:rFonts w:ascii="Calibri" w:hAnsi="Calibri" w:cs="Calibri"/>
          <w:lang w:val="en-US"/>
        </w:rPr>
        <w:t xml:space="preserve">The MEG coordinator and the WUC representative could not identify any particular gaps in the content of the PSA. It was prepared following the consultations of the key interested parties (WUC, City administration, Center for Social Work, and City’s assembly) and it reflects their understanding and agreement. To this end, the PSA is considered to be working very well and brought numerous improvements for both municipality and WUC, and consequently for all citizens of Srbac municipality.  </w:t>
      </w:r>
    </w:p>
    <w:p w14:paraId="2FB1423F" w14:textId="77777777" w:rsidR="00657F84" w:rsidRPr="00F569AE" w:rsidRDefault="00657F84" w:rsidP="00657F84">
      <w:pPr>
        <w:spacing w:line="276" w:lineRule="auto"/>
        <w:jc w:val="both"/>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BF0E0B" w:rsidRPr="00F569AE" w14:paraId="38446126" w14:textId="77777777" w:rsidTr="00BF0E0B">
        <w:tc>
          <w:tcPr>
            <w:tcW w:w="9010" w:type="dxa"/>
            <w:shd w:val="clear" w:color="auto" w:fill="F2F2F2" w:themeFill="background1" w:themeFillShade="F2"/>
          </w:tcPr>
          <w:p w14:paraId="483F1CE5" w14:textId="357A893D" w:rsidR="00BF0E0B" w:rsidRPr="00F569AE" w:rsidRDefault="00BF0E0B" w:rsidP="00BF0E0B">
            <w:pPr>
              <w:spacing w:line="276" w:lineRule="auto"/>
              <w:rPr>
                <w:rFonts w:ascii="Calibri" w:hAnsi="Calibri" w:cs="Calibri"/>
                <w:b/>
                <w:lang w:val="en-US"/>
              </w:rPr>
            </w:pPr>
            <w:r w:rsidRPr="00F569AE">
              <w:rPr>
                <w:rFonts w:ascii="Calibri" w:hAnsi="Calibri" w:cs="Calibri"/>
                <w:b/>
                <w:lang w:val="en-US"/>
              </w:rPr>
              <w:lastRenderedPageBreak/>
              <w:t>IV. Was design process consultative? Who was involved?</w:t>
            </w:r>
          </w:p>
        </w:tc>
      </w:tr>
    </w:tbl>
    <w:p w14:paraId="3D149D26" w14:textId="77777777" w:rsidR="00657F84" w:rsidRPr="00F569AE" w:rsidRDefault="00657F84" w:rsidP="00657F84">
      <w:pPr>
        <w:spacing w:line="276" w:lineRule="auto"/>
        <w:jc w:val="both"/>
        <w:rPr>
          <w:rFonts w:ascii="Calibri" w:hAnsi="Calibri" w:cs="Calibri"/>
          <w:lang w:val="en-US"/>
        </w:rPr>
      </w:pPr>
      <w:r w:rsidRPr="00F569AE">
        <w:rPr>
          <w:rFonts w:ascii="Calibri" w:hAnsi="Calibri" w:cs="Calibri"/>
          <w:lang w:val="en-US"/>
        </w:rPr>
        <w:t xml:space="preserve">The design process of PSA is determined by the MEG methodology and involved intensive consultations between the representatives of the Srbac municipality, KP Vodovod Srbac (WUC), the Centre for Social Work because it implies subsidies for vulnerable categories of the population, and the municipal assembly. </w:t>
      </w:r>
    </w:p>
    <w:p w14:paraId="5ADD989D" w14:textId="77777777" w:rsidR="00657F84" w:rsidRPr="00F569AE" w:rsidRDefault="00657F84" w:rsidP="00657F84">
      <w:pPr>
        <w:spacing w:line="276" w:lineRule="auto"/>
        <w:jc w:val="both"/>
        <w:rPr>
          <w:rFonts w:ascii="Calibri" w:hAnsi="Calibri" w:cs="Calibri"/>
          <w:lang w:val="en-US"/>
        </w:rPr>
      </w:pPr>
      <w:r w:rsidRPr="00F569AE">
        <w:rPr>
          <w:rFonts w:ascii="Calibri" w:hAnsi="Calibri" w:cs="Calibri"/>
          <w:lang w:val="en-US"/>
        </w:rPr>
        <w:t>PSA agreement specifically defines subsidies for socially vulnerable persons with insufficient income for living as defined in the Law on Social Protection</w:t>
      </w:r>
      <w:r w:rsidRPr="00F569AE">
        <w:rPr>
          <w:rStyle w:val="FootnoteReference"/>
          <w:rFonts w:ascii="Calibri" w:eastAsiaTheme="majorEastAsia" w:hAnsi="Calibri" w:cs="Calibri"/>
          <w:lang w:val="en-US"/>
        </w:rPr>
        <w:footnoteReference w:id="64"/>
      </w:r>
      <w:r w:rsidRPr="00F569AE">
        <w:rPr>
          <w:rFonts w:ascii="Calibri" w:hAnsi="Calibri" w:cs="Calibri"/>
          <w:lang w:val="en-US"/>
        </w:rPr>
        <w:t>. The Centre for Social Work is in charged as per Municipal Assembly Decision</w:t>
      </w:r>
      <w:r w:rsidRPr="00F569AE">
        <w:rPr>
          <w:rStyle w:val="FootnoteReference"/>
          <w:rFonts w:ascii="Calibri" w:eastAsiaTheme="majorEastAsia" w:hAnsi="Calibri" w:cs="Calibri"/>
          <w:lang w:val="en-US"/>
        </w:rPr>
        <w:footnoteReference w:id="65"/>
      </w:r>
      <w:r w:rsidRPr="00F569AE">
        <w:rPr>
          <w:rFonts w:ascii="Calibri" w:hAnsi="Calibri" w:cs="Calibri"/>
          <w:lang w:val="en-US"/>
        </w:rPr>
        <w:t xml:space="preserve">  to implement all procedures related to obtaining subsidies, which includes identification of vulnerable persons, procedures for application, and administration of subsidies. </w:t>
      </w:r>
    </w:p>
    <w:p w14:paraId="0234A8C3" w14:textId="77777777" w:rsidR="00657F84" w:rsidRPr="00F569AE" w:rsidRDefault="00657F84" w:rsidP="00657F84">
      <w:pPr>
        <w:spacing w:line="276" w:lineRule="auto"/>
        <w:jc w:val="both"/>
        <w:rPr>
          <w:rFonts w:ascii="Calibri" w:hAnsi="Calibri" w:cs="Calibri"/>
          <w:lang w:val="en-US"/>
        </w:rPr>
      </w:pPr>
      <w:r w:rsidRPr="00F569AE">
        <w:rPr>
          <w:rFonts w:ascii="Calibri" w:hAnsi="Calibri" w:cs="Calibri"/>
          <w:lang w:val="en-US"/>
        </w:rPr>
        <w:t xml:space="preserve">To summarize, consultation process involved intensive consultations between Srbac municipality, WUC, the Center for social work that represent all vulnerable citizens categories, and the municipal assembly that ultimately discussed and approved  proposed subsidies and the municipal budget to cover approved subsidies accordingly. </w:t>
      </w:r>
    </w:p>
    <w:p w14:paraId="393AFFA1" w14:textId="77777777" w:rsidR="00657F84" w:rsidRPr="00F569AE" w:rsidRDefault="00657F84" w:rsidP="00657F84">
      <w:pPr>
        <w:spacing w:line="276" w:lineRule="auto"/>
        <w:jc w:val="both"/>
        <w:rPr>
          <w:rFonts w:ascii="Calibri" w:hAnsi="Calibri" w:cs="Calibri"/>
          <w:lang w:val="en-US"/>
        </w:rPr>
      </w:pPr>
      <w:r w:rsidRPr="00F569AE">
        <w:rPr>
          <w:rFonts w:ascii="Calibri" w:hAnsi="Calibri" w:cs="Calibri"/>
          <w:lang w:val="en-US"/>
        </w:rPr>
        <w:t xml:space="preserve">In addition to direct involvement of the Centre for Social Work that represent vulnerable categories of the population that exercise the right to a subsidy, all other CSOs, citizens, and users had an opportunity to participate in the consultation process through established consultation mechanisms, i.e. e-citizen (where all municipal assembly materials are upfront published). </w:t>
      </w:r>
    </w:p>
    <w:p w14:paraId="276DA593" w14:textId="77777777" w:rsidR="00657F84" w:rsidRPr="00F569AE" w:rsidRDefault="00657F84" w:rsidP="00657F84">
      <w:pPr>
        <w:spacing w:line="276" w:lineRule="auto"/>
        <w:jc w:val="both"/>
        <w:rPr>
          <w:rFonts w:ascii="Calibri" w:hAnsi="Calibri" w:cs="Calibri"/>
          <w:lang w:val="en-US"/>
        </w:rPr>
      </w:pPr>
      <w:r w:rsidRPr="00F569AE">
        <w:rPr>
          <w:rFonts w:ascii="Calibri" w:hAnsi="Calibri" w:cs="Calibri"/>
          <w:lang w:val="en-US"/>
        </w:rPr>
        <w:t>Other broader consultations apart from the above-mentioned are not even necessary, bearing in mind that PSA is a technical agreement between the municipality and WUC, and the vulnerable groups included in the agreement are included through consultations and work on the PSA of the Center for Social Work (see Municipal Assmebly Srbac Decision on subsidizing communal services, No 01-022-128/22, dated 14.07.2022).</w:t>
      </w:r>
    </w:p>
    <w:p w14:paraId="3475B9F7" w14:textId="77777777" w:rsidR="00657F84" w:rsidRPr="00F569AE" w:rsidRDefault="00657F84" w:rsidP="00657F84">
      <w:pPr>
        <w:spacing w:line="276" w:lineRule="auto"/>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BF0E0B" w:rsidRPr="00F569AE" w14:paraId="368D8D2C" w14:textId="77777777" w:rsidTr="00BF0E0B">
        <w:tc>
          <w:tcPr>
            <w:tcW w:w="9010" w:type="dxa"/>
            <w:shd w:val="clear" w:color="auto" w:fill="F2F2F2" w:themeFill="background1" w:themeFillShade="F2"/>
          </w:tcPr>
          <w:p w14:paraId="20A6B57F" w14:textId="3426B209" w:rsidR="00BF0E0B" w:rsidRPr="00F569AE" w:rsidRDefault="00BF0E0B" w:rsidP="00657F84">
            <w:pPr>
              <w:spacing w:line="276" w:lineRule="auto"/>
              <w:rPr>
                <w:rFonts w:ascii="Calibri" w:hAnsi="Calibri" w:cs="Calibri"/>
                <w:b/>
                <w:lang w:val="en-US"/>
              </w:rPr>
            </w:pPr>
            <w:r w:rsidRPr="00F569AE">
              <w:rPr>
                <w:rFonts w:ascii="Calibri" w:hAnsi="Calibri" w:cs="Calibri"/>
                <w:b/>
                <w:lang w:val="en-US"/>
              </w:rPr>
              <w:t>V. Were vulnerable groups involved in consultation? Who?</w:t>
            </w:r>
          </w:p>
        </w:tc>
      </w:tr>
    </w:tbl>
    <w:p w14:paraId="03B260FC" w14:textId="77777777" w:rsidR="00657F84" w:rsidRPr="00F569AE" w:rsidRDefault="00657F84" w:rsidP="00657F84">
      <w:pPr>
        <w:spacing w:line="276" w:lineRule="auto"/>
        <w:jc w:val="both"/>
        <w:rPr>
          <w:rFonts w:ascii="Calibri" w:hAnsi="Calibri" w:cs="Calibri"/>
          <w:lang w:val="en-US"/>
        </w:rPr>
      </w:pPr>
      <w:r w:rsidRPr="00F569AE">
        <w:rPr>
          <w:rFonts w:ascii="Calibri" w:hAnsi="Calibri" w:cs="Calibri"/>
          <w:lang w:val="en-US"/>
        </w:rPr>
        <w:t>PSA agreement specifically defines socially vulnerable persons with insufficient income for living as defined in the Law on Social Protection</w:t>
      </w:r>
      <w:r w:rsidRPr="00F569AE">
        <w:rPr>
          <w:rStyle w:val="FootnoteReference"/>
          <w:rFonts w:ascii="Calibri" w:eastAsiaTheme="majorEastAsia" w:hAnsi="Calibri" w:cs="Calibri"/>
          <w:lang w:val="en-US"/>
        </w:rPr>
        <w:footnoteReference w:id="66"/>
      </w:r>
      <w:r w:rsidRPr="00F569AE">
        <w:rPr>
          <w:rFonts w:ascii="Calibri" w:hAnsi="Calibri" w:cs="Calibri"/>
          <w:lang w:val="en-US"/>
        </w:rPr>
        <w:t xml:space="preserve"> and the Centre for Social Work is consulted and in charged as per Municipal Assembly Decision</w:t>
      </w:r>
      <w:r w:rsidRPr="00F569AE">
        <w:rPr>
          <w:rStyle w:val="FootnoteReference"/>
          <w:rFonts w:ascii="Calibri" w:eastAsiaTheme="majorEastAsia" w:hAnsi="Calibri" w:cs="Calibri"/>
          <w:lang w:val="en-US"/>
        </w:rPr>
        <w:footnoteReference w:id="67"/>
      </w:r>
      <w:r w:rsidRPr="00F569AE">
        <w:rPr>
          <w:rFonts w:ascii="Calibri" w:hAnsi="Calibri" w:cs="Calibri"/>
          <w:lang w:val="en-US"/>
        </w:rPr>
        <w:t xml:space="preserve">  to implement all procedures related to obtaining subsidies, which includes identification of vulnerable persons, procedures for application, and administration of subsidies.</w:t>
      </w:r>
    </w:p>
    <w:p w14:paraId="6D3F451D" w14:textId="77777777" w:rsidR="00657F84" w:rsidRPr="00F569AE" w:rsidRDefault="00657F84" w:rsidP="00657F84">
      <w:pPr>
        <w:spacing w:line="276" w:lineRule="auto"/>
        <w:rPr>
          <w:rFonts w:ascii="Calibri" w:hAnsi="Calibri" w:cs="Calibri"/>
          <w:lang w:val="en-US"/>
        </w:rPr>
      </w:pPr>
      <w:r w:rsidRPr="00F569AE">
        <w:rPr>
          <w:rFonts w:ascii="Calibri" w:hAnsi="Calibri" w:cs="Calibri"/>
          <w:lang w:val="en-US"/>
        </w:rPr>
        <w:t xml:space="preserve">In line with the above-mentioned Law on social protection and the Municipal Assembly Decision No. 01-022-128/22, dated 14.07.2022 the following categories of vulnerable population who reside in the municipality Srbac are represented and included in the PSA to excercise the right to subsidize water services:  </w:t>
      </w:r>
    </w:p>
    <w:p w14:paraId="2F4B51C3" w14:textId="77777777" w:rsidR="00657F84" w:rsidRPr="00F569AE" w:rsidRDefault="00657F84" w:rsidP="00657F84">
      <w:pPr>
        <w:spacing w:line="276" w:lineRule="auto"/>
        <w:rPr>
          <w:rFonts w:ascii="Calibri" w:hAnsi="Calibri" w:cs="Calibri"/>
          <w:lang w:val="en-US"/>
        </w:rPr>
      </w:pPr>
      <w:r w:rsidRPr="00F569AE">
        <w:rPr>
          <w:rFonts w:ascii="Calibri" w:hAnsi="Calibri" w:cs="Calibri"/>
          <w:lang w:val="en-US"/>
        </w:rPr>
        <w:t>a) Persons receiving permanent financial assistance,</w:t>
      </w:r>
    </w:p>
    <w:p w14:paraId="778C72CA" w14:textId="77777777" w:rsidR="00657F84" w:rsidRPr="00F569AE" w:rsidRDefault="00657F84" w:rsidP="00657F84">
      <w:pPr>
        <w:spacing w:line="276" w:lineRule="auto"/>
        <w:rPr>
          <w:rFonts w:ascii="Calibri" w:hAnsi="Calibri" w:cs="Calibri"/>
          <w:lang w:val="en-US"/>
        </w:rPr>
      </w:pPr>
      <w:r w:rsidRPr="00F569AE">
        <w:rPr>
          <w:rFonts w:ascii="Calibri" w:hAnsi="Calibri" w:cs="Calibri"/>
          <w:lang w:val="en-US"/>
        </w:rPr>
        <w:t>b) Persons receiving fees for help and care of other persons,</w:t>
      </w:r>
    </w:p>
    <w:p w14:paraId="621C9E20" w14:textId="77777777" w:rsidR="00657F84" w:rsidRPr="00F569AE" w:rsidRDefault="00657F84" w:rsidP="00657F84">
      <w:pPr>
        <w:spacing w:line="276" w:lineRule="auto"/>
        <w:rPr>
          <w:rFonts w:ascii="Calibri" w:hAnsi="Calibri" w:cs="Calibri"/>
          <w:lang w:val="en-US"/>
        </w:rPr>
      </w:pPr>
      <w:r w:rsidRPr="00F569AE">
        <w:rPr>
          <w:rFonts w:ascii="Calibri" w:hAnsi="Calibri" w:cs="Calibri"/>
          <w:lang w:val="en-US"/>
        </w:rPr>
        <w:lastRenderedPageBreak/>
        <w:t>c) Persons receiving fees for life and work training,</w:t>
      </w:r>
    </w:p>
    <w:p w14:paraId="7EEB1D4B" w14:textId="77777777" w:rsidR="00657F84" w:rsidRPr="00F569AE" w:rsidRDefault="00657F84" w:rsidP="00657F84">
      <w:pPr>
        <w:spacing w:line="276" w:lineRule="auto"/>
        <w:rPr>
          <w:rFonts w:ascii="Calibri" w:hAnsi="Calibri" w:cs="Calibri"/>
          <w:lang w:val="en-US"/>
        </w:rPr>
      </w:pPr>
      <w:r w:rsidRPr="00F569AE">
        <w:rPr>
          <w:rFonts w:ascii="Calibri" w:hAnsi="Calibri" w:cs="Calibri"/>
          <w:lang w:val="en-US"/>
        </w:rPr>
        <w:t>d) Persons who used one-time financial assistance through the center for social work</w:t>
      </w:r>
    </w:p>
    <w:p w14:paraId="1CCFC720" w14:textId="77777777" w:rsidR="00657F84" w:rsidRPr="00F569AE" w:rsidRDefault="00657F84" w:rsidP="00657F84">
      <w:pPr>
        <w:spacing w:line="276" w:lineRule="auto"/>
        <w:rPr>
          <w:rFonts w:ascii="Calibri" w:hAnsi="Calibri" w:cs="Calibri"/>
          <w:lang w:val="en-US"/>
        </w:rPr>
      </w:pPr>
      <w:r w:rsidRPr="00F569AE">
        <w:rPr>
          <w:rFonts w:ascii="Calibri" w:hAnsi="Calibri" w:cs="Calibri"/>
          <w:lang w:val="en-US"/>
        </w:rPr>
        <w:t>In addition to the above, citizens are also consulted and involved in the monitoring of the PSA as per Mayors’ Decision on the appointment of a commission for monitoring and implementation of PSA and the provision of public water services in the territory of the municipality of Srbac</w:t>
      </w:r>
      <w:r w:rsidRPr="00F569AE">
        <w:rPr>
          <w:rStyle w:val="FootnoteReference"/>
          <w:rFonts w:ascii="Calibri" w:eastAsiaTheme="majorEastAsia" w:hAnsi="Calibri" w:cs="Calibri"/>
          <w:lang w:val="en-US"/>
        </w:rPr>
        <w:footnoteReference w:id="68"/>
      </w:r>
      <w:r w:rsidRPr="00F569AE">
        <w:rPr>
          <w:rFonts w:ascii="Calibri" w:hAnsi="Calibri" w:cs="Calibri"/>
          <w:lang w:val="en-US"/>
        </w:rPr>
        <w:t>.</w:t>
      </w:r>
    </w:p>
    <w:p w14:paraId="5BA2F7D6" w14:textId="77777777" w:rsidR="00BF0E0B" w:rsidRPr="00F569AE" w:rsidRDefault="00BF0E0B" w:rsidP="00657F84">
      <w:pPr>
        <w:spacing w:line="276" w:lineRule="auto"/>
        <w:rPr>
          <w:rFonts w:ascii="Calibri" w:hAnsi="Calibri" w:cs="Calibri"/>
          <w:b/>
          <w:u w:val="single"/>
          <w:lang w:val="en-US"/>
        </w:rPr>
      </w:pPr>
    </w:p>
    <w:p w14:paraId="3254CBEA" w14:textId="174ECC2A" w:rsidR="00BF0E0B" w:rsidRPr="00F569AE" w:rsidRDefault="00BF0E0B" w:rsidP="00657F84">
      <w:pPr>
        <w:spacing w:line="276" w:lineRule="auto"/>
        <w:rPr>
          <w:rFonts w:ascii="Calibri" w:hAnsi="Calibri" w:cs="Calibri"/>
          <w:b/>
          <w:sz w:val="28"/>
          <w:szCs w:val="28"/>
          <w:lang w:val="en-US"/>
        </w:rPr>
      </w:pPr>
      <w:r w:rsidRPr="00F569AE">
        <w:rPr>
          <w:rFonts w:ascii="Calibri" w:hAnsi="Calibri" w:cs="Calibri"/>
          <w:b/>
          <w:sz w:val="28"/>
          <w:szCs w:val="28"/>
          <w:lang w:val="en-US"/>
        </w:rPr>
        <w:t>ANALYTICAL PART</w:t>
      </w:r>
    </w:p>
    <w:p w14:paraId="09679714" w14:textId="77777777" w:rsidR="00BF0E0B" w:rsidRPr="00F569AE" w:rsidRDefault="00BF0E0B" w:rsidP="00657F84">
      <w:pPr>
        <w:spacing w:line="276" w:lineRule="auto"/>
        <w:rPr>
          <w:rFonts w:ascii="Calibri" w:hAnsi="Calibri" w:cs="Calibri"/>
          <w:b/>
          <w:sz w:val="28"/>
          <w:szCs w:val="28"/>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BF0E0B" w:rsidRPr="00F569AE" w14:paraId="1B2F7924" w14:textId="77777777" w:rsidTr="00BF0E0B">
        <w:tc>
          <w:tcPr>
            <w:tcW w:w="9010" w:type="dxa"/>
            <w:shd w:val="clear" w:color="auto" w:fill="F2F2F2" w:themeFill="background1" w:themeFillShade="F2"/>
          </w:tcPr>
          <w:p w14:paraId="66D52D15" w14:textId="7643C37D" w:rsidR="00BF0E0B" w:rsidRPr="00F569AE" w:rsidRDefault="00BF0E0B" w:rsidP="00657F84">
            <w:pPr>
              <w:spacing w:line="276" w:lineRule="auto"/>
              <w:rPr>
                <w:rFonts w:ascii="Calibri" w:hAnsi="Calibri" w:cs="Calibri"/>
                <w:lang w:val="en-US"/>
              </w:rPr>
            </w:pPr>
            <w:r w:rsidRPr="00F569AE">
              <w:rPr>
                <w:rFonts w:ascii="Calibri" w:hAnsi="Calibri" w:cs="Calibri"/>
                <w:b/>
                <w:lang w:val="en-US"/>
              </w:rPr>
              <w:t>I.  Does PSA allow effective governing of the water sector and why?</w:t>
            </w:r>
          </w:p>
        </w:tc>
      </w:tr>
    </w:tbl>
    <w:p w14:paraId="4BBDC5AC" w14:textId="77777777" w:rsidR="00657F84" w:rsidRPr="00F569AE" w:rsidRDefault="00657F84" w:rsidP="00657F84">
      <w:pPr>
        <w:spacing w:line="276" w:lineRule="auto"/>
        <w:jc w:val="both"/>
        <w:rPr>
          <w:rFonts w:ascii="Calibri" w:hAnsi="Calibri" w:cs="Calibri"/>
          <w:lang w:val="en-US"/>
        </w:rPr>
      </w:pPr>
      <w:r w:rsidRPr="00F569AE">
        <w:rPr>
          <w:rFonts w:ascii="Calibri" w:hAnsi="Calibri" w:cs="Calibri"/>
          <w:lang w:val="en-US"/>
        </w:rPr>
        <w:t xml:space="preserve">Deputy Mayor (MEG Coordinator) and Director of WUC emphasized that PSA Agreement between LG and WUC is functioning well and allows effective governing of the water sector because it supports pricing in line with the methodology, initiated subsidizing vulnerable categories of the municipal population, initiated optimization of WUC’s workforce, better monitoring of receivables, establishment of cost centers within WUC for better costs management, regular monitoring and annual reporting, etc. The PSA generally helped to improve relations between the municipality and WUC, assisted WUC to improve management and planning practices and operations in general, and strengthened capacities of both municipality of Srbac and WUC in the area of water supply and waste water treatment to better meet the needs of users/citizens in the municipality of Srbac. </w:t>
      </w:r>
    </w:p>
    <w:p w14:paraId="079045B4" w14:textId="77777777" w:rsidR="00BF0E0B" w:rsidRPr="00F569AE" w:rsidRDefault="00BF0E0B" w:rsidP="00657F84">
      <w:pPr>
        <w:spacing w:line="276" w:lineRule="auto"/>
        <w:jc w:val="both"/>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BF0E0B" w:rsidRPr="00F569AE" w14:paraId="442C82C8" w14:textId="77777777" w:rsidTr="00BF0E0B">
        <w:tc>
          <w:tcPr>
            <w:tcW w:w="9010" w:type="dxa"/>
            <w:shd w:val="clear" w:color="auto" w:fill="F2F2F2" w:themeFill="background1" w:themeFillShade="F2"/>
          </w:tcPr>
          <w:p w14:paraId="3E0E42FC" w14:textId="5529D098" w:rsidR="00BF0E0B" w:rsidRPr="00F569AE" w:rsidRDefault="00BF0E0B" w:rsidP="00BF0E0B">
            <w:pPr>
              <w:spacing w:line="276" w:lineRule="auto"/>
              <w:rPr>
                <w:rFonts w:ascii="Calibri" w:hAnsi="Calibri" w:cs="Calibri"/>
                <w:b/>
                <w:lang w:val="en-US"/>
              </w:rPr>
            </w:pPr>
            <w:r w:rsidRPr="00F569AE">
              <w:rPr>
                <w:rFonts w:ascii="Calibri" w:hAnsi="Calibri" w:cs="Calibri"/>
                <w:b/>
                <w:lang w:val="en-US"/>
              </w:rPr>
              <w:t>II. What is missing in content or process of PSA</w:t>
            </w:r>
          </w:p>
        </w:tc>
      </w:tr>
    </w:tbl>
    <w:p w14:paraId="40357BA1" w14:textId="77777777" w:rsidR="00657F84" w:rsidRPr="00F569AE" w:rsidRDefault="00657F84" w:rsidP="00657F84">
      <w:pPr>
        <w:spacing w:line="276" w:lineRule="auto"/>
        <w:rPr>
          <w:rFonts w:ascii="Calibri" w:hAnsi="Calibri" w:cs="Calibri"/>
          <w:lang w:val="en-US"/>
        </w:rPr>
      </w:pPr>
      <w:r w:rsidRPr="00F569AE">
        <w:rPr>
          <w:rFonts w:ascii="Calibri" w:hAnsi="Calibri" w:cs="Calibri"/>
          <w:lang w:val="en-US"/>
        </w:rPr>
        <w:t xml:space="preserve">According to MEG coordinator and WUC Director the content of the signed PSA effectively covers all relevant elements with relation to water supply and wastewater services of the municipality of Srbac. </w:t>
      </w:r>
    </w:p>
    <w:p w14:paraId="5ED49ADD" w14:textId="77777777" w:rsidR="00657F84" w:rsidRPr="00F569AE" w:rsidRDefault="00657F84" w:rsidP="00657F84">
      <w:pPr>
        <w:spacing w:line="276" w:lineRule="auto"/>
        <w:rPr>
          <w:rFonts w:ascii="Calibri" w:hAnsi="Calibri" w:cs="Calibri"/>
          <w:lang w:val="en-US"/>
        </w:rPr>
      </w:pPr>
      <w:r w:rsidRPr="00F569AE">
        <w:rPr>
          <w:rFonts w:ascii="Calibri" w:hAnsi="Calibri" w:cs="Calibri"/>
          <w:lang w:val="en-US"/>
        </w:rPr>
        <w:t xml:space="preserve">Deficiencies in the content or process of PSA could not be identified. </w:t>
      </w:r>
    </w:p>
    <w:p w14:paraId="2FEE5FBB" w14:textId="77777777" w:rsidR="00BF0E0B" w:rsidRPr="00F569AE" w:rsidRDefault="00BF0E0B" w:rsidP="00657F84">
      <w:pPr>
        <w:spacing w:line="276" w:lineRule="auto"/>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BF0E0B" w:rsidRPr="00F569AE" w14:paraId="459F6702" w14:textId="77777777" w:rsidTr="00BF0E0B">
        <w:tc>
          <w:tcPr>
            <w:tcW w:w="9010" w:type="dxa"/>
            <w:shd w:val="clear" w:color="auto" w:fill="F2F2F2" w:themeFill="background1" w:themeFillShade="F2"/>
          </w:tcPr>
          <w:p w14:paraId="3EC5CEE8" w14:textId="199CD1D2" w:rsidR="00BF0E0B" w:rsidRPr="00F569AE" w:rsidRDefault="00BF0E0B" w:rsidP="00657F84">
            <w:pPr>
              <w:spacing w:line="276" w:lineRule="auto"/>
              <w:rPr>
                <w:rFonts w:ascii="Calibri" w:hAnsi="Calibri" w:cs="Calibri"/>
                <w:b/>
                <w:lang w:val="en-US"/>
              </w:rPr>
            </w:pPr>
            <w:r w:rsidRPr="00F569AE">
              <w:rPr>
                <w:rFonts w:ascii="Calibri" w:hAnsi="Calibri" w:cs="Calibri"/>
                <w:b/>
                <w:lang w:val="en-US"/>
              </w:rPr>
              <w:t>III. What changes in water / wastewater sector management does PSA trigger and why?</w:t>
            </w:r>
          </w:p>
        </w:tc>
      </w:tr>
    </w:tbl>
    <w:p w14:paraId="2266AEEE" w14:textId="77777777" w:rsidR="00657F84" w:rsidRPr="00F569AE" w:rsidRDefault="00657F84" w:rsidP="00657F84">
      <w:pPr>
        <w:spacing w:line="276" w:lineRule="auto"/>
        <w:rPr>
          <w:rFonts w:ascii="Calibri" w:hAnsi="Calibri" w:cs="Calibri"/>
          <w:lang w:val="en-US"/>
        </w:rPr>
      </w:pPr>
      <w:r w:rsidRPr="00F569AE">
        <w:rPr>
          <w:rFonts w:ascii="Calibri" w:hAnsi="Calibri" w:cs="Calibri"/>
          <w:lang w:val="en-US"/>
        </w:rPr>
        <w:t xml:space="preserve">PSA triggered the following changes in water/waste water sector management: </w:t>
      </w:r>
    </w:p>
    <w:p w14:paraId="5851B31B" w14:textId="77777777" w:rsidR="00657F84" w:rsidRPr="00F569AE" w:rsidRDefault="00657F84" w:rsidP="0033780B">
      <w:pPr>
        <w:pStyle w:val="ListParagraph"/>
        <w:numPr>
          <w:ilvl w:val="0"/>
          <w:numId w:val="26"/>
        </w:numPr>
        <w:spacing w:after="200" w:line="276" w:lineRule="auto"/>
        <w:rPr>
          <w:rFonts w:ascii="Calibri" w:hAnsi="Calibri" w:cs="Calibri"/>
        </w:rPr>
      </w:pPr>
      <w:r w:rsidRPr="00F569AE">
        <w:rPr>
          <w:rFonts w:ascii="Calibri" w:hAnsi="Calibri" w:cs="Calibri"/>
        </w:rPr>
        <w:t xml:space="preserve">Clearly defined relations, rights and obligations between the municipality and WUC, </w:t>
      </w:r>
    </w:p>
    <w:p w14:paraId="5150FA0F" w14:textId="77777777" w:rsidR="00657F84" w:rsidRPr="00F569AE" w:rsidRDefault="00657F84" w:rsidP="0033780B">
      <w:pPr>
        <w:pStyle w:val="ListParagraph"/>
        <w:numPr>
          <w:ilvl w:val="0"/>
          <w:numId w:val="26"/>
        </w:numPr>
        <w:spacing w:after="200" w:line="276" w:lineRule="auto"/>
        <w:rPr>
          <w:rFonts w:ascii="Calibri" w:hAnsi="Calibri" w:cs="Calibri"/>
        </w:rPr>
      </w:pPr>
      <w:r w:rsidRPr="00F569AE">
        <w:rPr>
          <w:rFonts w:ascii="Calibri" w:hAnsi="Calibri" w:cs="Calibri"/>
        </w:rPr>
        <w:t>Improved water services and waste water treatment for users in the municipality of Srbac  through technical assistance to WUC to improve management practices and operational efficiency of the provision of public water services,</w:t>
      </w:r>
    </w:p>
    <w:p w14:paraId="2A95F6D4" w14:textId="77777777" w:rsidR="00657F84" w:rsidRPr="00F569AE" w:rsidRDefault="00657F84" w:rsidP="0033780B">
      <w:pPr>
        <w:pStyle w:val="ListParagraph"/>
        <w:numPr>
          <w:ilvl w:val="0"/>
          <w:numId w:val="26"/>
        </w:numPr>
        <w:spacing w:after="200" w:line="276" w:lineRule="auto"/>
        <w:rPr>
          <w:rFonts w:ascii="Calibri" w:hAnsi="Calibri" w:cs="Calibri"/>
        </w:rPr>
      </w:pPr>
      <w:r w:rsidRPr="00F569AE">
        <w:rPr>
          <w:rFonts w:ascii="Calibri" w:hAnsi="Calibri" w:cs="Calibri"/>
        </w:rPr>
        <w:t>Initiated operational and financial independence of WUC through the application of the methodology for determining the lowest price and pricing policy for water services according to the principles of sustainable development, i.e. self-sustainability of the public water service system,</w:t>
      </w:r>
    </w:p>
    <w:p w14:paraId="562AF3A3" w14:textId="77777777" w:rsidR="00657F84" w:rsidRPr="00F569AE" w:rsidRDefault="00657F84" w:rsidP="0033780B">
      <w:pPr>
        <w:pStyle w:val="ListParagraph"/>
        <w:numPr>
          <w:ilvl w:val="0"/>
          <w:numId w:val="26"/>
        </w:numPr>
        <w:spacing w:after="200" w:line="276" w:lineRule="auto"/>
        <w:rPr>
          <w:rFonts w:ascii="Calibri" w:hAnsi="Calibri" w:cs="Calibri"/>
        </w:rPr>
      </w:pPr>
      <w:r w:rsidRPr="00F569AE">
        <w:rPr>
          <w:rFonts w:ascii="Calibri" w:hAnsi="Calibri" w:cs="Calibri"/>
        </w:rPr>
        <w:lastRenderedPageBreak/>
        <w:t>Provision of financial resources for subsidizing the costs of providing public water services to certain categories of socially vulnerable population,</w:t>
      </w:r>
    </w:p>
    <w:p w14:paraId="48D19F23" w14:textId="7F165A92" w:rsidR="00657F84" w:rsidRPr="00F569AE" w:rsidRDefault="00657F84" w:rsidP="0033780B">
      <w:pPr>
        <w:pStyle w:val="ListParagraph"/>
        <w:numPr>
          <w:ilvl w:val="0"/>
          <w:numId w:val="26"/>
        </w:numPr>
        <w:spacing w:after="200" w:line="276" w:lineRule="auto"/>
        <w:rPr>
          <w:rFonts w:ascii="Calibri" w:hAnsi="Calibri" w:cs="Calibri"/>
        </w:rPr>
      </w:pPr>
      <w:r w:rsidRPr="00F569AE">
        <w:rPr>
          <w:rFonts w:ascii="Calibri" w:hAnsi="Calibri" w:cs="Calibri"/>
        </w:rPr>
        <w:t xml:space="preserve">Constant monitoring of the provision of public water services through the </w:t>
      </w:r>
      <w:r w:rsidR="00A4316F" w:rsidRPr="00F569AE">
        <w:rPr>
          <w:rFonts w:ascii="Calibri" w:hAnsi="Calibri" w:cs="Calibri"/>
        </w:rPr>
        <w:t xml:space="preserve"> </w:t>
      </w:r>
      <w:r w:rsidR="00B365E8" w:rsidRPr="00F569AE">
        <w:rPr>
          <w:rFonts w:ascii="Calibri" w:hAnsi="Calibri" w:cs="Calibri"/>
        </w:rPr>
        <w:t>established</w:t>
      </w:r>
      <w:r w:rsidRPr="00F569AE">
        <w:rPr>
          <w:rFonts w:ascii="Calibri" w:hAnsi="Calibri" w:cs="Calibri"/>
        </w:rPr>
        <w:t xml:space="preserve"> commission for monitoring and implementation of PSA, including annual reporting ,</w:t>
      </w:r>
    </w:p>
    <w:p w14:paraId="2CD2E346" w14:textId="77777777" w:rsidR="00657F84" w:rsidRPr="00F569AE" w:rsidRDefault="00657F84" w:rsidP="0033780B">
      <w:pPr>
        <w:pStyle w:val="ListParagraph"/>
        <w:numPr>
          <w:ilvl w:val="0"/>
          <w:numId w:val="26"/>
        </w:numPr>
        <w:spacing w:after="200" w:line="276" w:lineRule="auto"/>
        <w:rPr>
          <w:rFonts w:ascii="Calibri" w:hAnsi="Calibri" w:cs="Calibri"/>
        </w:rPr>
      </w:pPr>
      <w:r w:rsidRPr="00F569AE">
        <w:rPr>
          <w:rFonts w:ascii="Calibri" w:hAnsi="Calibri" w:cs="Calibri"/>
        </w:rPr>
        <w:t xml:space="preserve">Constant cooperation and joint work of the municipality and WUC in ensuring the good quality of public water services, </w:t>
      </w:r>
    </w:p>
    <w:p w14:paraId="3165BAF0" w14:textId="77777777" w:rsidR="00657F84" w:rsidRPr="00F569AE" w:rsidRDefault="00657F84" w:rsidP="0033780B">
      <w:pPr>
        <w:pStyle w:val="ListParagraph"/>
        <w:numPr>
          <w:ilvl w:val="0"/>
          <w:numId w:val="26"/>
        </w:numPr>
        <w:spacing w:after="200" w:line="276" w:lineRule="auto"/>
        <w:rPr>
          <w:rFonts w:ascii="Calibri" w:hAnsi="Calibri" w:cs="Calibri"/>
        </w:rPr>
      </w:pPr>
      <w:r w:rsidRPr="00F569AE">
        <w:rPr>
          <w:rFonts w:ascii="Calibri" w:hAnsi="Calibri" w:cs="Calibri"/>
        </w:rPr>
        <w:t xml:space="preserve">Initiated optimization of WUC workforce, </w:t>
      </w:r>
    </w:p>
    <w:p w14:paraId="26C1601B" w14:textId="77777777" w:rsidR="00657F84" w:rsidRPr="00F569AE" w:rsidRDefault="00657F84" w:rsidP="0033780B">
      <w:pPr>
        <w:pStyle w:val="ListParagraph"/>
        <w:numPr>
          <w:ilvl w:val="0"/>
          <w:numId w:val="26"/>
        </w:numPr>
        <w:spacing w:after="200" w:line="276" w:lineRule="auto"/>
        <w:rPr>
          <w:rFonts w:ascii="Calibri" w:hAnsi="Calibri" w:cs="Calibri"/>
        </w:rPr>
      </w:pPr>
      <w:r w:rsidRPr="00F569AE">
        <w:rPr>
          <w:rFonts w:ascii="Calibri" w:hAnsi="Calibri" w:cs="Calibri"/>
        </w:rPr>
        <w:t xml:space="preserve">Initited better monitoring of WUC's receivables, </w:t>
      </w:r>
    </w:p>
    <w:p w14:paraId="6390BA42" w14:textId="179D9C16" w:rsidR="00657F84" w:rsidRPr="00F569AE" w:rsidRDefault="00657F84" w:rsidP="0033780B">
      <w:pPr>
        <w:pStyle w:val="ListParagraph"/>
        <w:numPr>
          <w:ilvl w:val="0"/>
          <w:numId w:val="26"/>
        </w:numPr>
        <w:spacing w:after="200" w:line="276" w:lineRule="auto"/>
        <w:rPr>
          <w:rFonts w:ascii="Calibri" w:hAnsi="Calibri" w:cs="Calibri"/>
        </w:rPr>
      </w:pPr>
      <w:r w:rsidRPr="00F569AE">
        <w:rPr>
          <w:rFonts w:ascii="Calibri" w:hAnsi="Calibri" w:cs="Calibri"/>
        </w:rPr>
        <w:t xml:space="preserve">Establishment of cost </w:t>
      </w:r>
      <w:r w:rsidR="00A4316F" w:rsidRPr="00F569AE">
        <w:rPr>
          <w:rFonts w:ascii="Calibri" w:hAnsi="Calibri" w:cs="Calibri"/>
        </w:rPr>
        <w:t xml:space="preserve"> centers</w:t>
      </w:r>
      <w:r w:rsidRPr="00F569AE">
        <w:rPr>
          <w:rFonts w:ascii="Calibri" w:hAnsi="Calibri" w:cs="Calibri"/>
        </w:rPr>
        <w:t xml:space="preserve"> within WUC for better costs management, etc. </w:t>
      </w:r>
    </w:p>
    <w:p w14:paraId="424656A2" w14:textId="77777777" w:rsidR="00657F84" w:rsidRPr="00F569AE" w:rsidRDefault="00657F84" w:rsidP="00657F84">
      <w:pPr>
        <w:pStyle w:val="ListParagraph"/>
        <w:spacing w:line="276" w:lineRule="auto"/>
        <w:rPr>
          <w:rFonts w:ascii="Calibri" w:hAnsi="Calibri" w:cs="Calibri"/>
        </w:rPr>
      </w:pPr>
    </w:p>
    <w:p w14:paraId="1F766AD5" w14:textId="17394813" w:rsidR="00657F84" w:rsidRPr="00F569AE" w:rsidRDefault="00657F84" w:rsidP="00657F84">
      <w:pPr>
        <w:spacing w:line="276" w:lineRule="auto"/>
        <w:jc w:val="both"/>
        <w:rPr>
          <w:rFonts w:ascii="Calibri" w:hAnsi="Calibri" w:cs="Calibri"/>
          <w:lang w:val="en-US"/>
        </w:rPr>
      </w:pPr>
      <w:r w:rsidRPr="00F569AE">
        <w:rPr>
          <w:rFonts w:ascii="Calibri" w:hAnsi="Calibri" w:cs="Calibri"/>
          <w:lang w:val="en-US"/>
        </w:rPr>
        <w:t xml:space="preserve"> PSA has also triggered property registration with the ultimate goal of property transfer from </w:t>
      </w:r>
      <w:r w:rsidR="0041131B" w:rsidRPr="00F569AE">
        <w:rPr>
          <w:rFonts w:ascii="Calibri" w:hAnsi="Calibri" w:cs="Calibri"/>
          <w:lang w:val="en-US"/>
        </w:rPr>
        <w:t xml:space="preserve"> municipality</w:t>
      </w:r>
      <w:r w:rsidRPr="00F569AE">
        <w:rPr>
          <w:rFonts w:ascii="Calibri" w:hAnsi="Calibri" w:cs="Calibri"/>
          <w:lang w:val="en-US"/>
        </w:rPr>
        <w:t xml:space="preserve"> to WUC, or the other way around.  Both municipality of Srbac and WUC are concerned about this topic as they are not sure what the best solution would be. In communication with other municipalities, it is felt that this is a joint problem for RS municipalities due WUC’s ownership structure as share holding companies that further complicate issues with property transfer, and possible requires huge funds to buy-off small shareholders before property transfer. Additionally, the solution to transfer property to WUC would lead the company straight to the loss, and ultimately bankruptcy due to high depreciation costs. It is felt that this topic needs to be considered in great details by wider group of stakeholders in order to find the best possible solution.</w:t>
      </w:r>
    </w:p>
    <w:p w14:paraId="1CED2906" w14:textId="77777777" w:rsidR="00657F84" w:rsidRPr="00F569AE" w:rsidRDefault="00657F84" w:rsidP="00657F84">
      <w:pPr>
        <w:spacing w:line="276" w:lineRule="auto"/>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BF0E0B" w:rsidRPr="00F569AE" w14:paraId="1645ED4E" w14:textId="77777777" w:rsidTr="00BF0E0B">
        <w:tc>
          <w:tcPr>
            <w:tcW w:w="9010" w:type="dxa"/>
            <w:shd w:val="clear" w:color="auto" w:fill="F2F2F2" w:themeFill="background1" w:themeFillShade="F2"/>
          </w:tcPr>
          <w:p w14:paraId="2EAF4DBC" w14:textId="2D0A4518" w:rsidR="00BF0E0B" w:rsidRPr="00F569AE" w:rsidRDefault="00BF0E0B" w:rsidP="00657F84">
            <w:pPr>
              <w:spacing w:line="276" w:lineRule="auto"/>
              <w:rPr>
                <w:rFonts w:ascii="Calibri" w:hAnsi="Calibri" w:cs="Calibri"/>
                <w:b/>
                <w:lang w:val="en-US"/>
              </w:rPr>
            </w:pPr>
            <w:r w:rsidRPr="00F569AE">
              <w:rPr>
                <w:rFonts w:ascii="Calibri" w:hAnsi="Calibri" w:cs="Calibri"/>
                <w:b/>
                <w:lang w:val="en-US"/>
              </w:rPr>
              <w:t>IV. What are the main lessons learned</w:t>
            </w:r>
          </w:p>
        </w:tc>
      </w:tr>
    </w:tbl>
    <w:p w14:paraId="5BA51DE7" w14:textId="7C68037C" w:rsidR="00657F84" w:rsidRPr="00BC0EF3" w:rsidRDefault="00657F84" w:rsidP="00BF0E0B">
      <w:pPr>
        <w:spacing w:after="200" w:line="276" w:lineRule="auto"/>
        <w:rPr>
          <w:rFonts w:ascii="Calibri" w:hAnsi="Calibri" w:cs="Calibri"/>
          <w:lang w:val="en-US"/>
        </w:rPr>
      </w:pPr>
      <w:r w:rsidRPr="00BC0EF3">
        <w:rPr>
          <w:rFonts w:ascii="Calibri" w:hAnsi="Calibri" w:cs="Calibri"/>
          <w:lang w:val="en-US"/>
        </w:rPr>
        <w:t xml:space="preserve">Property transfer between LG and WUC may hamper the process of full operational and financial independence of WUC in Srbac and all other municipalities in RS due to WUCs ownership structure as share holding companies;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9010"/>
      </w:tblGrid>
      <w:tr w:rsidR="00BF0E0B" w:rsidRPr="00F569AE" w14:paraId="0DF2598A" w14:textId="77777777" w:rsidTr="00BF0E0B">
        <w:tc>
          <w:tcPr>
            <w:tcW w:w="9010" w:type="dxa"/>
            <w:shd w:val="clear" w:color="auto" w:fill="F2F2F2" w:themeFill="background1" w:themeFillShade="F2"/>
          </w:tcPr>
          <w:p w14:paraId="079583EA" w14:textId="19B06880" w:rsidR="00BF0E0B" w:rsidRPr="00F569AE" w:rsidRDefault="00BF0E0B" w:rsidP="00BF0E0B">
            <w:pPr>
              <w:spacing w:line="276" w:lineRule="auto"/>
              <w:rPr>
                <w:rFonts w:ascii="Calibri" w:hAnsi="Calibri" w:cs="Calibri"/>
                <w:lang w:val="en-US"/>
              </w:rPr>
            </w:pPr>
            <w:r w:rsidRPr="00F569AE">
              <w:rPr>
                <w:rFonts w:ascii="Calibri" w:hAnsi="Calibri" w:cs="Calibri"/>
                <w:b/>
                <w:lang w:val="en-US"/>
              </w:rPr>
              <w:t>V. What are the main recommendations</w:t>
            </w:r>
          </w:p>
        </w:tc>
      </w:tr>
    </w:tbl>
    <w:p w14:paraId="480557D5" w14:textId="77777777" w:rsidR="00BF0E0B" w:rsidRPr="00BC0EF3" w:rsidRDefault="00BF0E0B" w:rsidP="00BF0E0B">
      <w:pPr>
        <w:spacing w:after="200" w:line="276" w:lineRule="auto"/>
        <w:rPr>
          <w:rFonts w:ascii="Calibri" w:hAnsi="Calibri" w:cs="Calibri"/>
          <w:lang w:val="en-US"/>
        </w:rPr>
      </w:pPr>
    </w:p>
    <w:p w14:paraId="097FF1B7" w14:textId="789B3548" w:rsidR="00657F84" w:rsidRPr="00F569AE" w:rsidRDefault="00657F84" w:rsidP="0033780B">
      <w:pPr>
        <w:pStyle w:val="ListParagraph"/>
        <w:numPr>
          <w:ilvl w:val="0"/>
          <w:numId w:val="24"/>
        </w:numPr>
        <w:spacing w:after="200" w:line="276" w:lineRule="auto"/>
        <w:rPr>
          <w:rFonts w:ascii="Calibri" w:hAnsi="Calibri" w:cs="Calibri"/>
        </w:rPr>
      </w:pPr>
      <w:r w:rsidRPr="00F569AE">
        <w:rPr>
          <w:rFonts w:ascii="Calibri" w:hAnsi="Calibri" w:cs="Calibri"/>
        </w:rPr>
        <w:t>Continue support in improving all WUC’s parameters (i.e. reducing network and operational losses, improving distribution, optimization of maintenance costs, improving receivables collection, optimizing No of employees, etc),</w:t>
      </w:r>
    </w:p>
    <w:p w14:paraId="0C68B08E" w14:textId="77777777" w:rsidR="00657F84" w:rsidRPr="00F569AE" w:rsidRDefault="00657F84" w:rsidP="0033780B">
      <w:pPr>
        <w:pStyle w:val="ListParagraph"/>
        <w:numPr>
          <w:ilvl w:val="0"/>
          <w:numId w:val="24"/>
        </w:numPr>
        <w:spacing w:after="200" w:line="276" w:lineRule="auto"/>
        <w:rPr>
          <w:rFonts w:ascii="Calibri" w:hAnsi="Calibri" w:cs="Calibri"/>
        </w:rPr>
      </w:pPr>
      <w:r w:rsidRPr="00F569AE">
        <w:rPr>
          <w:rFonts w:ascii="Calibri" w:hAnsi="Calibri" w:cs="Calibri"/>
        </w:rPr>
        <w:t>Support in the provision of equipment, i.e. distance water meters would produce immediate positive financial effects for WUC through increase of income,</w:t>
      </w:r>
    </w:p>
    <w:p w14:paraId="2749FE78" w14:textId="77777777" w:rsidR="00657F84" w:rsidRPr="00F569AE" w:rsidRDefault="00657F84" w:rsidP="0033780B">
      <w:pPr>
        <w:pStyle w:val="ListParagraph"/>
        <w:numPr>
          <w:ilvl w:val="0"/>
          <w:numId w:val="24"/>
        </w:numPr>
        <w:spacing w:after="160" w:line="276" w:lineRule="auto"/>
        <w:rPr>
          <w:rFonts w:ascii="Calibri" w:hAnsi="Calibri" w:cs="Calibri"/>
        </w:rPr>
      </w:pPr>
      <w:r w:rsidRPr="00F569AE">
        <w:rPr>
          <w:rFonts w:ascii="Calibri" w:hAnsi="Calibri" w:cs="Calibri"/>
        </w:rPr>
        <w:t>Provide technical assistance and support in defining the best way to reach 100% ownership of WUCs /best way to transfer the ownership,</w:t>
      </w:r>
    </w:p>
    <w:p w14:paraId="5CB414FD" w14:textId="77777777" w:rsidR="00657F84" w:rsidRPr="00F569AE" w:rsidRDefault="00657F84" w:rsidP="00657F84">
      <w:pPr>
        <w:pStyle w:val="ListParagraph"/>
        <w:spacing w:line="276" w:lineRule="auto"/>
        <w:rPr>
          <w:rFonts w:ascii="Calibri" w:hAnsi="Calibri" w:cs="Calibri"/>
        </w:rPr>
      </w:pPr>
    </w:p>
    <w:p w14:paraId="5D319692" w14:textId="77777777" w:rsidR="00916133" w:rsidRPr="00F569AE" w:rsidRDefault="00916133" w:rsidP="00085D9B">
      <w:pPr>
        <w:spacing w:after="160" w:line="276" w:lineRule="auto"/>
        <w:jc w:val="both"/>
        <w:rPr>
          <w:rFonts w:ascii="Calibri" w:eastAsia="Calibri" w:hAnsi="Calibri" w:cs="Calibri"/>
          <w:lang w:val="en-US"/>
        </w:rPr>
      </w:pPr>
    </w:p>
    <w:p w14:paraId="5D2FE409" w14:textId="77777777" w:rsidR="00916133" w:rsidRPr="00F569AE" w:rsidRDefault="00916133" w:rsidP="00085D9B">
      <w:pPr>
        <w:spacing w:after="160" w:line="276" w:lineRule="auto"/>
        <w:jc w:val="both"/>
        <w:rPr>
          <w:rFonts w:ascii="Calibri" w:eastAsia="Calibri" w:hAnsi="Calibri" w:cs="Calibri"/>
          <w:lang w:val="en-US"/>
        </w:rPr>
      </w:pPr>
    </w:p>
    <w:p w14:paraId="2AD0CB38" w14:textId="2FD16A07" w:rsidR="001D45CB" w:rsidRPr="00F569AE" w:rsidRDefault="00DA4C33" w:rsidP="001D45CB">
      <w:pPr>
        <w:pStyle w:val="Heading2"/>
        <w:rPr>
          <w:rFonts w:ascii="Calibri" w:hAnsi="Calibri" w:cs="Calibri"/>
          <w:i/>
        </w:rPr>
      </w:pPr>
      <w:bookmarkStart w:id="222" w:name="_Toc210058545"/>
      <w:r w:rsidRPr="00F569AE">
        <w:rPr>
          <w:rFonts w:ascii="Calibri" w:hAnsi="Calibri" w:cs="Calibri"/>
          <w:i/>
        </w:rPr>
        <w:lastRenderedPageBreak/>
        <w:t xml:space="preserve">Annex </w:t>
      </w:r>
      <w:r w:rsidR="001D45CB" w:rsidRPr="00F569AE">
        <w:rPr>
          <w:rFonts w:ascii="Calibri" w:hAnsi="Calibri" w:cs="Calibri"/>
          <w:i/>
        </w:rPr>
        <w:t>10</w:t>
      </w:r>
      <w:r w:rsidRPr="00F569AE">
        <w:rPr>
          <w:rFonts w:ascii="Calibri" w:hAnsi="Calibri" w:cs="Calibri"/>
          <w:i/>
        </w:rPr>
        <w:t xml:space="preserve">:  </w:t>
      </w:r>
      <w:r w:rsidR="001D45CB" w:rsidRPr="00F569AE">
        <w:rPr>
          <w:rFonts w:ascii="Calibri" w:hAnsi="Calibri" w:cs="Calibri"/>
          <w:i/>
        </w:rPr>
        <w:t>Pledge of Ethical code of conduct</w:t>
      </w:r>
      <w:bookmarkEnd w:id="222"/>
    </w:p>
    <w:p w14:paraId="2710EBE0" w14:textId="77777777" w:rsidR="001D45CB" w:rsidRPr="00F569AE" w:rsidRDefault="001D45CB" w:rsidP="001D45CB">
      <w:pPr>
        <w:spacing w:after="160" w:line="276" w:lineRule="auto"/>
        <w:jc w:val="both"/>
        <w:rPr>
          <w:rFonts w:ascii="Calibri" w:eastAsia="Calibri" w:hAnsi="Calibri" w:cs="Calibri"/>
          <w:lang w:val="en-US"/>
        </w:rPr>
      </w:pPr>
      <w:r w:rsidRPr="00F569AE">
        <w:rPr>
          <w:rFonts w:ascii="Calibri" w:eastAsia="Calibri" w:hAnsi="Calibri" w:cs="Calibri"/>
          <w:lang w:val="en-US"/>
        </w:rPr>
        <w:t xml:space="preserve">The evaluation will fully adhere to UNEG Norms and Standards for Evaluation and UNEG Ethical Code of Conduct. The evaluation’s value-added builds on its impartial and systematic assessment of the MEGII project and EU4MEG action and involvement of stakeholders should not interfere with the impartiality of the evaluation. The evaluators have the final judgement on the findings, conclusions and recommendations of the evaluation report, and the evaluators must be protected from pressures to change information in the report.  It is important to note that if in the course of the evaluation process at any stage the evaluators identify issues of wrongdoing, fraud or other unethical conduct, UN procedures must be followed, and confidentiality be maintained.  </w:t>
      </w:r>
    </w:p>
    <w:p w14:paraId="4F35C39F" w14:textId="77777777" w:rsidR="001D45CB" w:rsidRPr="00F569AE" w:rsidRDefault="001D45CB" w:rsidP="001D45CB">
      <w:pPr>
        <w:spacing w:after="160" w:line="276" w:lineRule="auto"/>
        <w:jc w:val="both"/>
        <w:rPr>
          <w:rFonts w:ascii="Calibri" w:eastAsia="Calibri" w:hAnsi="Calibri" w:cs="Calibri"/>
          <w:lang w:val="en-US"/>
        </w:rPr>
      </w:pPr>
      <w:r w:rsidRPr="00F569AE">
        <w:rPr>
          <w:rFonts w:ascii="Calibri" w:eastAsia="Calibri" w:hAnsi="Calibri" w:cs="Calibri"/>
          <w:lang w:val="en-US"/>
        </w:rPr>
        <w:t>The evaluators will obtain informed consent to participate in the evaluation activities prior to engaging in data collection. The evaluation team members will read the statement of intent of the evaluation and request the individual to express their willingness to participate or not prior to initiating the discussion or interview in English and Bosnian.</w:t>
      </w:r>
    </w:p>
    <w:p w14:paraId="5C9E7D08" w14:textId="77777777" w:rsidR="001D45CB" w:rsidRPr="00F569AE" w:rsidRDefault="001D45CB" w:rsidP="001D45CB">
      <w:pPr>
        <w:spacing w:after="160" w:line="276" w:lineRule="auto"/>
        <w:jc w:val="both"/>
        <w:rPr>
          <w:rFonts w:ascii="Calibri" w:eastAsia="Calibri" w:hAnsi="Calibri" w:cs="Calibri"/>
          <w:lang w:val="en-US"/>
        </w:rPr>
      </w:pPr>
      <w:r w:rsidRPr="00F569AE">
        <w:rPr>
          <w:rFonts w:ascii="Calibri" w:eastAsia="Calibri" w:hAnsi="Calibri" w:cs="Calibri"/>
          <w:lang w:val="en-US"/>
        </w:rPr>
        <w:t>All data collected through this evaluation in line with the UNEG evaluation norms and standards will receive due attention to ensure their confidentiality, integrity and be protected against any unauthorized usage, access, modification, destruction, disclosure, loss or transfer of data, whether accidental or intentional.</w:t>
      </w:r>
    </w:p>
    <w:p w14:paraId="52745FF7" w14:textId="1188F1CA" w:rsidR="00591995" w:rsidRPr="00F569AE" w:rsidRDefault="001D45CB" w:rsidP="00916133">
      <w:pPr>
        <w:spacing w:after="160" w:line="276" w:lineRule="auto"/>
        <w:jc w:val="both"/>
        <w:rPr>
          <w:rFonts w:ascii="Calibri" w:eastAsia="Calibri" w:hAnsi="Calibri" w:cs="Calibri"/>
          <w:lang w:val="en-US"/>
        </w:rPr>
      </w:pPr>
      <w:r w:rsidRPr="00F569AE">
        <w:rPr>
          <w:rFonts w:ascii="Calibri" w:eastAsia="Calibri" w:hAnsi="Calibri" w:cs="Calibri"/>
          <w:lang w:val="en-US"/>
        </w:rPr>
        <w:t>Confidentiality of information obtained will be ensured through ensuring the actual names of participants are not included in the report. When organizing the discussions with stakeholders engaged in the project or impacted by its implementation, the participants will be requested to avoid sharing details regarding their/other participants outside of the space.</w:t>
      </w:r>
    </w:p>
    <w:p w14:paraId="6AE31A78" w14:textId="77777777" w:rsidR="00591995" w:rsidRPr="00F569AE" w:rsidRDefault="00591995" w:rsidP="00591995">
      <w:pPr>
        <w:rPr>
          <w:rFonts w:eastAsia="Helvetica"/>
          <w:highlight w:val="yellow"/>
          <w:lang w:val="en-US"/>
        </w:rPr>
      </w:pPr>
    </w:p>
    <w:p w14:paraId="04DA73BD" w14:textId="77777777" w:rsidR="00591995" w:rsidRPr="00F569AE" w:rsidRDefault="00591995" w:rsidP="00591995">
      <w:pPr>
        <w:pStyle w:val="Heading2"/>
        <w:rPr>
          <w:rFonts w:ascii="Calibri" w:hAnsi="Calibri" w:cs="Calibri"/>
          <w:i/>
        </w:rPr>
      </w:pPr>
      <w:bookmarkStart w:id="223" w:name="_Toc210058546"/>
      <w:r w:rsidRPr="00F569AE">
        <w:rPr>
          <w:rFonts w:ascii="Calibri" w:hAnsi="Calibri" w:cs="Calibri"/>
          <w:i/>
        </w:rPr>
        <w:t>Annex 11: Inception report</w:t>
      </w:r>
      <w:bookmarkEnd w:id="223"/>
      <w:r w:rsidRPr="00F569AE">
        <w:rPr>
          <w:rFonts w:ascii="Calibri" w:hAnsi="Calibri" w:cs="Calibri"/>
          <w:i/>
        </w:rPr>
        <w:t xml:space="preserve"> </w:t>
      </w:r>
    </w:p>
    <w:p w14:paraId="72E6CDC8" w14:textId="77777777" w:rsidR="001E1628" w:rsidRPr="00F569AE" w:rsidRDefault="001E1628" w:rsidP="001E1628">
      <w:pPr>
        <w:rPr>
          <w:rFonts w:eastAsia="Helvetica"/>
          <w:lang w:val="en-US"/>
        </w:rPr>
      </w:pPr>
    </w:p>
    <w:p w14:paraId="5528394C" w14:textId="32CDD5D0" w:rsidR="001E1628" w:rsidRPr="00F569AE" w:rsidRDefault="007E73F5" w:rsidP="001E1628">
      <w:pPr>
        <w:rPr>
          <w:rFonts w:eastAsia="Helvetica"/>
          <w:lang w:val="en-US"/>
        </w:rPr>
      </w:pPr>
      <w:bookmarkStart w:id="224" w:name="_MON_1815224404"/>
      <w:bookmarkEnd w:id="224"/>
      <w:r w:rsidRPr="007E73F5">
        <w:rPr>
          <w:rFonts w:eastAsia="Helvetica"/>
          <w:noProof/>
          <w:lang w:val="en-US"/>
          <w14:ligatures w14:val="standardContextual"/>
        </w:rPr>
        <w:pict w14:anchorId="54FE47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7pt;height:47.4pt;mso-width-percent:0;mso-height-percent:0;mso-width-percent:0;mso-height-percent:0">
            <v:imagedata r:id="rId174" o:title=""/>
          </v:shape>
        </w:pict>
      </w:r>
    </w:p>
    <w:p w14:paraId="23D47E3C" w14:textId="77777777" w:rsidR="00916133" w:rsidRPr="00F569AE" w:rsidRDefault="00916133" w:rsidP="001E1628">
      <w:pPr>
        <w:rPr>
          <w:rFonts w:eastAsia="Helvetica"/>
          <w:lang w:val="en-US"/>
        </w:rPr>
      </w:pPr>
    </w:p>
    <w:p w14:paraId="37AAD0A9" w14:textId="77777777" w:rsidR="00916133" w:rsidRPr="00F569AE" w:rsidRDefault="00916133" w:rsidP="001E1628">
      <w:pPr>
        <w:rPr>
          <w:rFonts w:eastAsia="Helvetica"/>
          <w:lang w:val="en-US"/>
        </w:rPr>
      </w:pPr>
    </w:p>
    <w:p w14:paraId="4F26FE5D" w14:textId="77777777" w:rsidR="00916133" w:rsidRPr="00F569AE" w:rsidRDefault="00916133" w:rsidP="001E1628">
      <w:pPr>
        <w:rPr>
          <w:rFonts w:eastAsia="Helvetica"/>
          <w:lang w:val="en-US"/>
        </w:rPr>
      </w:pPr>
    </w:p>
    <w:p w14:paraId="5EED5DE4" w14:textId="77777777" w:rsidR="00916133" w:rsidRPr="00F569AE" w:rsidRDefault="00916133" w:rsidP="001E1628">
      <w:pPr>
        <w:rPr>
          <w:rFonts w:eastAsia="Helvetica"/>
          <w:lang w:val="en-US"/>
        </w:rPr>
      </w:pPr>
    </w:p>
    <w:p w14:paraId="2035BB26" w14:textId="77777777" w:rsidR="00916133" w:rsidRPr="00F569AE" w:rsidRDefault="00916133" w:rsidP="001E1628">
      <w:pPr>
        <w:rPr>
          <w:rFonts w:eastAsia="Helvetica"/>
          <w:lang w:val="en-US"/>
        </w:rPr>
      </w:pPr>
    </w:p>
    <w:p w14:paraId="25F4C07A" w14:textId="77777777" w:rsidR="00916133" w:rsidRPr="00F569AE" w:rsidRDefault="00916133" w:rsidP="001E1628">
      <w:pPr>
        <w:rPr>
          <w:rFonts w:eastAsia="Helvetica"/>
          <w:lang w:val="en-US"/>
        </w:rPr>
      </w:pPr>
    </w:p>
    <w:p w14:paraId="509E8FFE" w14:textId="77777777" w:rsidR="00916133" w:rsidRPr="00F569AE" w:rsidRDefault="00916133" w:rsidP="001E1628">
      <w:pPr>
        <w:rPr>
          <w:rFonts w:eastAsia="Helvetica"/>
          <w:lang w:val="en-US"/>
        </w:rPr>
      </w:pPr>
    </w:p>
    <w:p w14:paraId="18E48D22" w14:textId="77777777" w:rsidR="00916133" w:rsidRPr="00F569AE" w:rsidRDefault="00916133" w:rsidP="001E1628">
      <w:pPr>
        <w:rPr>
          <w:rFonts w:eastAsia="Helvetica"/>
          <w:lang w:val="en-US"/>
        </w:rPr>
      </w:pPr>
    </w:p>
    <w:p w14:paraId="2FD96541" w14:textId="13070295" w:rsidR="00916133" w:rsidRPr="00F569AE" w:rsidRDefault="00916133" w:rsidP="00916133">
      <w:pPr>
        <w:pStyle w:val="Heading2"/>
        <w:rPr>
          <w:rFonts w:ascii="Calibri" w:hAnsi="Calibri" w:cs="Calibri"/>
          <w:i/>
        </w:rPr>
      </w:pPr>
      <w:bookmarkStart w:id="225" w:name="_Toc210058547"/>
      <w:r w:rsidRPr="00F569AE">
        <w:rPr>
          <w:rFonts w:ascii="Calibri" w:hAnsi="Calibri" w:cs="Calibri"/>
          <w:i/>
        </w:rPr>
        <w:lastRenderedPageBreak/>
        <w:t>Annex 12: Project organigram</w:t>
      </w:r>
      <w:bookmarkEnd w:id="225"/>
    </w:p>
    <w:p w14:paraId="1BFA97BA" w14:textId="77777777" w:rsidR="00916133" w:rsidRPr="00F569AE" w:rsidRDefault="00916133" w:rsidP="00916133">
      <w:pPr>
        <w:rPr>
          <w:rFonts w:eastAsia="Helvetica"/>
          <w:i/>
          <w:lang w:val="en-US"/>
        </w:rPr>
      </w:pPr>
      <w:r w:rsidRPr="00F569AE">
        <w:rPr>
          <w:rFonts w:eastAsia="Helvetica"/>
          <w:i/>
          <w:noProof/>
          <w:lang w:val="en-US"/>
        </w:rPr>
        <w:drawing>
          <wp:inline distT="0" distB="0" distL="0" distR="0" wp14:anchorId="353E4702" wp14:editId="0D044E9C">
            <wp:extent cx="5715000" cy="4049395"/>
            <wp:effectExtent l="0" t="0" r="0" b="1905"/>
            <wp:docPr id="10367014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715000" cy="4049395"/>
                    </a:xfrm>
                    <a:prstGeom prst="rect">
                      <a:avLst/>
                    </a:prstGeom>
                    <a:noFill/>
                    <a:ln>
                      <a:noFill/>
                    </a:ln>
                  </pic:spPr>
                </pic:pic>
              </a:graphicData>
            </a:graphic>
          </wp:inline>
        </w:drawing>
      </w:r>
    </w:p>
    <w:p w14:paraId="72C7ACC6" w14:textId="77777777" w:rsidR="00EE362C" w:rsidRPr="00F569AE" w:rsidRDefault="00EE362C" w:rsidP="00916133">
      <w:pPr>
        <w:rPr>
          <w:rFonts w:eastAsia="Helvetica"/>
          <w:i/>
          <w:lang w:val="en-US"/>
        </w:rPr>
      </w:pPr>
    </w:p>
    <w:p w14:paraId="28A936E2" w14:textId="77777777" w:rsidR="00EE362C" w:rsidRPr="00F569AE" w:rsidRDefault="00EE362C" w:rsidP="00916133">
      <w:pPr>
        <w:rPr>
          <w:rFonts w:eastAsia="Helvetica"/>
          <w:i/>
          <w:lang w:val="en-US"/>
        </w:rPr>
      </w:pPr>
    </w:p>
    <w:p w14:paraId="0BC82A5A" w14:textId="77777777" w:rsidR="00EE362C" w:rsidRPr="00F569AE" w:rsidRDefault="00EE362C" w:rsidP="00916133">
      <w:pPr>
        <w:rPr>
          <w:rFonts w:eastAsia="Helvetica"/>
          <w:i/>
          <w:lang w:val="en-US"/>
        </w:rPr>
      </w:pPr>
    </w:p>
    <w:p w14:paraId="22A1BC97" w14:textId="77777777" w:rsidR="0079494E" w:rsidRPr="00F569AE" w:rsidRDefault="0079494E" w:rsidP="00916133">
      <w:pPr>
        <w:rPr>
          <w:rFonts w:eastAsia="Helvetica"/>
          <w:i/>
          <w:lang w:val="en-US"/>
        </w:rPr>
      </w:pPr>
    </w:p>
    <w:p w14:paraId="1482B3C9" w14:textId="77777777" w:rsidR="0079494E" w:rsidRPr="00F569AE" w:rsidRDefault="0079494E" w:rsidP="00916133">
      <w:pPr>
        <w:rPr>
          <w:rFonts w:eastAsia="Helvetica"/>
          <w:i/>
          <w:lang w:val="en-US"/>
        </w:rPr>
      </w:pPr>
    </w:p>
    <w:p w14:paraId="79329F3B" w14:textId="77777777" w:rsidR="0079494E" w:rsidRPr="00F569AE" w:rsidRDefault="0079494E" w:rsidP="00916133">
      <w:pPr>
        <w:rPr>
          <w:rFonts w:eastAsia="Helvetica"/>
          <w:i/>
          <w:lang w:val="en-US"/>
        </w:rPr>
      </w:pPr>
    </w:p>
    <w:p w14:paraId="5703C946" w14:textId="77777777" w:rsidR="0079494E" w:rsidRPr="00F569AE" w:rsidRDefault="0079494E" w:rsidP="00916133">
      <w:pPr>
        <w:rPr>
          <w:rFonts w:eastAsia="Helvetica"/>
          <w:i/>
          <w:lang w:val="en-US"/>
        </w:rPr>
      </w:pPr>
    </w:p>
    <w:p w14:paraId="7FF31C8D" w14:textId="77777777" w:rsidR="0079494E" w:rsidRPr="00F569AE" w:rsidRDefault="0079494E" w:rsidP="00916133">
      <w:pPr>
        <w:rPr>
          <w:rFonts w:eastAsia="Helvetica"/>
          <w:i/>
          <w:lang w:val="en-US"/>
        </w:rPr>
      </w:pPr>
    </w:p>
    <w:p w14:paraId="5C6386DD" w14:textId="77777777" w:rsidR="0079494E" w:rsidRPr="00F569AE" w:rsidRDefault="0079494E" w:rsidP="00916133">
      <w:pPr>
        <w:rPr>
          <w:rFonts w:eastAsia="Helvetica"/>
          <w:i/>
          <w:lang w:val="en-US"/>
        </w:rPr>
      </w:pPr>
    </w:p>
    <w:p w14:paraId="4E55EC63" w14:textId="77777777" w:rsidR="0079494E" w:rsidRPr="00F569AE" w:rsidRDefault="0079494E" w:rsidP="00916133">
      <w:pPr>
        <w:rPr>
          <w:rFonts w:eastAsia="Helvetica"/>
          <w:i/>
          <w:lang w:val="en-US"/>
        </w:rPr>
      </w:pPr>
    </w:p>
    <w:p w14:paraId="16B83A8F" w14:textId="77777777" w:rsidR="0079494E" w:rsidRPr="00F569AE" w:rsidRDefault="0079494E" w:rsidP="00916133">
      <w:pPr>
        <w:rPr>
          <w:rFonts w:eastAsia="Helvetica"/>
          <w:i/>
          <w:lang w:val="en-US"/>
        </w:rPr>
      </w:pPr>
    </w:p>
    <w:p w14:paraId="2A3F0779" w14:textId="77777777" w:rsidR="0079494E" w:rsidRPr="00F569AE" w:rsidRDefault="0079494E" w:rsidP="00916133">
      <w:pPr>
        <w:rPr>
          <w:rFonts w:eastAsia="Helvetica"/>
          <w:i/>
          <w:lang w:val="en-US"/>
        </w:rPr>
      </w:pPr>
    </w:p>
    <w:p w14:paraId="79F7618E" w14:textId="77777777" w:rsidR="0079494E" w:rsidRPr="00F569AE" w:rsidRDefault="0079494E" w:rsidP="00916133">
      <w:pPr>
        <w:rPr>
          <w:rFonts w:eastAsia="Helvetica"/>
          <w:i/>
          <w:lang w:val="en-US"/>
        </w:rPr>
      </w:pPr>
    </w:p>
    <w:p w14:paraId="528B04EC" w14:textId="77777777" w:rsidR="0079494E" w:rsidRPr="00F569AE" w:rsidRDefault="0079494E" w:rsidP="00916133">
      <w:pPr>
        <w:rPr>
          <w:rFonts w:eastAsia="Helvetica"/>
          <w:i/>
          <w:lang w:val="en-US"/>
        </w:rPr>
      </w:pPr>
    </w:p>
    <w:p w14:paraId="10FF172C" w14:textId="77777777" w:rsidR="0079494E" w:rsidRPr="00F569AE" w:rsidRDefault="0079494E" w:rsidP="00916133">
      <w:pPr>
        <w:rPr>
          <w:rFonts w:eastAsia="Helvetica"/>
          <w:i/>
          <w:lang w:val="en-US"/>
        </w:rPr>
      </w:pPr>
    </w:p>
    <w:p w14:paraId="24E29EE4" w14:textId="77777777" w:rsidR="0079494E" w:rsidRPr="00F569AE" w:rsidRDefault="0079494E" w:rsidP="00916133">
      <w:pPr>
        <w:rPr>
          <w:rFonts w:eastAsia="Helvetica"/>
          <w:i/>
          <w:lang w:val="en-US"/>
        </w:rPr>
      </w:pPr>
    </w:p>
    <w:p w14:paraId="1C589471" w14:textId="77777777" w:rsidR="0079494E" w:rsidRPr="00F569AE" w:rsidRDefault="0079494E" w:rsidP="00916133">
      <w:pPr>
        <w:rPr>
          <w:rFonts w:eastAsia="Helvetica"/>
          <w:i/>
          <w:lang w:val="en-US"/>
        </w:rPr>
      </w:pPr>
    </w:p>
    <w:p w14:paraId="70C657EC" w14:textId="77777777" w:rsidR="0079494E" w:rsidRPr="00F569AE" w:rsidRDefault="0079494E" w:rsidP="00916133">
      <w:pPr>
        <w:rPr>
          <w:rFonts w:eastAsia="Helvetica"/>
          <w:i/>
          <w:lang w:val="en-US"/>
        </w:rPr>
      </w:pPr>
    </w:p>
    <w:p w14:paraId="0D0CFAC9" w14:textId="77777777" w:rsidR="0079494E" w:rsidRPr="00F569AE" w:rsidRDefault="0079494E" w:rsidP="00916133">
      <w:pPr>
        <w:rPr>
          <w:rFonts w:eastAsia="Helvetica"/>
          <w:i/>
          <w:lang w:val="en-US"/>
        </w:rPr>
      </w:pPr>
    </w:p>
    <w:p w14:paraId="2E4351D2" w14:textId="77777777" w:rsidR="0079494E" w:rsidRPr="00F569AE" w:rsidRDefault="0079494E" w:rsidP="00916133">
      <w:pPr>
        <w:rPr>
          <w:rFonts w:eastAsia="Helvetica"/>
          <w:i/>
          <w:lang w:val="en-US"/>
        </w:rPr>
      </w:pPr>
    </w:p>
    <w:p w14:paraId="36EA687B" w14:textId="77777777" w:rsidR="0079494E" w:rsidRPr="00F569AE" w:rsidRDefault="0079494E" w:rsidP="00916133">
      <w:pPr>
        <w:rPr>
          <w:rFonts w:eastAsia="Helvetica"/>
          <w:i/>
          <w:lang w:val="en-US"/>
        </w:rPr>
      </w:pPr>
    </w:p>
    <w:p w14:paraId="3215E859" w14:textId="77777777" w:rsidR="00EE362C" w:rsidRPr="00F569AE" w:rsidRDefault="00EE362C" w:rsidP="00916133">
      <w:pPr>
        <w:rPr>
          <w:rFonts w:eastAsia="Helvetica"/>
          <w:i/>
          <w:lang w:val="en-US"/>
        </w:rPr>
      </w:pPr>
    </w:p>
    <w:p w14:paraId="54BA4BF3" w14:textId="77777777" w:rsidR="0079494E" w:rsidRPr="00F569AE" w:rsidRDefault="0079494E" w:rsidP="00916133">
      <w:pPr>
        <w:rPr>
          <w:rFonts w:eastAsia="Helvetica"/>
          <w:i/>
          <w:lang w:val="en-US"/>
        </w:rPr>
      </w:pPr>
    </w:p>
    <w:p w14:paraId="0D7F7EEB" w14:textId="5DEC221C" w:rsidR="00EE362C" w:rsidRPr="00F569AE" w:rsidRDefault="00EE362C" w:rsidP="00EE362C">
      <w:pPr>
        <w:pStyle w:val="Heading2"/>
        <w:rPr>
          <w:rFonts w:ascii="Calibri" w:hAnsi="Calibri" w:cs="Calibri"/>
          <w:i/>
        </w:rPr>
      </w:pPr>
      <w:bookmarkStart w:id="226" w:name="_Toc210058548"/>
      <w:r w:rsidRPr="00F569AE">
        <w:rPr>
          <w:rFonts w:ascii="Calibri" w:hAnsi="Calibri" w:cs="Calibri"/>
          <w:i/>
        </w:rPr>
        <w:lastRenderedPageBreak/>
        <w:t>Annex 13: Micro narratives</w:t>
      </w:r>
      <w:bookmarkEnd w:id="226"/>
    </w:p>
    <w:p w14:paraId="5D1BEC35" w14:textId="77777777" w:rsidR="0079494E" w:rsidRPr="00F569AE" w:rsidRDefault="0079494E" w:rsidP="0079494E">
      <w:pPr>
        <w:rPr>
          <w:rFonts w:eastAsiaTheme="majorEastAsia"/>
          <w:lang w:val="en-US"/>
        </w:rPr>
      </w:pPr>
    </w:p>
    <w:p w14:paraId="7111A517" w14:textId="77777777" w:rsidR="00F018A6" w:rsidRPr="00F569AE" w:rsidRDefault="0079494E" w:rsidP="0079494E">
      <w:pPr>
        <w:spacing w:line="276" w:lineRule="auto"/>
        <w:jc w:val="both"/>
        <w:rPr>
          <w:rFonts w:ascii="Calibri" w:hAnsi="Calibri" w:cs="Calibri"/>
          <w:lang w:val="en-US"/>
        </w:rPr>
      </w:pPr>
      <w:r w:rsidRPr="00F569AE">
        <w:rPr>
          <w:rFonts w:ascii="Calibri" w:hAnsi="Calibri" w:cs="Calibri"/>
          <w:b/>
          <w:i/>
          <w:sz w:val="28"/>
          <w:szCs w:val="28"/>
          <w:lang w:val="en-US"/>
        </w:rPr>
        <w:t>Prnjavor</w:t>
      </w:r>
      <w:r w:rsidRPr="00F569AE">
        <w:rPr>
          <w:rFonts w:ascii="Calibri" w:hAnsi="Calibri" w:cs="Calibri"/>
          <w:lang w:val="en-US"/>
        </w:rPr>
        <w:br/>
        <w:t>The local infrastructural project in the City of Prnjavor involved the construction of wastewater network in one settlement and amounted to 1.065.549 USD, out of which 130.000 USD was provided by MEG. The length of sewage pipes is 485 meters and estimated number of direct beneficiaries is 2,500. The construction works are still ongoing.</w:t>
      </w:r>
      <w:r w:rsidRPr="00F569AE">
        <w:rPr>
          <w:rFonts w:ascii="Calibri" w:hAnsi="Calibri" w:cs="Calibri"/>
          <w:lang w:val="en-US"/>
        </w:rPr>
        <w:br/>
        <w:t>During the visit to this construction site, there was an opportunity to talk to three local residents (1 female and 2 male), who expressed satisfaction with the ongoing works on sewage network construction, hoping that the works will be completed soon. They were not aware of MEG project and its support provided to the City of Prnjavor. Local residents were dissatisfied with impossibility to physical connect to the newly installed wastewater network immediately, stating that later connection will require double land works (digging ) to make connections (one during the works and another to connect individual subscribers). They were explained at the spot by the present City’s Civil Engineer that current legal provisions (with regard to contractual relations between investor and supplier) do not allow to make any connections before the works are formally completed and accepted.</w:t>
      </w:r>
    </w:p>
    <w:p w14:paraId="5C67CCC6" w14:textId="60184FC8" w:rsidR="00F018A6" w:rsidRPr="00F569AE" w:rsidRDefault="0079494E" w:rsidP="0079494E">
      <w:pPr>
        <w:spacing w:line="276" w:lineRule="auto"/>
        <w:jc w:val="both"/>
        <w:rPr>
          <w:rStyle w:val="apple-converted-space"/>
          <w:rFonts w:ascii="Calibri" w:eastAsiaTheme="majorEastAsia" w:hAnsi="Calibri" w:cs="Calibri"/>
          <w:lang w:val="en-US"/>
        </w:rPr>
      </w:pPr>
      <w:r w:rsidRPr="00F569AE">
        <w:rPr>
          <w:rFonts w:ascii="Calibri" w:hAnsi="Calibri" w:cs="Calibri"/>
          <w:lang w:val="en-US"/>
        </w:rPr>
        <w:br/>
      </w:r>
      <w:r w:rsidRPr="00F569AE">
        <w:rPr>
          <w:rFonts w:ascii="Calibri" w:hAnsi="Calibri" w:cs="Calibri"/>
          <w:b/>
          <w:i/>
          <w:sz w:val="28"/>
          <w:szCs w:val="28"/>
          <w:u w:val="single"/>
          <w:lang w:val="en-US"/>
        </w:rPr>
        <w:t>Tešanj</w:t>
      </w:r>
      <w:r w:rsidRPr="00F569AE">
        <w:rPr>
          <w:rFonts w:ascii="Calibri" w:hAnsi="Calibri" w:cs="Calibri"/>
          <w:lang w:val="en-US"/>
        </w:rPr>
        <w:br/>
        <w:t>The local infrastructural project in Tešanj municipality involved extension of the water supply network for suburban settlement of Kardaglije. This project involves construction of 3 reservoirs and 1 pump station. The project is co-funded by MEG in the amount of USD 110,000 out of 467,213.78 USD. The construction works are ongoing and are estimated to 90% of completion.</w:t>
      </w:r>
      <w:r w:rsidRPr="00F569AE">
        <w:rPr>
          <w:rFonts w:ascii="Calibri" w:hAnsi="Calibri" w:cs="Calibri"/>
          <w:lang w:val="en-US"/>
        </w:rPr>
        <w:br/>
        <w:t>During the visit to the construction site, there was an opportunity to talk to one of one (male) local residents. He noted that there are public discussions organized in his local community as a part of nomination of priority projects, including the projects related to water and wastewater infrastructure. Citizens from local community are invited to these discussions and are able to express their opinions and  to discuss the selection of priority (infrastructural) projects. Although he expressed this satisfaction with the ongoing construction works which will hopefully solve the water supply issues in the area of several villages, particularly during the summertime, the local resident was worried about the length of the infrastructural works expressing the opinion that they last to long. Municipal civil engineer in charge of works follow-up, explained that some unperceived difficulties (such as landslide and unresolved property issues) have in fact delayed the works, and has noted that these issues were resolved and that project is back on track.</w:t>
      </w:r>
      <w:r w:rsidRPr="00F569AE">
        <w:rPr>
          <w:rStyle w:val="apple-converted-space"/>
          <w:rFonts w:ascii="Calibri" w:eastAsiaTheme="majorEastAsia" w:hAnsi="Calibri" w:cs="Calibri"/>
          <w:lang w:val="en-US"/>
        </w:rPr>
        <w:t> </w:t>
      </w:r>
    </w:p>
    <w:p w14:paraId="0E5301B3" w14:textId="339B1B3C" w:rsidR="0079494E" w:rsidRPr="00F569AE" w:rsidRDefault="0079494E" w:rsidP="0079494E">
      <w:pPr>
        <w:spacing w:line="276" w:lineRule="auto"/>
        <w:jc w:val="both"/>
        <w:rPr>
          <w:rStyle w:val="apple-converted-space"/>
          <w:rFonts w:ascii="Calibri" w:eastAsiaTheme="majorEastAsia" w:hAnsi="Calibri" w:cs="Calibri"/>
          <w:lang w:val="en-US"/>
        </w:rPr>
      </w:pPr>
      <w:r w:rsidRPr="00F569AE">
        <w:rPr>
          <w:rFonts w:ascii="Calibri" w:hAnsi="Calibri" w:cs="Calibri"/>
          <w:lang w:val="en-US"/>
        </w:rPr>
        <w:br/>
      </w:r>
      <w:r w:rsidRPr="00F569AE">
        <w:rPr>
          <w:rFonts w:ascii="Calibri" w:hAnsi="Calibri" w:cs="Calibri"/>
          <w:b/>
          <w:i/>
          <w:sz w:val="28"/>
          <w:szCs w:val="28"/>
          <w:u w:val="single"/>
          <w:lang w:val="en-US"/>
        </w:rPr>
        <w:t>Prijedor</w:t>
      </w:r>
      <w:r w:rsidRPr="00F569AE">
        <w:rPr>
          <w:rStyle w:val="apple-converted-space"/>
          <w:rFonts w:ascii="Calibri" w:eastAsiaTheme="majorEastAsia" w:hAnsi="Calibri" w:cs="Calibri"/>
          <w:b/>
          <w:i/>
          <w:sz w:val="28"/>
          <w:szCs w:val="28"/>
          <w:u w:val="single"/>
          <w:lang w:val="en-US"/>
        </w:rPr>
        <w:t> </w:t>
      </w:r>
    </w:p>
    <w:p w14:paraId="42A0FFCD" w14:textId="57E69700" w:rsidR="0079494E" w:rsidRPr="00F569AE" w:rsidRDefault="0079494E" w:rsidP="0079494E">
      <w:pPr>
        <w:spacing w:line="276" w:lineRule="auto"/>
        <w:jc w:val="both"/>
        <w:rPr>
          <w:rStyle w:val="apple-converted-space"/>
          <w:rFonts w:ascii="Calibri" w:eastAsiaTheme="majorEastAsia" w:hAnsi="Calibri" w:cs="Calibri"/>
          <w:lang w:val="en-US"/>
        </w:rPr>
      </w:pPr>
      <w:r w:rsidRPr="00F569AE">
        <w:rPr>
          <w:rFonts w:ascii="Calibri" w:hAnsi="Calibri" w:cs="Calibri"/>
          <w:lang w:val="en-US"/>
        </w:rPr>
        <w:t xml:space="preserve">Prijedor City has used all available MEG I&amp;II support and made significant progress in the area of administration and management systems, transparency, city council work, citizens' </w:t>
      </w:r>
      <w:r w:rsidRPr="00F569AE">
        <w:rPr>
          <w:rFonts w:ascii="Calibri" w:hAnsi="Calibri" w:cs="Calibri"/>
          <w:lang w:val="en-US"/>
        </w:rPr>
        <w:lastRenderedPageBreak/>
        <w:t xml:space="preserve">participation in the work of local administration, improved efficiency and effectiveness, and improved water utility services and water supply network through the local infrastructure project in </w:t>
      </w:r>
      <w:r w:rsidR="00240D2E" w:rsidRPr="00F569AE">
        <w:rPr>
          <w:rFonts w:ascii="Calibri" w:hAnsi="Calibri" w:cs="Calibri"/>
          <w:lang w:val="en-US"/>
        </w:rPr>
        <w:t>settlement</w:t>
      </w:r>
      <w:r w:rsidRPr="00F569AE">
        <w:rPr>
          <w:rFonts w:ascii="Calibri" w:hAnsi="Calibri" w:cs="Calibri"/>
          <w:lang w:val="en-US"/>
        </w:rPr>
        <w:t xml:space="preserve"> Čirkin Polje that involved pipeline, manholes, and watermeters for 670 households. Within the framework of the MEG II project, the third phase of the complete replacement of the water supply network up to the water meter shafts was carried out, ending with water meters for 670 households. The project share was USD 90,000 out of USD 396.352,78. All works were implemented timely and correct manner, resulting in regular water supply and citizen satisfaction. During the visit to the construction site, there was an opportunity to talk to one of the (male) local residents who expressed great satisfaction with the resolved regular water supply in Cirkin Polje since most of the residents are involved in agricultural production and/or cattle herding. Additionally, around 30 households that were in a difficult financial situation and had not had water until now have been provided with a regular supply through this project. </w:t>
      </w:r>
      <w:r w:rsidRPr="00F569AE">
        <w:rPr>
          <w:rStyle w:val="apple-converted-space"/>
          <w:rFonts w:ascii="Calibri" w:eastAsiaTheme="majorEastAsia" w:hAnsi="Calibri" w:cs="Calibri"/>
          <w:lang w:val="en-US"/>
        </w:rPr>
        <w:t> </w:t>
      </w:r>
    </w:p>
    <w:p w14:paraId="79D4EEB7" w14:textId="77777777" w:rsidR="0079494E" w:rsidRPr="00F569AE" w:rsidRDefault="0079494E" w:rsidP="0079494E">
      <w:pPr>
        <w:spacing w:line="276" w:lineRule="auto"/>
        <w:jc w:val="both"/>
        <w:rPr>
          <w:rFonts w:ascii="Calibri" w:hAnsi="Calibri" w:cs="Calibri"/>
          <w:lang w:val="en-US"/>
        </w:rPr>
      </w:pPr>
    </w:p>
    <w:p w14:paraId="57BBB7B0" w14:textId="77777777" w:rsidR="0079494E" w:rsidRPr="00F569AE" w:rsidRDefault="0079494E" w:rsidP="0079494E">
      <w:pPr>
        <w:pStyle w:val="NormalWeb"/>
        <w:spacing w:before="0" w:beforeAutospacing="0" w:after="0" w:afterAutospacing="0" w:line="276" w:lineRule="auto"/>
        <w:jc w:val="both"/>
        <w:rPr>
          <w:rFonts w:ascii="Calibri" w:hAnsi="Calibri" w:cs="Calibri"/>
          <w:b/>
          <w:i/>
          <w:sz w:val="28"/>
          <w:szCs w:val="28"/>
          <w:u w:val="single"/>
        </w:rPr>
      </w:pPr>
      <w:r w:rsidRPr="00F569AE">
        <w:rPr>
          <w:rFonts w:ascii="Calibri" w:hAnsi="Calibri" w:cs="Calibri"/>
          <w:b/>
          <w:i/>
          <w:sz w:val="28"/>
          <w:szCs w:val="28"/>
          <w:u w:val="single"/>
        </w:rPr>
        <w:t>Srbac</w:t>
      </w:r>
      <w:r w:rsidRPr="00F569AE">
        <w:rPr>
          <w:rFonts w:ascii="Calibri" w:hAnsi="Calibri" w:cs="Calibri"/>
          <w:sz w:val="28"/>
          <w:szCs w:val="28"/>
        </w:rPr>
        <w:t> </w:t>
      </w:r>
    </w:p>
    <w:p w14:paraId="7285B94E" w14:textId="77777777" w:rsidR="00EE362C" w:rsidRDefault="0079494E" w:rsidP="00885FF3">
      <w:pPr>
        <w:pStyle w:val="NormalWeb"/>
        <w:spacing w:before="0" w:beforeAutospacing="0" w:after="0" w:afterAutospacing="0" w:line="276" w:lineRule="auto"/>
        <w:jc w:val="both"/>
        <w:rPr>
          <w:rFonts w:ascii="Calibri" w:hAnsi="Calibri" w:cs="Calibri"/>
          <w:b/>
          <w:i/>
          <w:u w:val="single"/>
        </w:rPr>
      </w:pPr>
      <w:r w:rsidRPr="00F569AE">
        <w:rPr>
          <w:rFonts w:ascii="Calibri" w:hAnsi="Calibri" w:cs="Calibri"/>
        </w:rPr>
        <w:t>Srbac, as the new municipality, has managed to improve municipal processes and solutions in line with the best practices of good governance through collaboration with the MEG II project. Significant achievements were recorded in establishing and improving collaboration with the municipal council and citizens, improved transparency of municipal operations, and most importantly through the local infrastructure project managed to resolve major municipality issues with water and sewage network: sewage and stormwater network in Danka Mitrova Street, DMA equipment, and gravity pipeline for villages of Srbac, Kaoci, and Vlaknica. The project is co-funded by MEG in the amount of USD 140,000 out of 375,000 USD. The construction works related to the sewage and stormwater network in Danka Mitrova Street are fully completed, and according to one of the (male) local residents, the swamp is now turned into the most beautiful street in Srbac , DMA equipment is acquired and installed, and a gravity pipeline for the villages of Srbac, Kaoci, and Vlaknica is in the last phase of implementation that will provide regular water supply for citizens of the above-mentioned settlements.</w:t>
      </w:r>
    </w:p>
    <w:p w14:paraId="487674C2" w14:textId="77777777" w:rsidR="00885FF3" w:rsidRDefault="00885FF3" w:rsidP="00885FF3">
      <w:pPr>
        <w:pStyle w:val="NormalWeb"/>
        <w:spacing w:before="0" w:beforeAutospacing="0" w:after="0" w:afterAutospacing="0" w:line="276" w:lineRule="auto"/>
        <w:jc w:val="both"/>
        <w:rPr>
          <w:rFonts w:ascii="Calibri" w:hAnsi="Calibri" w:cs="Calibri"/>
          <w:b/>
          <w:i/>
          <w:u w:val="single"/>
        </w:rPr>
      </w:pPr>
    </w:p>
    <w:p w14:paraId="0B0863FF" w14:textId="3E0A0B74" w:rsidR="00885FF3" w:rsidRPr="00F569AE" w:rsidRDefault="00885FF3" w:rsidP="00885FF3">
      <w:pPr>
        <w:pStyle w:val="NormalWeb"/>
        <w:spacing w:before="0" w:beforeAutospacing="0" w:after="0" w:afterAutospacing="0" w:line="276" w:lineRule="auto"/>
        <w:jc w:val="both"/>
        <w:rPr>
          <w:rFonts w:eastAsia="Helvetica"/>
        </w:rPr>
        <w:sectPr w:rsidR="00885FF3" w:rsidRPr="00F569AE" w:rsidSect="008118E1">
          <w:pgSz w:w="11900" w:h="16820"/>
          <w:pgMar w:top="1440" w:right="1440" w:bottom="1440" w:left="1440" w:header="708" w:footer="708" w:gutter="0"/>
          <w:cols w:space="708"/>
          <w:titlePg/>
          <w:docGrid w:linePitch="360"/>
        </w:sectPr>
      </w:pPr>
    </w:p>
    <w:p w14:paraId="65D6E4A6" w14:textId="77777777" w:rsidR="007E75A1" w:rsidRPr="00F569AE" w:rsidRDefault="007E75A1" w:rsidP="007E75A1">
      <w:pPr>
        <w:spacing w:line="276" w:lineRule="auto"/>
        <w:rPr>
          <w:rFonts w:ascii="Calibri" w:hAnsi="Calibri" w:cs="Calibri"/>
          <w:color w:val="000000" w:themeColor="text1"/>
          <w:lang w:val="en-US"/>
        </w:rPr>
      </w:pPr>
    </w:p>
    <w:sectPr w:rsidR="007E75A1" w:rsidRPr="00F569AE" w:rsidSect="00DC6101">
      <w:pgSz w:w="16820" w:h="11900"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C5114" w14:textId="77777777" w:rsidR="007E73F5" w:rsidRDefault="007E73F5" w:rsidP="009D302D">
      <w:r>
        <w:separator/>
      </w:r>
    </w:p>
  </w:endnote>
  <w:endnote w:type="continuationSeparator" w:id="0">
    <w:p w14:paraId="43FA0A60" w14:textId="77777777" w:rsidR="007E73F5" w:rsidRDefault="007E73F5" w:rsidP="009D302D">
      <w:r>
        <w:continuationSeparator/>
      </w:r>
    </w:p>
  </w:endnote>
  <w:endnote w:type="continuationNotice" w:id="1">
    <w:p w14:paraId="6DD40236" w14:textId="77777777" w:rsidR="007E73F5" w:rsidRDefault="007E73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ndara">
    <w:panose1 w:val="020E0502030303020204"/>
    <w:charset w:val="00"/>
    <w:family w:val="swiss"/>
    <w:pitch w:val="variable"/>
    <w:sig w:usb0="A00002EF" w:usb1="4000A44B" w:usb2="0000000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50115053"/>
      <w:docPartObj>
        <w:docPartGallery w:val="Page Numbers (Bottom of Page)"/>
        <w:docPartUnique/>
      </w:docPartObj>
    </w:sdtPr>
    <w:sdtContent>
      <w:p w14:paraId="1C9ED433" w14:textId="62510F24" w:rsidR="00864A65" w:rsidRDefault="00864A65" w:rsidP="009D30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ADABA6" w14:textId="77777777" w:rsidR="00864A65" w:rsidRDefault="00864A65" w:rsidP="009D30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30024235"/>
      <w:docPartObj>
        <w:docPartGallery w:val="Page Numbers (Bottom of Page)"/>
        <w:docPartUnique/>
      </w:docPartObj>
    </w:sdtPr>
    <w:sdtContent>
      <w:p w14:paraId="5D6FD384" w14:textId="5AAEB863" w:rsidR="00864A65" w:rsidRDefault="00864A65" w:rsidP="009D30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A3C2AB" w14:textId="77777777" w:rsidR="00864A65" w:rsidRDefault="00864A65" w:rsidP="009D30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69185" w14:textId="77777777" w:rsidR="007E73F5" w:rsidRDefault="007E73F5" w:rsidP="009D302D">
      <w:r>
        <w:separator/>
      </w:r>
    </w:p>
  </w:footnote>
  <w:footnote w:type="continuationSeparator" w:id="0">
    <w:p w14:paraId="35491C53" w14:textId="77777777" w:rsidR="007E73F5" w:rsidRDefault="007E73F5" w:rsidP="009D302D">
      <w:r>
        <w:continuationSeparator/>
      </w:r>
    </w:p>
  </w:footnote>
  <w:footnote w:type="continuationNotice" w:id="1">
    <w:p w14:paraId="6998D3F1" w14:textId="77777777" w:rsidR="007E73F5" w:rsidRDefault="007E73F5"/>
  </w:footnote>
  <w:footnote w:id="2">
    <w:p w14:paraId="6311B0A5" w14:textId="57A2FF72" w:rsidR="00220392" w:rsidRPr="00220392" w:rsidRDefault="00220392" w:rsidP="00220392">
      <w:pPr>
        <w:pStyle w:val="FootnoteText"/>
        <w:jc w:val="both"/>
        <w:rPr>
          <w:rFonts w:ascii="Calibri" w:hAnsi="Calibri" w:cs="Calibri"/>
        </w:rPr>
      </w:pPr>
      <w:r w:rsidRPr="00220392">
        <w:rPr>
          <w:rStyle w:val="FootnoteReference"/>
          <w:rFonts w:ascii="Calibri" w:hAnsi="Calibri" w:cs="Calibri"/>
        </w:rPr>
        <w:footnoteRef/>
      </w:r>
      <w:r w:rsidRPr="00220392">
        <w:rPr>
          <w:rFonts w:ascii="Calibri" w:hAnsi="Calibri" w:cs="Calibri"/>
        </w:rPr>
        <w:t xml:space="preserve"> This report made references to the (i) MEG programme, covering the Phase I, the current Phase II, and upcoming Phase III, (ii) MEGII, which is the </w:t>
      </w:r>
      <w:r w:rsidRPr="00220392">
        <w:rPr>
          <w:rFonts w:ascii="Calibri" w:hAnsi="Calibri" w:cs="Calibri"/>
          <w:color w:val="000000"/>
        </w:rPr>
        <w:t xml:space="preserve">MEG/EU4MEG without EU4MEG action, and (iii) EU4MEG action, which was the </w:t>
      </w:r>
      <w:r w:rsidR="00A6026F">
        <w:rPr>
          <w:rFonts w:ascii="Calibri" w:hAnsi="Calibri" w:cs="Calibri"/>
          <w:color w:val="000000"/>
        </w:rPr>
        <w:t>integral element</w:t>
      </w:r>
      <w:r w:rsidRPr="00220392">
        <w:rPr>
          <w:rFonts w:ascii="Calibri" w:hAnsi="Calibri" w:cs="Calibri"/>
          <w:color w:val="000000"/>
        </w:rPr>
        <w:t xml:space="preserve"> of the MEG/EU4MEG project.</w:t>
      </w:r>
    </w:p>
  </w:footnote>
  <w:footnote w:id="3">
    <w:p w14:paraId="613106BA" w14:textId="33305CFE" w:rsidR="00864A65" w:rsidRDefault="00864A65">
      <w:pPr>
        <w:pStyle w:val="FootnoteText"/>
      </w:pPr>
      <w:r>
        <w:rPr>
          <w:rStyle w:val="FootnoteReference"/>
        </w:rPr>
        <w:footnoteRef/>
      </w:r>
      <w:r>
        <w:t xml:space="preserve"> Eurostat data, 2024 </w:t>
      </w:r>
      <w:hyperlink r:id="rId1" w:history="1">
        <w:r w:rsidRPr="006551FF">
          <w:rPr>
            <w:rStyle w:val="Hyperlink"/>
          </w:rPr>
          <w:t>https://ec.europa.eu/eurostat/databrowser/view/tps00001/default/table?lang=en</w:t>
        </w:r>
      </w:hyperlink>
      <w:r>
        <w:t xml:space="preserve"> </w:t>
      </w:r>
    </w:p>
  </w:footnote>
  <w:footnote w:id="4">
    <w:p w14:paraId="7F42679C" w14:textId="34C22FF2" w:rsidR="00864A65" w:rsidRDefault="00864A65">
      <w:pPr>
        <w:pStyle w:val="FootnoteText"/>
      </w:pPr>
      <w:r>
        <w:rPr>
          <w:rStyle w:val="FootnoteReference"/>
        </w:rPr>
        <w:footnoteRef/>
      </w:r>
      <w:r>
        <w:t xml:space="preserve"> </w:t>
      </w:r>
      <w:hyperlink r:id="rId2" w:anchor=":~:text=Date&amp;text=The%20General%20Framework%20Agreement%20for,the%20Author%20of%20this%20document" w:history="1">
        <w:r w:rsidRPr="006551FF">
          <w:rPr>
            <w:rStyle w:val="Hyperlink"/>
          </w:rPr>
          <w:t>https://www.osce.org/bih/126173#:~:text=Date&amp;text=The%20General%20Framework%20Agreement%20for,the%20Author%20of%20this%20document</w:t>
        </w:r>
      </w:hyperlink>
      <w:r w:rsidRPr="00A04145">
        <w:t>.</w:t>
      </w:r>
      <w:r>
        <w:t xml:space="preserve"> </w:t>
      </w:r>
    </w:p>
  </w:footnote>
  <w:footnote w:id="5">
    <w:p w14:paraId="3970780A" w14:textId="6F3E441B" w:rsidR="00864A65" w:rsidRDefault="00864A65">
      <w:pPr>
        <w:pStyle w:val="FootnoteText"/>
      </w:pPr>
      <w:r>
        <w:rPr>
          <w:rStyle w:val="FootnoteReference"/>
        </w:rPr>
        <w:footnoteRef/>
      </w:r>
      <w:r>
        <w:t xml:space="preserve"> </w:t>
      </w:r>
      <w:hyperlink r:id="rId3" w:history="1">
        <w:r w:rsidRPr="006551FF">
          <w:rPr>
            <w:rStyle w:val="Hyperlink"/>
          </w:rPr>
          <w:t>https://portal.cor.europa.eu/divisionpowers/Pages/Bosnia-Herzegovina.aspx</w:t>
        </w:r>
      </w:hyperlink>
      <w:r>
        <w:t xml:space="preserve"> </w:t>
      </w:r>
    </w:p>
  </w:footnote>
  <w:footnote w:id="6">
    <w:p w14:paraId="6F91AED5" w14:textId="77777777" w:rsidR="00864A65" w:rsidRPr="009B0432" w:rsidRDefault="00864A65" w:rsidP="00A04145">
      <w:pPr>
        <w:pStyle w:val="FootnoteText"/>
        <w:rPr>
          <w:lang w:val="fr-FR"/>
        </w:rPr>
      </w:pPr>
      <w:r>
        <w:rPr>
          <w:rStyle w:val="FootnoteReference"/>
        </w:rPr>
        <w:footnoteRef/>
      </w:r>
      <w:r>
        <w:t xml:space="preserve"> Consociationalism is a stable democratic system in deeply divided societies that is based on power sharing between elites from different social groups. </w:t>
      </w:r>
      <w:r w:rsidRPr="009B0432">
        <w:rPr>
          <w:lang w:val="fr-FR"/>
        </w:rPr>
        <w:t xml:space="preserve">Britannica, </w:t>
      </w:r>
      <w:hyperlink r:id="rId4" w:history="1">
        <w:r w:rsidRPr="009B0432">
          <w:rPr>
            <w:rStyle w:val="Hyperlink"/>
            <w:lang w:val="fr-FR"/>
          </w:rPr>
          <w:t>https://www.britannica.com/topic/consociationalism</w:t>
        </w:r>
      </w:hyperlink>
      <w:r w:rsidRPr="009B0432">
        <w:rPr>
          <w:lang w:val="fr-FR"/>
        </w:rPr>
        <w:t xml:space="preserve"> </w:t>
      </w:r>
    </w:p>
  </w:footnote>
  <w:footnote w:id="7">
    <w:p w14:paraId="50E381D9" w14:textId="25412D3B" w:rsidR="00864A65" w:rsidRPr="009B0432" w:rsidRDefault="00864A65">
      <w:pPr>
        <w:pStyle w:val="FootnoteText"/>
        <w:rPr>
          <w:lang w:val="fr-FR"/>
        </w:rPr>
      </w:pPr>
      <w:r>
        <w:rPr>
          <w:rStyle w:val="FootnoteReference"/>
        </w:rPr>
        <w:footnoteRef/>
      </w:r>
      <w:r w:rsidRPr="009B0432">
        <w:rPr>
          <w:lang w:val="fr-FR"/>
        </w:rPr>
        <w:t xml:space="preserve"> </w:t>
      </w:r>
      <w:hyperlink r:id="rId5" w:history="1">
        <w:r w:rsidRPr="009B0432">
          <w:rPr>
            <w:rStyle w:val="Hyperlink"/>
            <w:lang w:val="fr-FR"/>
          </w:rPr>
          <w:t>https://www.ohr.int/en/</w:t>
        </w:r>
      </w:hyperlink>
      <w:r w:rsidRPr="009B0432">
        <w:rPr>
          <w:lang w:val="fr-FR"/>
        </w:rPr>
        <w:t xml:space="preserve"> </w:t>
      </w:r>
    </w:p>
  </w:footnote>
  <w:footnote w:id="8">
    <w:p w14:paraId="1EB16F0A" w14:textId="6A40C0B3" w:rsidR="00864A65" w:rsidRPr="009B0432" w:rsidRDefault="00864A65">
      <w:pPr>
        <w:pStyle w:val="FootnoteText"/>
        <w:rPr>
          <w:lang w:val="fr-FR"/>
        </w:rPr>
      </w:pPr>
      <w:r>
        <w:rPr>
          <w:rStyle w:val="FootnoteReference"/>
        </w:rPr>
        <w:footnoteRef/>
      </w:r>
      <w:r w:rsidRPr="009B0432">
        <w:rPr>
          <w:lang w:val="fr-FR"/>
        </w:rPr>
        <w:t xml:space="preserve"> </w:t>
      </w:r>
      <w:r>
        <w:fldChar w:fldCharType="begin"/>
      </w:r>
      <w:r w:rsidRPr="0078392C">
        <w:rPr>
          <w:lang w:val="fr-FR"/>
          <w:rPrChange w:id="190" w:author="Author">
            <w:rPr/>
          </w:rPrChange>
        </w:rPr>
        <w:instrText>HYPERLINK "https://fragilestatesindex.org/country-data/"</w:instrText>
      </w:r>
      <w:r>
        <w:fldChar w:fldCharType="separate"/>
      </w:r>
      <w:r w:rsidRPr="009B0432">
        <w:rPr>
          <w:rStyle w:val="Hyperlink"/>
          <w:lang w:val="fr-FR"/>
        </w:rPr>
        <w:t>https://fragilestatesindex.org/country-data/</w:t>
      </w:r>
      <w:r>
        <w:fldChar w:fldCharType="end"/>
      </w:r>
      <w:r w:rsidRPr="009B0432">
        <w:rPr>
          <w:lang w:val="fr-FR"/>
        </w:rPr>
        <w:t xml:space="preserve"> </w:t>
      </w:r>
    </w:p>
  </w:footnote>
  <w:footnote w:id="9">
    <w:p w14:paraId="7183909B" w14:textId="1519381F" w:rsidR="00864A65" w:rsidRPr="009B0432" w:rsidRDefault="00864A65">
      <w:pPr>
        <w:pStyle w:val="FootnoteText"/>
        <w:rPr>
          <w:lang w:val="fr-FR"/>
        </w:rPr>
      </w:pPr>
      <w:r>
        <w:rPr>
          <w:rStyle w:val="FootnoteReference"/>
        </w:rPr>
        <w:footnoteRef/>
      </w:r>
      <w:r w:rsidRPr="009B0432">
        <w:rPr>
          <w:lang w:val="fr-FR"/>
        </w:rPr>
        <w:t xml:space="preserve"> </w:t>
      </w:r>
      <w:r>
        <w:fldChar w:fldCharType="begin"/>
      </w:r>
      <w:r w:rsidRPr="0078392C">
        <w:rPr>
          <w:lang w:val="fr-FR"/>
          <w:rPrChange w:id="191" w:author="Author">
            <w:rPr/>
          </w:rPrChange>
        </w:rPr>
        <w:instrText>HYPERLINK "http://www.vlada.bdcentral.net/?lang=en"</w:instrText>
      </w:r>
      <w:r>
        <w:fldChar w:fldCharType="separate"/>
      </w:r>
      <w:r w:rsidRPr="009B0432">
        <w:rPr>
          <w:rStyle w:val="Hyperlink"/>
          <w:lang w:val="fr-FR"/>
        </w:rPr>
        <w:t>http://www.vlada.bdcentral.net/?lang=en</w:t>
      </w:r>
      <w:r>
        <w:fldChar w:fldCharType="end"/>
      </w:r>
      <w:r w:rsidRPr="009B0432">
        <w:rPr>
          <w:lang w:val="fr-FR"/>
        </w:rPr>
        <w:t xml:space="preserve"> </w:t>
      </w:r>
    </w:p>
  </w:footnote>
  <w:footnote w:id="10">
    <w:p w14:paraId="199133F0" w14:textId="77777777" w:rsidR="00864A65" w:rsidRPr="00A46105" w:rsidRDefault="00864A65" w:rsidP="002039DB">
      <w:pPr>
        <w:pStyle w:val="FootnoteText"/>
        <w:rPr>
          <w:lang w:val="nl-NL"/>
        </w:rPr>
      </w:pPr>
      <w:r>
        <w:rPr>
          <w:rStyle w:val="FootnoteReference"/>
        </w:rPr>
        <w:footnoteRef/>
      </w:r>
      <w:r w:rsidRPr="00A46105">
        <w:rPr>
          <w:lang w:val="nl-NL"/>
        </w:rPr>
        <w:t xml:space="preserve"> MEG2 project document</w:t>
      </w:r>
    </w:p>
  </w:footnote>
  <w:footnote w:id="11">
    <w:p w14:paraId="1E472C3F" w14:textId="7A566F47" w:rsidR="00864A65" w:rsidRPr="00012988" w:rsidRDefault="00864A65">
      <w:pPr>
        <w:pStyle w:val="FootnoteText"/>
        <w:rPr>
          <w:lang w:val="nl-NL"/>
        </w:rPr>
      </w:pPr>
      <w:r>
        <w:rPr>
          <w:rStyle w:val="FootnoteReference"/>
        </w:rPr>
        <w:footnoteRef/>
      </w:r>
      <w:r w:rsidRPr="002039DB">
        <w:rPr>
          <w:lang w:val="nl-NL"/>
        </w:rPr>
        <w:t xml:space="preserve"> </w:t>
      </w:r>
      <w:r>
        <w:fldChar w:fldCharType="begin"/>
      </w:r>
      <w:r w:rsidRPr="0078392C">
        <w:rPr>
          <w:lang w:val="nl-NL"/>
          <w:rPrChange w:id="192" w:author="Author">
            <w:rPr/>
          </w:rPrChange>
        </w:rPr>
        <w:instrText>HYPERLINK "https://www.undp.org/bosnia-herzegovina/publications/sdgs-framework-bosnia-and-herzegovina" \l ":~:text=October%204%2C%202021,indicators%20to%20measure%20the%20progress"</w:instrText>
      </w:r>
      <w:r>
        <w:fldChar w:fldCharType="separate"/>
      </w:r>
      <w:r w:rsidRPr="00012988">
        <w:rPr>
          <w:rStyle w:val="Hyperlink"/>
          <w:lang w:val="nl-NL"/>
        </w:rPr>
        <w:t>https://www.undp.org/bosnia-herzegovina/publications/sdgs-framework-bosnia-and-herzegovina#:~:text=October%204%2C%202021,indicators%20to%20measure%20the%20progress</w:t>
      </w:r>
      <w:r>
        <w:fldChar w:fldCharType="end"/>
      </w:r>
      <w:r w:rsidRPr="00012988">
        <w:rPr>
          <w:lang w:val="nl-NL"/>
        </w:rPr>
        <w:t xml:space="preserve">. </w:t>
      </w:r>
    </w:p>
  </w:footnote>
  <w:footnote w:id="12">
    <w:p w14:paraId="1CC95024" w14:textId="77777777" w:rsidR="00DE0014" w:rsidRPr="00D43512" w:rsidRDefault="00DE0014" w:rsidP="00DE0014">
      <w:pPr>
        <w:pStyle w:val="FootnoteText"/>
        <w:rPr>
          <w:rFonts w:ascii="Calibri" w:hAnsi="Calibri" w:cs="Calibri"/>
          <w:lang w:val="nl-NL"/>
        </w:rPr>
      </w:pPr>
      <w:r w:rsidRPr="00D43512">
        <w:rPr>
          <w:rStyle w:val="FootnoteReference"/>
          <w:rFonts w:ascii="Calibri" w:hAnsi="Calibri" w:cs="Calibri"/>
        </w:rPr>
        <w:footnoteRef/>
      </w:r>
      <w:r w:rsidRPr="00D43512">
        <w:rPr>
          <w:rFonts w:ascii="Calibri" w:hAnsi="Calibri" w:cs="Calibri"/>
          <w:lang w:val="nl-NL"/>
        </w:rPr>
        <w:t xml:space="preserve">https://parlamentfbih.gov.ba/v2/userfiles/file/Materijali%20u%20proceduri_2021/Strategija%20razvoja%20FBiH%202021-2027_bos.pdf  </w:t>
      </w:r>
    </w:p>
  </w:footnote>
  <w:footnote w:id="13">
    <w:p w14:paraId="4E2565B5" w14:textId="3F7C3B98" w:rsidR="00864A65" w:rsidRPr="00D43512" w:rsidRDefault="00864A65">
      <w:pPr>
        <w:pStyle w:val="FootnoteText"/>
        <w:rPr>
          <w:rFonts w:ascii="Calibri" w:hAnsi="Calibri" w:cs="Calibri"/>
          <w:lang w:val="nl-NL"/>
        </w:rPr>
      </w:pPr>
      <w:r w:rsidRPr="00D43512">
        <w:rPr>
          <w:rStyle w:val="FootnoteReference"/>
          <w:rFonts w:ascii="Calibri" w:hAnsi="Calibri" w:cs="Calibri"/>
        </w:rPr>
        <w:footnoteRef/>
      </w:r>
      <w:r w:rsidRPr="00D43512">
        <w:rPr>
          <w:rFonts w:ascii="Calibri" w:hAnsi="Calibri" w:cs="Calibri"/>
          <w:lang w:val="nl-NL"/>
        </w:rPr>
        <w:t xml:space="preserve"> </w:t>
      </w:r>
      <w:r>
        <w:fldChar w:fldCharType="begin"/>
      </w:r>
      <w:r w:rsidRPr="0078392C">
        <w:rPr>
          <w:lang w:val="nl-NL"/>
          <w:rPrChange w:id="193" w:author="Author">
            <w:rPr/>
          </w:rPrChange>
        </w:rPr>
        <w:instrText>HYPERLINK "https://dashboards.sdgindex.org/profiles/bosnia-and-herzegovina/fact-sheet"</w:instrText>
      </w:r>
      <w:r>
        <w:fldChar w:fldCharType="separate"/>
      </w:r>
      <w:r w:rsidRPr="00D43512">
        <w:rPr>
          <w:rStyle w:val="Hyperlink"/>
          <w:rFonts w:ascii="Calibri" w:hAnsi="Calibri" w:cs="Calibri"/>
          <w:lang w:val="nl-NL"/>
        </w:rPr>
        <w:t>https://dashboards.sdgindex.org/profiles/bosnia-and-herzegovina/fact-sheet</w:t>
      </w:r>
      <w:r>
        <w:fldChar w:fldCharType="end"/>
      </w:r>
      <w:r w:rsidRPr="00D43512">
        <w:rPr>
          <w:rFonts w:ascii="Calibri" w:hAnsi="Calibri" w:cs="Calibri"/>
          <w:lang w:val="nl-NL"/>
        </w:rPr>
        <w:t xml:space="preserve"> </w:t>
      </w:r>
    </w:p>
  </w:footnote>
  <w:footnote w:id="14">
    <w:p w14:paraId="230A9952" w14:textId="77777777" w:rsidR="008705BC" w:rsidRPr="00D43512" w:rsidRDefault="008705BC" w:rsidP="008705BC">
      <w:pPr>
        <w:pStyle w:val="FootnoteText"/>
        <w:rPr>
          <w:rFonts w:ascii="Calibri" w:hAnsi="Calibri" w:cs="Calibri"/>
          <w:lang w:val="nl-NL"/>
        </w:rPr>
      </w:pPr>
      <w:r w:rsidRPr="00D43512">
        <w:rPr>
          <w:rStyle w:val="FootnoteReference"/>
          <w:rFonts w:ascii="Calibri" w:hAnsi="Calibri" w:cs="Calibri"/>
        </w:rPr>
        <w:footnoteRef/>
      </w:r>
      <w:r w:rsidRPr="00D43512">
        <w:rPr>
          <w:rFonts w:ascii="Calibri" w:hAnsi="Calibri" w:cs="Calibri"/>
          <w:lang w:val="nl-NL"/>
        </w:rPr>
        <w:t xml:space="preserve"> </w:t>
      </w:r>
      <w:r>
        <w:fldChar w:fldCharType="begin"/>
      </w:r>
      <w:r w:rsidRPr="0078392C">
        <w:rPr>
          <w:lang w:val="nl-NL"/>
          <w:rPrChange w:id="194" w:author="Author">
            <w:rPr/>
          </w:rPrChange>
        </w:rPr>
        <w:instrText>HYPERLINK "https://bosniaherzegovina.un.org/sites/default/files/2021-08/Sustainable%20development_BHS_WEB_final.pdf"</w:instrText>
      </w:r>
      <w:r>
        <w:fldChar w:fldCharType="separate"/>
      </w:r>
      <w:r w:rsidRPr="00D43512">
        <w:rPr>
          <w:rStyle w:val="Hyperlink"/>
          <w:rFonts w:ascii="Calibri" w:hAnsi="Calibri" w:cs="Calibri"/>
          <w:lang w:val="nl-NL"/>
        </w:rPr>
        <w:t>https://bosniaherzegovina.un.org/sites/default/files/2021-08/Sustainable%20development_BHS_WEB_final.pdf</w:t>
      </w:r>
      <w:r>
        <w:fldChar w:fldCharType="end"/>
      </w:r>
      <w:r w:rsidRPr="00D43512">
        <w:rPr>
          <w:rFonts w:ascii="Calibri" w:hAnsi="Calibri" w:cs="Calibri"/>
          <w:lang w:val="nl-NL"/>
        </w:rPr>
        <w:t xml:space="preserve"> </w:t>
      </w:r>
    </w:p>
  </w:footnote>
  <w:footnote w:id="15">
    <w:p w14:paraId="68A8A345" w14:textId="77777777" w:rsidR="008705BC" w:rsidRPr="00D43512" w:rsidRDefault="008705BC" w:rsidP="008705BC">
      <w:pPr>
        <w:pStyle w:val="FootnoteText"/>
        <w:rPr>
          <w:rFonts w:ascii="Calibri" w:hAnsi="Calibri" w:cs="Calibri"/>
          <w:lang w:val="nl-NL"/>
        </w:rPr>
      </w:pPr>
      <w:r w:rsidRPr="00D43512">
        <w:rPr>
          <w:rStyle w:val="FootnoteReference"/>
          <w:rFonts w:ascii="Calibri" w:hAnsi="Calibri" w:cs="Calibri"/>
        </w:rPr>
        <w:footnoteRef/>
      </w:r>
      <w:r w:rsidRPr="00D43512">
        <w:rPr>
          <w:rFonts w:ascii="Calibri" w:hAnsi="Calibri" w:cs="Calibri"/>
          <w:lang w:val="nl-NL"/>
        </w:rPr>
        <w:t xml:space="preserve"> </w:t>
      </w:r>
      <w:r>
        <w:fldChar w:fldCharType="begin"/>
      </w:r>
      <w:r w:rsidRPr="0078392C">
        <w:rPr>
          <w:lang w:val="nl-NL"/>
          <w:rPrChange w:id="195" w:author="Author">
            <w:rPr/>
          </w:rPrChange>
        </w:rPr>
        <w:instrText>HYPERLINK "https://dep.gov.ba/naslovna/ENG_ERP%20BiH%202025-2027_25032025.pdf"</w:instrText>
      </w:r>
      <w:r>
        <w:fldChar w:fldCharType="separate"/>
      </w:r>
      <w:r w:rsidRPr="00D43512">
        <w:rPr>
          <w:rStyle w:val="Hyperlink"/>
          <w:rFonts w:ascii="Calibri" w:hAnsi="Calibri" w:cs="Calibri"/>
          <w:lang w:val="nl-NL"/>
        </w:rPr>
        <w:t>https://dep.gov.ba/naslovna/ENG_ERP%20BiH%202025-2027_25032025.pdf</w:t>
      </w:r>
      <w:r>
        <w:fldChar w:fldCharType="end"/>
      </w:r>
    </w:p>
  </w:footnote>
  <w:footnote w:id="16">
    <w:p w14:paraId="34D68879" w14:textId="60E352CD" w:rsidR="00864A65" w:rsidRPr="00D43512" w:rsidRDefault="00864A65">
      <w:pPr>
        <w:pStyle w:val="FootnoteText"/>
        <w:rPr>
          <w:rFonts w:ascii="Calibri" w:hAnsi="Calibri" w:cs="Calibri"/>
          <w:lang w:val="nl-NL"/>
        </w:rPr>
      </w:pPr>
      <w:r w:rsidRPr="00D43512">
        <w:rPr>
          <w:rStyle w:val="FootnoteReference"/>
          <w:rFonts w:ascii="Calibri" w:hAnsi="Calibri" w:cs="Calibri"/>
        </w:rPr>
        <w:footnoteRef/>
      </w:r>
      <w:r w:rsidRPr="00D43512">
        <w:rPr>
          <w:rFonts w:ascii="Calibri" w:hAnsi="Calibri" w:cs="Calibri"/>
          <w:lang w:val="nl-NL"/>
        </w:rPr>
        <w:t xml:space="preserve"> </w:t>
      </w:r>
      <w:r>
        <w:fldChar w:fldCharType="begin"/>
      </w:r>
      <w:r w:rsidRPr="0078392C">
        <w:rPr>
          <w:lang w:val="nl-NL"/>
          <w:rPrChange w:id="196" w:author="Author">
            <w:rPr/>
          </w:rPrChange>
        </w:rPr>
        <w:instrText>HYPERLINK "https://www.undp.org/bosnia-herzegovina/press-releases/bih-categorised-highly-developed-country-according-undp-human-development-report"</w:instrText>
      </w:r>
      <w:r>
        <w:fldChar w:fldCharType="separate"/>
      </w:r>
      <w:r w:rsidRPr="00D43512">
        <w:rPr>
          <w:rStyle w:val="Hyperlink"/>
          <w:rFonts w:ascii="Calibri" w:hAnsi="Calibri" w:cs="Calibri"/>
          <w:lang w:val="nl-NL"/>
        </w:rPr>
        <w:t>https://www.undp.org/bosnia-herzegovina/press-releases/bih-categorised-highly-developed-country-according-undp-human-development-report</w:t>
      </w:r>
      <w:r>
        <w:fldChar w:fldCharType="end"/>
      </w:r>
      <w:r w:rsidRPr="00D43512">
        <w:rPr>
          <w:rFonts w:ascii="Calibri" w:hAnsi="Calibri" w:cs="Calibri"/>
          <w:lang w:val="nl-NL"/>
        </w:rPr>
        <w:t xml:space="preserve"> </w:t>
      </w:r>
    </w:p>
  </w:footnote>
  <w:footnote w:id="17">
    <w:p w14:paraId="39994870" w14:textId="5A68C4E4" w:rsidR="00864A65" w:rsidRPr="00C74BA7" w:rsidRDefault="00864A65">
      <w:pPr>
        <w:pStyle w:val="FootnoteText"/>
        <w:rPr>
          <w:rFonts w:ascii="Calibri" w:hAnsi="Calibri" w:cs="Calibri"/>
          <w:lang w:val="nl-NL"/>
        </w:rPr>
      </w:pPr>
      <w:r w:rsidRPr="00D43512">
        <w:rPr>
          <w:rStyle w:val="FootnoteReference"/>
          <w:rFonts w:ascii="Calibri" w:hAnsi="Calibri" w:cs="Calibri"/>
        </w:rPr>
        <w:footnoteRef/>
      </w:r>
      <w:r w:rsidRPr="00C74BA7">
        <w:rPr>
          <w:rFonts w:ascii="Calibri" w:hAnsi="Calibri" w:cs="Calibri"/>
          <w:lang w:val="nl-NL"/>
        </w:rPr>
        <w:t xml:space="preserve"> </w:t>
      </w:r>
      <w:r w:rsidR="00BB74F6">
        <w:fldChar w:fldCharType="begin"/>
      </w:r>
      <w:r w:rsidR="00BB74F6" w:rsidRPr="0078392C">
        <w:rPr>
          <w:lang w:val="nl-NL"/>
          <w:rPrChange w:id="197" w:author="Author">
            <w:rPr/>
          </w:rPrChange>
        </w:rPr>
        <w:instrText>HYPERLINK "https://hdr.undp.org/content/human-development-report-2025"</w:instrText>
      </w:r>
      <w:r w:rsidR="00BB74F6">
        <w:fldChar w:fldCharType="separate"/>
      </w:r>
      <w:r w:rsidR="00BB74F6" w:rsidRPr="00D43512">
        <w:rPr>
          <w:rFonts w:ascii="Calibri" w:eastAsiaTheme="minorHAnsi" w:hAnsi="Calibri" w:cs="Calibri"/>
          <w:color w:val="094FD1"/>
          <w:u w:val="single" w:color="094FD1"/>
          <w:lang w:val="nl-NL" w:eastAsia="en-US"/>
          <w14:ligatures w14:val="standardContextual"/>
        </w:rPr>
        <w:t>https://hdr.undp.org/content/human-development-report-2025</w:t>
      </w:r>
      <w:r w:rsidR="00BB74F6">
        <w:fldChar w:fldCharType="end"/>
      </w:r>
      <w:r w:rsidR="00BB74F6" w:rsidRPr="00D43512">
        <w:rPr>
          <w:rFonts w:ascii="Calibri" w:eastAsiaTheme="minorHAnsi" w:hAnsi="Calibri" w:cs="Calibri"/>
          <w:lang w:val="nl-NL" w:eastAsia="en-US"/>
          <w14:ligatures w14:val="standardContextual"/>
        </w:rPr>
        <w:t xml:space="preserve"> </w:t>
      </w:r>
    </w:p>
  </w:footnote>
  <w:footnote w:id="18">
    <w:p w14:paraId="3154E9AE" w14:textId="24BDC373" w:rsidR="00D43512" w:rsidRPr="00C74BA7" w:rsidRDefault="00D43512">
      <w:pPr>
        <w:pStyle w:val="FootnoteText"/>
        <w:rPr>
          <w:rFonts w:ascii="Calibri" w:hAnsi="Calibri" w:cs="Calibri"/>
          <w:lang w:val="nl-NL"/>
        </w:rPr>
      </w:pPr>
      <w:r w:rsidRPr="00D43512">
        <w:rPr>
          <w:rStyle w:val="FootnoteReference"/>
          <w:rFonts w:ascii="Calibri" w:hAnsi="Calibri" w:cs="Calibri"/>
        </w:rPr>
        <w:footnoteRef/>
      </w:r>
      <w:r w:rsidRPr="00C74BA7">
        <w:rPr>
          <w:rFonts w:ascii="Calibri" w:hAnsi="Calibri" w:cs="Calibri"/>
          <w:lang w:val="nl-NL"/>
        </w:rPr>
        <w:t xml:space="preserve"> </w:t>
      </w:r>
      <w:r>
        <w:fldChar w:fldCharType="begin"/>
      </w:r>
      <w:r w:rsidRPr="0078392C">
        <w:rPr>
          <w:lang w:val="nl-NL"/>
          <w:rPrChange w:id="198" w:author="Author">
            <w:rPr/>
          </w:rPrChange>
        </w:rPr>
        <w:instrText>HYPERLINK "https://data.worldbank.org/indicator/NY.GDP.PCAP.PP.CD?locations=BA"</w:instrText>
      </w:r>
      <w:r>
        <w:fldChar w:fldCharType="separate"/>
      </w:r>
      <w:r w:rsidRPr="00C74BA7">
        <w:rPr>
          <w:rStyle w:val="Hyperlink"/>
          <w:rFonts w:ascii="Calibri" w:hAnsi="Calibri" w:cs="Calibri"/>
          <w:lang w:val="nl-NL"/>
        </w:rPr>
        <w:t>https://data.worldbank.org/indicator/NY.GDP.PCAP.PP.CD?locations=BA</w:t>
      </w:r>
      <w:r>
        <w:fldChar w:fldCharType="end"/>
      </w:r>
      <w:r w:rsidRPr="00C74BA7">
        <w:rPr>
          <w:rFonts w:ascii="Calibri" w:hAnsi="Calibri" w:cs="Calibri"/>
          <w:lang w:val="nl-NL"/>
        </w:rPr>
        <w:t xml:space="preserve"> </w:t>
      </w:r>
    </w:p>
  </w:footnote>
  <w:footnote w:id="19">
    <w:p w14:paraId="1797490F" w14:textId="0181283C" w:rsidR="00D43512" w:rsidRPr="00C74BA7" w:rsidRDefault="00D43512">
      <w:pPr>
        <w:pStyle w:val="FootnoteText"/>
        <w:rPr>
          <w:lang w:val="es-HN"/>
        </w:rPr>
      </w:pPr>
      <w:r>
        <w:rPr>
          <w:rStyle w:val="FootnoteReference"/>
        </w:rPr>
        <w:footnoteRef/>
      </w:r>
      <w:r w:rsidRPr="00C74BA7">
        <w:rPr>
          <w:lang w:val="es-HN"/>
        </w:rPr>
        <w:t xml:space="preserve"> Ibid.</w:t>
      </w:r>
    </w:p>
  </w:footnote>
  <w:footnote w:id="20">
    <w:p w14:paraId="6200C4B5" w14:textId="4F96B8BB" w:rsidR="00864A65" w:rsidRPr="00D43512" w:rsidRDefault="00864A65">
      <w:pPr>
        <w:pStyle w:val="FootnoteText"/>
        <w:rPr>
          <w:rFonts w:ascii="Calibri" w:hAnsi="Calibri" w:cs="Calibri"/>
          <w:lang w:val="es-HN"/>
        </w:rPr>
      </w:pPr>
      <w:r w:rsidRPr="00D43512">
        <w:rPr>
          <w:rStyle w:val="FootnoteReference"/>
          <w:rFonts w:ascii="Calibri" w:hAnsi="Calibri" w:cs="Calibri"/>
        </w:rPr>
        <w:footnoteRef/>
      </w:r>
      <w:r w:rsidRPr="00D43512">
        <w:rPr>
          <w:rFonts w:ascii="Calibri" w:hAnsi="Calibri" w:cs="Calibri"/>
          <w:lang w:val="es-HN"/>
        </w:rPr>
        <w:t xml:space="preserve"> </w:t>
      </w:r>
      <w:hyperlink r:id="rId6" w:history="1">
        <w:r w:rsidRPr="00D43512">
          <w:rPr>
            <w:rStyle w:val="Hyperlink"/>
            <w:rFonts w:ascii="Calibri" w:hAnsi="Calibri" w:cs="Calibri"/>
            <w:lang w:val="es-HN"/>
          </w:rPr>
          <w:t>https://migrants-refugees.va/country-profile/bosnia-and-herzegovina/</w:t>
        </w:r>
      </w:hyperlink>
      <w:r w:rsidRPr="00D43512">
        <w:rPr>
          <w:rFonts w:ascii="Calibri" w:hAnsi="Calibri" w:cs="Calibri"/>
          <w:lang w:val="es-HN"/>
        </w:rPr>
        <w:t xml:space="preserve"> </w:t>
      </w:r>
    </w:p>
  </w:footnote>
  <w:footnote w:id="21">
    <w:p w14:paraId="6DDCF29A" w14:textId="77777777" w:rsidR="00A407E7" w:rsidRPr="00D43512" w:rsidRDefault="00A407E7" w:rsidP="00A407E7">
      <w:pPr>
        <w:pStyle w:val="FootnoteText"/>
        <w:rPr>
          <w:rFonts w:ascii="Calibri" w:hAnsi="Calibri" w:cs="Calibri"/>
          <w:lang w:val="es-HN"/>
        </w:rPr>
      </w:pPr>
      <w:r w:rsidRPr="00D43512">
        <w:rPr>
          <w:rStyle w:val="FootnoteReference"/>
          <w:rFonts w:ascii="Calibri" w:hAnsi="Calibri" w:cs="Calibri"/>
        </w:rPr>
        <w:footnoteRef/>
      </w:r>
      <w:r w:rsidRPr="00D43512">
        <w:rPr>
          <w:rFonts w:ascii="Calibri" w:hAnsi="Calibri" w:cs="Calibri"/>
          <w:lang w:val="es-HN"/>
        </w:rPr>
        <w:t xml:space="preserve"> </w:t>
      </w:r>
      <w:hyperlink r:id="rId7" w:history="1">
        <w:r w:rsidRPr="00D43512">
          <w:rPr>
            <w:rStyle w:val="Hyperlink"/>
            <w:rFonts w:ascii="Calibri" w:hAnsi="Calibri" w:cs="Calibri"/>
            <w:lang w:val="es-HN"/>
          </w:rPr>
          <w:t>https://n1info.ba/english/news/forbes-bosnia-has-the-secong-biggest-diaspora-in-the-world/</w:t>
        </w:r>
      </w:hyperlink>
      <w:r w:rsidRPr="00D43512">
        <w:rPr>
          <w:rFonts w:ascii="Calibri" w:hAnsi="Calibri" w:cs="Calibri"/>
          <w:lang w:val="es-HN"/>
        </w:rPr>
        <w:t xml:space="preserve"> </w:t>
      </w:r>
    </w:p>
  </w:footnote>
  <w:footnote w:id="22">
    <w:p w14:paraId="508C02D1" w14:textId="77777777" w:rsidR="00E00C0B" w:rsidRPr="00D43512" w:rsidRDefault="00E00C0B" w:rsidP="00E00C0B">
      <w:pPr>
        <w:pStyle w:val="FootnoteText"/>
        <w:rPr>
          <w:rFonts w:ascii="Calibri" w:hAnsi="Calibri" w:cs="Calibri"/>
          <w:lang w:val="es-HN"/>
        </w:rPr>
      </w:pPr>
      <w:r w:rsidRPr="00D43512">
        <w:rPr>
          <w:rStyle w:val="FootnoteReference"/>
          <w:rFonts w:ascii="Calibri" w:hAnsi="Calibri" w:cs="Calibri"/>
        </w:rPr>
        <w:footnoteRef/>
      </w:r>
      <w:r w:rsidRPr="00D43512">
        <w:rPr>
          <w:rFonts w:ascii="Calibri" w:hAnsi="Calibri" w:cs="Calibri"/>
          <w:lang w:val="es-HN"/>
        </w:rPr>
        <w:t xml:space="preserve"> </w:t>
      </w:r>
      <w:hyperlink r:id="rId8" w:history="1">
        <w:r w:rsidRPr="00D43512">
          <w:rPr>
            <w:rStyle w:val="Hyperlink"/>
            <w:rFonts w:ascii="Calibri" w:hAnsi="Calibri" w:cs="Calibri"/>
            <w:lang w:val="es-HN"/>
          </w:rPr>
          <w:t>https://worldpopulationreview.com/country-rankings/brain-drain-countries</w:t>
        </w:r>
      </w:hyperlink>
      <w:r w:rsidRPr="00D43512">
        <w:rPr>
          <w:rFonts w:ascii="Calibri" w:hAnsi="Calibri" w:cs="Calibri"/>
          <w:lang w:val="es-HN"/>
        </w:rPr>
        <w:t xml:space="preserve"> </w:t>
      </w:r>
    </w:p>
  </w:footnote>
  <w:footnote w:id="23">
    <w:p w14:paraId="7AB7EA83" w14:textId="77777777" w:rsidR="00C07A6C" w:rsidRDefault="00C07A6C" w:rsidP="00C07A6C">
      <w:pPr>
        <w:pStyle w:val="FootnoteText"/>
      </w:pPr>
      <w:r w:rsidRPr="00D43512">
        <w:rPr>
          <w:rStyle w:val="FootnoteReference"/>
          <w:rFonts w:ascii="Calibri" w:hAnsi="Calibri" w:cs="Calibri"/>
        </w:rPr>
        <w:footnoteRef/>
      </w:r>
      <w:r w:rsidRPr="00D43512">
        <w:rPr>
          <w:rFonts w:ascii="Calibri" w:hAnsi="Calibri" w:cs="Calibri"/>
        </w:rPr>
        <w:t xml:space="preserve"> UNDP, Gender Equality Barometer of BiH, 2024</w:t>
      </w:r>
    </w:p>
  </w:footnote>
  <w:footnote w:id="24">
    <w:p w14:paraId="7CACA609" w14:textId="77777777" w:rsidR="00C07A6C" w:rsidRPr="00323B97" w:rsidRDefault="00C07A6C" w:rsidP="00C07A6C">
      <w:pPr>
        <w:pStyle w:val="FootnoteText"/>
        <w:rPr>
          <w:rFonts w:ascii="Calibri" w:hAnsi="Calibri" w:cs="Calibri"/>
        </w:rPr>
      </w:pPr>
      <w:r w:rsidRPr="00323B97">
        <w:rPr>
          <w:rStyle w:val="FootnoteReference"/>
          <w:rFonts w:ascii="Calibri" w:hAnsi="Calibri" w:cs="Calibri"/>
        </w:rPr>
        <w:footnoteRef/>
      </w:r>
      <w:r w:rsidRPr="00323B97">
        <w:rPr>
          <w:rFonts w:ascii="Calibri" w:hAnsi="Calibri" w:cs="Calibri"/>
        </w:rPr>
        <w:t xml:space="preserve"> UN-Women, Country Gender Equality profile BiH, 2021 </w:t>
      </w:r>
      <w:hyperlink r:id="rId9" w:history="1">
        <w:r w:rsidRPr="00323B97">
          <w:rPr>
            <w:rStyle w:val="Hyperlink"/>
            <w:rFonts w:ascii="Calibri" w:hAnsi="Calibri" w:cs="Calibri"/>
          </w:rPr>
          <w:t>https://eca.unwomen.org/sites/default/files/Field%20Office%20ECA/Attachments/Publications/2021/7/UNW%20Country%20Gender%20Equality%20Profile%20BiH.pdf</w:t>
        </w:r>
      </w:hyperlink>
      <w:r w:rsidRPr="00323B97">
        <w:rPr>
          <w:rFonts w:ascii="Calibri" w:hAnsi="Calibri" w:cs="Calibri"/>
        </w:rPr>
        <w:t xml:space="preserve"> </w:t>
      </w:r>
    </w:p>
  </w:footnote>
  <w:footnote w:id="25">
    <w:p w14:paraId="3DA1B53F" w14:textId="05B33D83" w:rsidR="00583A20" w:rsidRDefault="00583A20">
      <w:pPr>
        <w:pStyle w:val="FootnoteText"/>
      </w:pPr>
      <w:r>
        <w:rPr>
          <w:rStyle w:val="FootnoteReference"/>
        </w:rPr>
        <w:footnoteRef/>
      </w:r>
      <w:r>
        <w:t xml:space="preserve"> </w:t>
      </w:r>
      <w:hyperlink r:id="rId10" w:history="1">
        <w:r w:rsidRPr="008D1572">
          <w:rPr>
            <w:rStyle w:val="Hyperlink"/>
          </w:rPr>
          <w:t>https://rm.coe.int/european-charter-of-local-self-government-eng/1680a87cc3</w:t>
        </w:r>
      </w:hyperlink>
      <w:r>
        <w:t xml:space="preserve"> </w:t>
      </w:r>
    </w:p>
  </w:footnote>
  <w:footnote w:id="26">
    <w:p w14:paraId="17F28B7F" w14:textId="64D44851" w:rsidR="00864A65" w:rsidRPr="00323B97" w:rsidRDefault="00864A65" w:rsidP="009D25D3">
      <w:pPr>
        <w:pStyle w:val="FootnoteText"/>
        <w:rPr>
          <w:rFonts w:ascii="Calibri" w:hAnsi="Calibri" w:cs="Calibri"/>
        </w:rPr>
      </w:pPr>
      <w:r w:rsidRPr="00323B97">
        <w:rPr>
          <w:rStyle w:val="FootnoteReference"/>
          <w:rFonts w:ascii="Calibri" w:hAnsi="Calibri" w:cs="Calibri"/>
        </w:rPr>
        <w:footnoteRef/>
      </w:r>
      <w:r w:rsidRPr="00323B97">
        <w:rPr>
          <w:rFonts w:ascii="Calibri" w:hAnsi="Calibri" w:cs="Calibri"/>
        </w:rPr>
        <w:t xml:space="preserve"> </w:t>
      </w:r>
      <w:r w:rsidR="00CE56F5" w:rsidRPr="00323B97">
        <w:rPr>
          <w:rFonts w:ascii="Calibri" w:hAnsi="Calibri" w:cs="Calibri"/>
        </w:rPr>
        <w:t>https://data.worldbank.org/indicator/ER.H2O.INTR.PC?locations=Z7-BA</w:t>
      </w:r>
    </w:p>
  </w:footnote>
  <w:footnote w:id="27">
    <w:p w14:paraId="4EDE513D" w14:textId="77777777" w:rsidR="00864A65" w:rsidRPr="00323B97" w:rsidRDefault="00864A65" w:rsidP="009D25D3">
      <w:pPr>
        <w:pStyle w:val="FootnoteText"/>
        <w:rPr>
          <w:rFonts w:ascii="Calibri" w:hAnsi="Calibri" w:cs="Calibri"/>
        </w:rPr>
      </w:pPr>
      <w:r w:rsidRPr="00323B97">
        <w:rPr>
          <w:rStyle w:val="FootnoteReference"/>
          <w:rFonts w:ascii="Calibri" w:hAnsi="Calibri" w:cs="Calibri"/>
        </w:rPr>
        <w:footnoteRef/>
      </w:r>
      <w:r w:rsidRPr="00323B97">
        <w:rPr>
          <w:rFonts w:ascii="Calibri" w:hAnsi="Calibri" w:cs="Calibri"/>
        </w:rPr>
        <w:t xml:space="preserve"> </w:t>
      </w:r>
      <w:hyperlink r:id="rId11" w:history="1">
        <w:r w:rsidRPr="00323B97">
          <w:rPr>
            <w:rStyle w:val="Hyperlink"/>
            <w:rFonts w:ascii="Calibri" w:hAnsi="Calibri" w:cs="Calibri"/>
          </w:rPr>
          <w:t>https://www.vladars.net/sr-SP-Cyrl/Vlada/Ministarstva/mgr/Documents/ENVIRONMENTAL%20STRATEGY%20OF%20REPUBLIKA%20SRPSKA%202022%20to%202032_462217192.pdf</w:t>
        </w:r>
      </w:hyperlink>
      <w:r w:rsidRPr="00323B97">
        <w:rPr>
          <w:rFonts w:ascii="Calibri" w:hAnsi="Calibri" w:cs="Calibri"/>
        </w:rPr>
        <w:t xml:space="preserve"> </w:t>
      </w:r>
    </w:p>
  </w:footnote>
  <w:footnote w:id="28">
    <w:p w14:paraId="2BB317B6" w14:textId="77777777" w:rsidR="00864A65" w:rsidRDefault="00864A65" w:rsidP="00E07EA2">
      <w:pPr>
        <w:pStyle w:val="FootnoteText"/>
      </w:pPr>
      <w:r w:rsidRPr="00323B97">
        <w:rPr>
          <w:rStyle w:val="FootnoteReference"/>
          <w:rFonts w:ascii="Calibri" w:hAnsi="Calibri" w:cs="Calibri"/>
        </w:rPr>
        <w:footnoteRef/>
      </w:r>
      <w:r w:rsidRPr="00323B97">
        <w:rPr>
          <w:rFonts w:ascii="Calibri" w:hAnsi="Calibri" w:cs="Calibri"/>
        </w:rPr>
        <w:t xml:space="preserve"> </w:t>
      </w:r>
      <w:hyperlink r:id="rId12" w:history="1">
        <w:r w:rsidRPr="00323B97">
          <w:rPr>
            <w:rStyle w:val="Hyperlink"/>
            <w:rFonts w:ascii="Calibri" w:hAnsi="Calibri" w:cs="Calibri"/>
          </w:rPr>
          <w:t>https://www.climatechangepost.com/countries/bosnia/fresh-water-resources/</w:t>
        </w:r>
      </w:hyperlink>
      <w:r>
        <w:t xml:space="preserve"> </w:t>
      </w:r>
    </w:p>
  </w:footnote>
  <w:footnote w:id="29">
    <w:p w14:paraId="6EF1206E" w14:textId="4C12FB09" w:rsidR="00864A65" w:rsidRDefault="00864A65">
      <w:pPr>
        <w:pStyle w:val="FootnoteText"/>
      </w:pPr>
      <w:r>
        <w:rPr>
          <w:rStyle w:val="FootnoteReference"/>
        </w:rPr>
        <w:footnoteRef/>
      </w:r>
      <w:r>
        <w:t xml:space="preserve"> </w:t>
      </w:r>
      <w:hyperlink r:id="rId13" w:history="1">
        <w:r w:rsidRPr="006D3EA4">
          <w:rPr>
            <w:rStyle w:val="Hyperlink"/>
          </w:rPr>
          <w:t>https://icld.se/wp-content/uploads/ICLD-Country-Brief-Bosnia-Herzegovina.pdf</w:t>
        </w:r>
      </w:hyperlink>
      <w:r>
        <w:t xml:space="preserve"> </w:t>
      </w:r>
    </w:p>
  </w:footnote>
  <w:footnote w:id="30">
    <w:p w14:paraId="61D13A26" w14:textId="77777777" w:rsidR="00DE0014" w:rsidRPr="00DE0014" w:rsidRDefault="00DE0014" w:rsidP="00DE0014">
      <w:pPr>
        <w:pStyle w:val="FootnoteText"/>
      </w:pPr>
      <w:r>
        <w:rPr>
          <w:rStyle w:val="FootnoteReference"/>
        </w:rPr>
        <w:footnoteRef/>
      </w:r>
      <w:r w:rsidRPr="00DE0014">
        <w:t xml:space="preserve"> </w:t>
      </w:r>
      <w:hyperlink r:id="rId14" w:history="1">
        <w:r w:rsidRPr="00DE0014">
          <w:rPr>
            <w:rStyle w:val="Hyperlink"/>
          </w:rPr>
          <w:t>https://www.undp.org/bosnia-herzegovina/publications/country-programme-document-bosnia-and-herzegovina-2021-2025</w:t>
        </w:r>
      </w:hyperlink>
    </w:p>
  </w:footnote>
  <w:footnote w:id="31">
    <w:p w14:paraId="787812FB" w14:textId="77777777" w:rsidR="00D44851" w:rsidRDefault="00D44851" w:rsidP="00D44851">
      <w:pPr>
        <w:pStyle w:val="FootnoteText"/>
      </w:pPr>
      <w:r>
        <w:rPr>
          <w:rStyle w:val="FootnoteReference"/>
        </w:rPr>
        <w:footnoteRef/>
      </w:r>
      <w:r>
        <w:t xml:space="preserve"> </w:t>
      </w:r>
      <w:hyperlink r:id="rId15" w:history="1">
        <w:r w:rsidRPr="006D3EA4">
          <w:rPr>
            <w:rStyle w:val="Hyperlink"/>
          </w:rPr>
          <w:t>https://www.undp.org/publications/system-change-guidebook-adopting-portfolio-approaches</w:t>
        </w:r>
      </w:hyperlink>
      <w:r>
        <w:t xml:space="preserve"> </w:t>
      </w:r>
    </w:p>
  </w:footnote>
  <w:footnote w:id="32">
    <w:p w14:paraId="141AAA6C" w14:textId="77777777" w:rsidR="00864A65" w:rsidRPr="008A2015" w:rsidRDefault="00864A65" w:rsidP="009762C8">
      <w:pPr>
        <w:pBdr>
          <w:top w:val="nil"/>
          <w:left w:val="nil"/>
          <w:bottom w:val="nil"/>
          <w:right w:val="nil"/>
          <w:between w:val="nil"/>
        </w:pBdr>
        <w:rPr>
          <w:rFonts w:ascii="Calibri" w:hAnsi="Calibri" w:cs="Calibri"/>
          <w:color w:val="000000"/>
          <w:sz w:val="20"/>
          <w:szCs w:val="20"/>
        </w:rPr>
      </w:pPr>
      <w:r w:rsidRPr="008A2015">
        <w:rPr>
          <w:rStyle w:val="FootnoteReference"/>
          <w:rFonts w:ascii="Calibri" w:hAnsi="Calibri" w:cs="Calibri"/>
          <w:sz w:val="20"/>
          <w:szCs w:val="20"/>
        </w:rPr>
        <w:footnoteRef/>
      </w:r>
      <w:r w:rsidRPr="008A2015">
        <w:rPr>
          <w:rFonts w:ascii="Calibri" w:hAnsi="Calibri" w:cs="Calibri"/>
          <w:color w:val="000000"/>
          <w:sz w:val="20"/>
          <w:szCs w:val="20"/>
        </w:rPr>
        <w:t xml:space="preserve"> </w:t>
      </w:r>
      <w:hyperlink r:id="rId16">
        <w:r w:rsidRPr="008A2015">
          <w:rPr>
            <w:rFonts w:ascii="Calibri" w:hAnsi="Calibri" w:cs="Calibri"/>
            <w:color w:val="0563C1"/>
            <w:sz w:val="20"/>
            <w:szCs w:val="20"/>
            <w:u w:val="single"/>
          </w:rPr>
          <w:t>https://www.oecd.org/dac/evaluation/daccriteriaforevaluatingdevelopmentassistance.htm</w:t>
        </w:r>
      </w:hyperlink>
      <w:r w:rsidRPr="008A2015">
        <w:rPr>
          <w:rFonts w:ascii="Calibri" w:hAnsi="Calibri" w:cs="Calibri"/>
          <w:color w:val="000000"/>
          <w:sz w:val="20"/>
          <w:szCs w:val="20"/>
        </w:rPr>
        <w:t xml:space="preserve"> </w:t>
      </w:r>
    </w:p>
  </w:footnote>
  <w:footnote w:id="33">
    <w:p w14:paraId="3E5E4F7D" w14:textId="77777777" w:rsidR="00425EA6" w:rsidRPr="00ED18FB" w:rsidRDefault="00425EA6" w:rsidP="00425EA6">
      <w:pPr>
        <w:pStyle w:val="FootnoteText"/>
        <w:rPr>
          <w:rFonts w:ascii="Calibri" w:hAnsi="Calibri" w:cs="Calibri"/>
          <w:lang w:val="sr-Latn-BA"/>
        </w:rPr>
      </w:pPr>
      <w:r w:rsidRPr="00ED18FB">
        <w:rPr>
          <w:rStyle w:val="FootnoteReference"/>
          <w:rFonts w:ascii="Calibri" w:hAnsi="Calibri" w:cs="Calibri"/>
        </w:rPr>
        <w:footnoteRef/>
      </w:r>
      <w:r w:rsidRPr="00ED18FB">
        <w:rPr>
          <w:rFonts w:ascii="Calibri" w:hAnsi="Calibri" w:cs="Calibri"/>
          <w:lang w:val="sr-Latn-BA"/>
        </w:rPr>
        <w:t xml:space="preserve"> </w:t>
      </w:r>
      <w:hyperlink r:id="rId17" w:history="1">
        <w:r w:rsidRPr="00ED18FB">
          <w:rPr>
            <w:rStyle w:val="Hyperlink"/>
            <w:rFonts w:ascii="Calibri" w:hAnsi="Calibri" w:cs="Calibri"/>
            <w:lang w:val="sr-Latn-BA"/>
          </w:rPr>
          <w:t>https://www.unevaluation.org/uneg_publications/uneg-norms-and-standards-evaluation-un-system</w:t>
        </w:r>
      </w:hyperlink>
      <w:r w:rsidRPr="00ED18FB">
        <w:rPr>
          <w:rFonts w:ascii="Calibri" w:hAnsi="Calibri" w:cs="Calibri"/>
          <w:lang w:val="sr-Latn-BA"/>
        </w:rPr>
        <w:t xml:space="preserve"> </w:t>
      </w:r>
    </w:p>
  </w:footnote>
  <w:footnote w:id="34">
    <w:p w14:paraId="431C433B" w14:textId="77777777" w:rsidR="00425EA6" w:rsidRPr="00ED18FB" w:rsidRDefault="00425EA6" w:rsidP="00425EA6">
      <w:pPr>
        <w:pStyle w:val="FootnoteText"/>
        <w:rPr>
          <w:rFonts w:ascii="Calibri" w:hAnsi="Calibri" w:cs="Calibri"/>
          <w:lang w:val="sr-Latn-BA"/>
        </w:rPr>
      </w:pPr>
      <w:r w:rsidRPr="00ED18FB">
        <w:rPr>
          <w:rStyle w:val="FootnoteReference"/>
          <w:rFonts w:ascii="Calibri" w:hAnsi="Calibri" w:cs="Calibri"/>
        </w:rPr>
        <w:footnoteRef/>
      </w:r>
      <w:r w:rsidRPr="00ED18FB">
        <w:rPr>
          <w:rFonts w:ascii="Calibri" w:hAnsi="Calibri" w:cs="Calibri"/>
          <w:lang w:val="sr-Latn-BA"/>
        </w:rPr>
        <w:t xml:space="preserve"> </w:t>
      </w:r>
      <w:hyperlink r:id="rId18" w:anchor=":~:text=The%20four%20UNEG%20guiding%20ethical,essential%20for%20responsible%20evaluation%20practice" w:history="1">
        <w:r w:rsidRPr="00ED18FB">
          <w:rPr>
            <w:rStyle w:val="Hyperlink"/>
            <w:rFonts w:ascii="Calibri" w:hAnsi="Calibri" w:cs="Calibri"/>
            <w:lang w:val="sr-Latn-BA"/>
          </w:rPr>
          <w:t>https://procurement-notices.undp.org/view_file.cfm?doc_id=302194#:~:text=The%20four%20UNEG%20guiding%20ethical,essential%20for%20responsible%20evaluation%20practice</w:t>
        </w:r>
      </w:hyperlink>
      <w:r w:rsidRPr="00ED18FB">
        <w:rPr>
          <w:rFonts w:ascii="Calibri" w:hAnsi="Calibri" w:cs="Calibri"/>
          <w:lang w:val="sr-Latn-BA"/>
        </w:rPr>
        <w:t xml:space="preserve">. </w:t>
      </w:r>
    </w:p>
  </w:footnote>
  <w:footnote w:id="35">
    <w:p w14:paraId="1EE8FB21" w14:textId="6E41F61E" w:rsidR="00CA331C" w:rsidRPr="00B768AC" w:rsidRDefault="00CA331C">
      <w:pPr>
        <w:pStyle w:val="FootnoteText"/>
        <w:rPr>
          <w:lang w:val="sr-Latn-BA"/>
        </w:rPr>
      </w:pPr>
      <w:r w:rsidRPr="00ED18FB">
        <w:rPr>
          <w:rStyle w:val="FootnoteReference"/>
          <w:rFonts w:ascii="Calibri" w:hAnsi="Calibri" w:cs="Calibri"/>
        </w:rPr>
        <w:footnoteRef/>
      </w:r>
      <w:r w:rsidRPr="00ED18FB">
        <w:rPr>
          <w:rFonts w:ascii="Calibri" w:hAnsi="Calibri" w:cs="Calibri"/>
          <w:lang w:val="sr-Latn-BA"/>
        </w:rPr>
        <w:t xml:space="preserve"> </w:t>
      </w:r>
      <w:hyperlink r:id="rId19" w:history="1">
        <w:r w:rsidR="00B768AC" w:rsidRPr="00ED18FB">
          <w:rPr>
            <w:rStyle w:val="Hyperlink"/>
            <w:rFonts w:ascii="Calibri" w:hAnsi="Calibri" w:cs="Calibri"/>
            <w:lang w:val="sr-Latn-BA"/>
          </w:rPr>
          <w:t>https://erc.undp.org/pdf/UNDP_Evaluation_Guidelines.pdf</w:t>
        </w:r>
      </w:hyperlink>
      <w:r w:rsidR="00B768AC" w:rsidRPr="00B768AC">
        <w:rPr>
          <w:lang w:val="sr-Latn-BA"/>
        </w:rPr>
        <w:t xml:space="preserve"> </w:t>
      </w:r>
    </w:p>
  </w:footnote>
  <w:footnote w:id="36">
    <w:p w14:paraId="76774A9F" w14:textId="24ADF14D" w:rsidR="00862676" w:rsidRPr="00862676" w:rsidRDefault="00862676">
      <w:pPr>
        <w:pStyle w:val="FootnoteText"/>
        <w:rPr>
          <w:lang w:val="sr-Latn-BA"/>
        </w:rPr>
      </w:pPr>
      <w:r>
        <w:rPr>
          <w:rStyle w:val="FootnoteReference"/>
        </w:rPr>
        <w:footnoteRef/>
      </w:r>
      <w:r w:rsidRPr="00862676">
        <w:rPr>
          <w:lang w:val="sr-Latn-BA"/>
        </w:rPr>
        <w:t xml:space="preserve"> </w:t>
      </w:r>
      <w:hyperlink r:id="rId20" w:history="1">
        <w:r w:rsidRPr="006D3EA4">
          <w:rPr>
            <w:rStyle w:val="Hyperlink"/>
            <w:lang w:val="sr-Latn-BA"/>
          </w:rPr>
          <w:t>https://erc.undp.org/methods-center/methods/evaluation-methods/contribution-analysis</w:t>
        </w:r>
      </w:hyperlink>
      <w:r>
        <w:rPr>
          <w:lang w:val="sr-Latn-BA"/>
        </w:rPr>
        <w:t xml:space="preserve"> </w:t>
      </w:r>
    </w:p>
  </w:footnote>
  <w:footnote w:id="37">
    <w:p w14:paraId="09CACC84" w14:textId="13B501BE" w:rsidR="000C5583" w:rsidRPr="000C5583" w:rsidRDefault="000C5583">
      <w:pPr>
        <w:pStyle w:val="FootnoteText"/>
        <w:rPr>
          <w:lang w:val="sr-Latn-BA"/>
        </w:rPr>
      </w:pPr>
      <w:r>
        <w:rPr>
          <w:rStyle w:val="FootnoteReference"/>
        </w:rPr>
        <w:footnoteRef/>
      </w:r>
      <w:r w:rsidRPr="000C5583">
        <w:rPr>
          <w:lang w:val="sr-Latn-BA"/>
        </w:rPr>
        <w:t xml:space="preserve"> </w:t>
      </w:r>
      <w:hyperlink r:id="rId21" w:history="1">
        <w:r w:rsidRPr="000C5583">
          <w:rPr>
            <w:rStyle w:val="Hyperlink"/>
            <w:lang w:val="sr-Latn-BA"/>
          </w:rPr>
          <w:t>https://www.wareg.org/european-water-acquis/</w:t>
        </w:r>
      </w:hyperlink>
      <w:r w:rsidRPr="000C5583">
        <w:rPr>
          <w:lang w:val="sr-Latn-BA"/>
        </w:rPr>
        <w:t xml:space="preserve"> </w:t>
      </w:r>
    </w:p>
  </w:footnote>
  <w:footnote w:id="38">
    <w:p w14:paraId="241AF5D1" w14:textId="737A2C30" w:rsidR="006C3579" w:rsidRPr="00A7491D" w:rsidRDefault="006C3579">
      <w:pPr>
        <w:pStyle w:val="FootnoteText"/>
        <w:rPr>
          <w:lang w:val="sr-Latn-BA"/>
        </w:rPr>
      </w:pPr>
      <w:r>
        <w:rPr>
          <w:rStyle w:val="FootnoteReference"/>
        </w:rPr>
        <w:footnoteRef/>
      </w:r>
      <w:r w:rsidRPr="00A7491D">
        <w:rPr>
          <w:lang w:val="sr-Latn-BA"/>
        </w:rPr>
        <w:t xml:space="preserve"> </w:t>
      </w:r>
      <w:hyperlink r:id="rId22" w:history="1">
        <w:r w:rsidRPr="00A7491D">
          <w:rPr>
            <w:rStyle w:val="Hyperlink"/>
            <w:lang w:val="sr-Latn-BA"/>
          </w:rPr>
          <w:t>https://www.undp.org/bosnia-herzegovina/publications/sdgs-framework-bosnia-and-herzegovina</w:t>
        </w:r>
      </w:hyperlink>
      <w:r w:rsidRPr="00A7491D">
        <w:rPr>
          <w:lang w:val="sr-Latn-BA"/>
        </w:rPr>
        <w:t xml:space="preserve"> </w:t>
      </w:r>
    </w:p>
  </w:footnote>
  <w:footnote w:id="39">
    <w:p w14:paraId="7FFA2350" w14:textId="77777777" w:rsidR="00B972F5" w:rsidRPr="00621F7F" w:rsidRDefault="00B972F5" w:rsidP="00B972F5">
      <w:pPr>
        <w:pStyle w:val="FootnoteText"/>
        <w:spacing w:line="276" w:lineRule="auto"/>
        <w:rPr>
          <w:rFonts w:ascii="Calibri" w:hAnsi="Calibri" w:cs="Calibri"/>
        </w:rPr>
      </w:pPr>
      <w:r w:rsidRPr="00621F7F">
        <w:rPr>
          <w:rStyle w:val="FootnoteReference"/>
          <w:rFonts w:ascii="Calibri" w:hAnsi="Calibri" w:cs="Calibri"/>
        </w:rPr>
        <w:footnoteRef/>
      </w:r>
      <w:r w:rsidRPr="00621F7F">
        <w:rPr>
          <w:rFonts w:ascii="Calibri" w:hAnsi="Calibri" w:cs="Calibri"/>
        </w:rPr>
        <w:t xml:space="preserve"> Assemblies are </w:t>
      </w:r>
      <w:r>
        <w:rPr>
          <w:rFonts w:ascii="Calibri" w:hAnsi="Calibri" w:cs="Calibri"/>
        </w:rPr>
        <w:t xml:space="preserve">legislative bodies </w:t>
      </w:r>
      <w:r w:rsidRPr="00621F7F">
        <w:rPr>
          <w:rFonts w:ascii="Calibri" w:hAnsi="Calibri" w:cs="Calibri"/>
        </w:rPr>
        <w:t xml:space="preserve">elected </w:t>
      </w:r>
      <w:r>
        <w:rPr>
          <w:rFonts w:ascii="Calibri" w:hAnsi="Calibri" w:cs="Calibri"/>
        </w:rPr>
        <w:t>by citizens</w:t>
      </w:r>
      <w:r w:rsidRPr="00621F7F">
        <w:rPr>
          <w:rFonts w:ascii="Calibri" w:hAnsi="Calibri" w:cs="Calibri"/>
        </w:rPr>
        <w:t xml:space="preserve"> at the level of municipalities </w:t>
      </w:r>
      <w:r>
        <w:rPr>
          <w:rFonts w:ascii="Calibri" w:hAnsi="Calibri" w:cs="Calibri"/>
        </w:rPr>
        <w:t xml:space="preserve">/ cities </w:t>
      </w:r>
      <w:r w:rsidRPr="00621F7F">
        <w:rPr>
          <w:rFonts w:ascii="Calibri" w:hAnsi="Calibri" w:cs="Calibri"/>
        </w:rPr>
        <w:t>and local authorities in BiH</w:t>
      </w:r>
      <w:r>
        <w:rPr>
          <w:rFonts w:ascii="Calibri" w:hAnsi="Calibri" w:cs="Calibri"/>
        </w:rPr>
        <w:t xml:space="preserve"> with mandate for adopting the municipal / city statutes, budgets, and appoint/dismiss staff.</w:t>
      </w:r>
      <w:r w:rsidRPr="00621F7F">
        <w:rPr>
          <w:rFonts w:ascii="Calibri" w:hAnsi="Calibri" w:cs="Calibri"/>
        </w:rPr>
        <w:t xml:space="preserve"> </w:t>
      </w:r>
    </w:p>
  </w:footnote>
  <w:footnote w:id="40">
    <w:p w14:paraId="40F8175C" w14:textId="77777777" w:rsidR="004F6592" w:rsidRPr="00B972F5" w:rsidRDefault="004F6592" w:rsidP="004F6592">
      <w:pPr>
        <w:pStyle w:val="FootnoteText"/>
        <w:rPr>
          <w:lang w:val="sr-Latn-BA"/>
        </w:rPr>
      </w:pPr>
      <w:r>
        <w:rPr>
          <w:rStyle w:val="FootnoteReference"/>
        </w:rPr>
        <w:footnoteRef/>
      </w:r>
      <w:r w:rsidRPr="00B972F5">
        <w:rPr>
          <w:lang w:val="sr-Latn-BA"/>
        </w:rPr>
        <w:t xml:space="preserve"> </w:t>
      </w:r>
      <w:hyperlink r:id="rId23" w:history="1">
        <w:r w:rsidRPr="00B972F5">
          <w:rPr>
            <w:rStyle w:val="Hyperlink"/>
            <w:lang w:val="sr-Latn-BA"/>
          </w:rPr>
          <w:t>https://www.undp.org/bosnia-herzegovina/publications/local-gender-equality-landscape</w:t>
        </w:r>
      </w:hyperlink>
      <w:r w:rsidRPr="00B972F5">
        <w:rPr>
          <w:lang w:val="sr-Latn-BA"/>
        </w:rPr>
        <w:t xml:space="preserve"> </w:t>
      </w:r>
    </w:p>
  </w:footnote>
  <w:footnote w:id="41">
    <w:p w14:paraId="08A4F8F2" w14:textId="77777777" w:rsidR="004F6592" w:rsidRPr="004F6592" w:rsidRDefault="004F6592" w:rsidP="004F6592">
      <w:pPr>
        <w:pStyle w:val="FootnoteText"/>
        <w:rPr>
          <w:lang w:val="sr-Latn-BA"/>
        </w:rPr>
      </w:pPr>
      <w:r>
        <w:rPr>
          <w:rStyle w:val="FootnoteReference"/>
        </w:rPr>
        <w:footnoteRef/>
      </w:r>
      <w:r w:rsidRPr="004F6592">
        <w:rPr>
          <w:lang w:val="sr-Latn-BA"/>
        </w:rPr>
        <w:t xml:space="preserve"> </w:t>
      </w:r>
      <w:hyperlink r:id="rId24" w:history="1">
        <w:r w:rsidRPr="004F6592">
          <w:rPr>
            <w:rStyle w:val="Hyperlink"/>
            <w:lang w:val="sr-Latn-BA"/>
          </w:rPr>
          <w:t>https://www.undp.org/bosnia-herzegovina/publications/national-human-development-report-2020-social-inclusion-bosnia-and-herzegovina</w:t>
        </w:r>
      </w:hyperlink>
      <w:r w:rsidRPr="004F6592">
        <w:rPr>
          <w:lang w:val="sr-Latn-BA"/>
        </w:rPr>
        <w:t xml:space="preserve"> </w:t>
      </w:r>
    </w:p>
  </w:footnote>
  <w:footnote w:id="42">
    <w:p w14:paraId="0BED1EEB" w14:textId="77777777" w:rsidR="007F42E4" w:rsidRPr="004F6592" w:rsidRDefault="007F42E4" w:rsidP="007F42E4">
      <w:pPr>
        <w:pStyle w:val="FootnoteText"/>
        <w:rPr>
          <w:lang w:val="sr-Latn-BA"/>
        </w:rPr>
      </w:pPr>
      <w:r>
        <w:rPr>
          <w:rStyle w:val="FootnoteReference"/>
        </w:rPr>
        <w:footnoteRef/>
      </w:r>
      <w:r w:rsidRPr="004F6592">
        <w:rPr>
          <w:lang w:val="sr-Latn-BA"/>
        </w:rPr>
        <w:t xml:space="preserve"> </w:t>
      </w:r>
      <w:hyperlink r:id="rId25" w:history="1">
        <w:r w:rsidRPr="004F6592">
          <w:rPr>
            <w:rStyle w:val="Hyperlink"/>
            <w:lang w:val="sr-Latn-BA"/>
          </w:rPr>
          <w:t>https://www.worldbank.org/en/topic/water/publication/utility-of-the-future</w:t>
        </w:r>
      </w:hyperlink>
      <w:r w:rsidRPr="004F6592">
        <w:rPr>
          <w:lang w:val="sr-Latn-BA"/>
        </w:rPr>
        <w:t xml:space="preserve"> </w:t>
      </w:r>
    </w:p>
  </w:footnote>
  <w:footnote w:id="43">
    <w:p w14:paraId="1DD761C5" w14:textId="63E64EFE" w:rsidR="00FB04DA" w:rsidRPr="00196D95" w:rsidRDefault="00FB04DA" w:rsidP="00FB04DA">
      <w:pPr>
        <w:pStyle w:val="FootnoteText"/>
        <w:rPr>
          <w:rFonts w:ascii="Calibri" w:hAnsi="Calibri" w:cs="Calibri"/>
        </w:rPr>
      </w:pPr>
      <w:r w:rsidRPr="001222F2">
        <w:rPr>
          <w:rStyle w:val="FootnoteReference"/>
          <w:rFonts w:ascii="Calibri" w:hAnsi="Calibri" w:cs="Calibri"/>
        </w:rPr>
        <w:footnoteRef/>
      </w:r>
      <w:r w:rsidRPr="001222F2">
        <w:rPr>
          <w:rFonts w:ascii="Calibri" w:hAnsi="Calibri" w:cs="Calibri"/>
        </w:rPr>
        <w:t xml:space="preserve"> Composition of the WA (eight members): </w:t>
      </w:r>
      <w:r w:rsidR="009E39CA" w:rsidRPr="009E39CA">
        <w:rPr>
          <w:rFonts w:ascii="Calibri" w:hAnsi="Calibri" w:cs="Calibri"/>
        </w:rPr>
        <w:t>Delegation of the European Union to Bosnia and Herzegovina, European Bank for Reconstruction and Development, European Investment Bank, The World Bank, Embassy of Switzerland in Bosnia and Herzegovina, Embassy of Sweden in Bosnia and Herzegovina, Embassy of the Czech Republic in Bosnia and Herzegovina, and United Nations Development Programme in Bosnia and Herzegovina</w:t>
      </w:r>
    </w:p>
  </w:footnote>
  <w:footnote w:id="44">
    <w:p w14:paraId="25CADC21" w14:textId="2FD97E39" w:rsidR="004058BF" w:rsidRDefault="004058BF">
      <w:pPr>
        <w:pStyle w:val="FootnoteText"/>
      </w:pPr>
      <w:r>
        <w:rPr>
          <w:rStyle w:val="FootnoteReference"/>
        </w:rPr>
        <w:footnoteRef/>
      </w:r>
      <w:r>
        <w:t xml:space="preserve"> </w:t>
      </w:r>
      <w:hyperlink r:id="rId26" w:history="1">
        <w:r w:rsidRPr="006D3EA4">
          <w:rPr>
            <w:rStyle w:val="Hyperlink"/>
          </w:rPr>
          <w:t>https://unstuck.systems/system-approaches-toolkit/</w:t>
        </w:r>
      </w:hyperlink>
      <w:r>
        <w:t xml:space="preserve"> </w:t>
      </w:r>
    </w:p>
  </w:footnote>
  <w:footnote w:id="45">
    <w:p w14:paraId="44DA57D5" w14:textId="09D7ACE4" w:rsidR="00217AA1" w:rsidRDefault="00217AA1">
      <w:pPr>
        <w:pStyle w:val="FootnoteText"/>
      </w:pPr>
      <w:r>
        <w:rPr>
          <w:rStyle w:val="FootnoteReference"/>
        </w:rPr>
        <w:footnoteRef/>
      </w:r>
      <w:r>
        <w:t xml:space="preserve"> </w:t>
      </w:r>
      <w:hyperlink r:id="rId27" w:history="1">
        <w:r w:rsidRPr="006D3EA4">
          <w:rPr>
            <w:rStyle w:val="Hyperlink"/>
          </w:rPr>
          <w:t>https://popp.undp.org/policy-page/portfolio</w:t>
        </w:r>
      </w:hyperlink>
      <w:r>
        <w:t xml:space="preserve"> </w:t>
      </w:r>
    </w:p>
  </w:footnote>
  <w:footnote w:id="46">
    <w:p w14:paraId="51022A5C" w14:textId="6565A540" w:rsidR="00DE582F" w:rsidRDefault="00DE582F">
      <w:pPr>
        <w:pStyle w:val="FootnoteText"/>
      </w:pPr>
      <w:r>
        <w:rPr>
          <w:rStyle w:val="FootnoteReference"/>
        </w:rPr>
        <w:footnoteRef/>
      </w:r>
      <w:r>
        <w:t xml:space="preserve"> </w:t>
      </w:r>
      <w:hyperlink r:id="rId28" w:history="1">
        <w:r w:rsidRPr="00F04A18">
          <w:rPr>
            <w:rStyle w:val="Hyperlink"/>
            <w:rFonts w:ascii="Calibri" w:hAnsi="Calibri" w:cs="Calibri"/>
            <w:b/>
          </w:rPr>
          <w:t>https://www.undp.org/sites/g/files/zskgke326/files/2025-08/undp_modernizing_development_introducing_portfolios_2025.pdf.pdf</w:t>
        </w:r>
      </w:hyperlink>
      <w:r>
        <w:rPr>
          <w:rFonts w:ascii="Calibri" w:hAnsi="Calibri" w:cs="Calibri"/>
          <w:b/>
        </w:rPr>
        <w:t xml:space="preserve"> </w:t>
      </w:r>
    </w:p>
  </w:footnote>
  <w:footnote w:id="47">
    <w:p w14:paraId="68B587CF" w14:textId="77777777" w:rsidR="003668C2" w:rsidRDefault="003668C2" w:rsidP="003668C2">
      <w:pPr>
        <w:pStyle w:val="FootnoteText"/>
      </w:pPr>
      <w:r>
        <w:rPr>
          <w:rStyle w:val="FootnoteReference"/>
        </w:rPr>
        <w:footnoteRef/>
      </w:r>
      <w:r>
        <w:t xml:space="preserve"> </w:t>
      </w:r>
      <w:hyperlink r:id="rId29" w:history="1">
        <w:r w:rsidRPr="006D3EA4">
          <w:rPr>
            <w:rStyle w:val="Hyperlink"/>
          </w:rPr>
          <w:t>https://www.cedrig.org</w:t>
        </w:r>
      </w:hyperlink>
      <w:r>
        <w:t xml:space="preserve"> </w:t>
      </w:r>
    </w:p>
  </w:footnote>
  <w:footnote w:id="48">
    <w:p w14:paraId="1BDAC6DD" w14:textId="77777777" w:rsidR="00E00891" w:rsidRDefault="00E00891" w:rsidP="00E00891">
      <w:pPr>
        <w:pStyle w:val="FootnoteText"/>
      </w:pPr>
      <w:r>
        <w:rPr>
          <w:rStyle w:val="FootnoteReference"/>
        </w:rPr>
        <w:footnoteRef/>
      </w:r>
      <w:r>
        <w:t xml:space="preserve"> </w:t>
      </w:r>
      <w:r w:rsidRPr="007F45B6">
        <w:rPr>
          <w:rFonts w:ascii="Calibri" w:hAnsi="Calibri" w:cs="Calibri"/>
          <w:color w:val="000000" w:themeColor="text1"/>
        </w:rPr>
        <w:t>The total number of LGs in BiH is 142 and 37 were covered by MEG 1</w:t>
      </w:r>
      <w:r w:rsidRPr="007F45B6">
        <w:rPr>
          <w:rStyle w:val="FootnoteReference"/>
          <w:rFonts w:ascii="Calibri" w:hAnsi="Calibri" w:cs="Calibri"/>
          <w:color w:val="000000" w:themeColor="text1"/>
        </w:rPr>
        <w:footnoteRef/>
      </w:r>
      <w:r w:rsidRPr="007F45B6">
        <w:rPr>
          <w:rFonts w:ascii="Calibri" w:hAnsi="Calibri" w:cs="Calibri"/>
          <w:color w:val="000000" w:themeColor="text1"/>
        </w:rPr>
        <w:t xml:space="preserve"> and MEG 2</w:t>
      </w:r>
      <w:r w:rsidRPr="007F45B6">
        <w:rPr>
          <w:rStyle w:val="FootnoteReference"/>
          <w:rFonts w:ascii="Calibri" w:hAnsi="Calibri" w:cs="Calibri"/>
          <w:color w:val="000000" w:themeColor="text1"/>
        </w:rPr>
        <w:footnoteRef/>
      </w:r>
      <w:r w:rsidRPr="007F45B6">
        <w:rPr>
          <w:rFonts w:ascii="Calibri" w:hAnsi="Calibri" w:cs="Calibri"/>
          <w:color w:val="000000" w:themeColor="text1"/>
        </w:rPr>
        <w:t xml:space="preserve"> (39 with 2 LGs excluded from the project</w:t>
      </w:r>
      <w:r w:rsidRPr="007F45B6">
        <w:rPr>
          <w:rStyle w:val="FootnoteReference"/>
          <w:rFonts w:ascii="Calibri" w:hAnsi="Calibri" w:cs="Calibri"/>
          <w:color w:val="000000" w:themeColor="text1"/>
        </w:rPr>
        <w:footnoteRef/>
      </w:r>
      <w:r w:rsidRPr="007F45B6">
        <w:rPr>
          <w:rFonts w:ascii="Calibri" w:hAnsi="Calibri" w:cs="Calibri"/>
          <w:color w:val="000000" w:themeColor="text1"/>
        </w:rPr>
        <w:t xml:space="preserve"> and additional 50 LGs that might be covered under the WB project in BiH.</w:t>
      </w:r>
    </w:p>
  </w:footnote>
  <w:footnote w:id="49">
    <w:p w14:paraId="2C0CFEA5" w14:textId="77777777" w:rsidR="00D12E01" w:rsidRPr="008461D1" w:rsidRDefault="00D12E01" w:rsidP="00D12E01">
      <w:pPr>
        <w:pStyle w:val="FootnoteText"/>
        <w:rPr>
          <w:sz w:val="18"/>
          <w:szCs w:val="18"/>
        </w:rPr>
      </w:pPr>
      <w:r w:rsidRPr="008461D1">
        <w:rPr>
          <w:rStyle w:val="FootnoteReference"/>
          <w:rFonts w:eastAsiaTheme="majorEastAsia"/>
          <w:sz w:val="18"/>
          <w:szCs w:val="18"/>
        </w:rPr>
        <w:footnoteRef/>
      </w:r>
      <w:r w:rsidRPr="008461D1">
        <w:rPr>
          <w:sz w:val="18"/>
          <w:szCs w:val="18"/>
        </w:rPr>
        <w:t xml:space="preserve"> This relates to policy reform efforts of cross-institutional bodies at both entities and state (country-wide) levels, as well as the setting in function of water tariff and regulatory bodies at cantonal, state and entity government levels. </w:t>
      </w:r>
    </w:p>
  </w:footnote>
  <w:footnote w:id="50">
    <w:p w14:paraId="0991CFE5" w14:textId="77777777" w:rsidR="00D12E01" w:rsidRPr="008461D1" w:rsidRDefault="00D12E01" w:rsidP="00D12E01">
      <w:pPr>
        <w:jc w:val="both"/>
        <w:rPr>
          <w:sz w:val="18"/>
          <w:szCs w:val="18"/>
          <w:lang w:val="en-GB"/>
        </w:rPr>
      </w:pPr>
      <w:r w:rsidRPr="008461D1">
        <w:rPr>
          <w:rStyle w:val="FootnoteReference"/>
          <w:rFonts w:eastAsiaTheme="majorEastAsia"/>
          <w:sz w:val="18"/>
          <w:szCs w:val="18"/>
          <w:lang w:val="en-GB"/>
        </w:rPr>
        <w:footnoteRef/>
      </w:r>
      <w:r w:rsidRPr="008461D1">
        <w:rPr>
          <w:sz w:val="18"/>
          <w:szCs w:val="18"/>
          <w:lang w:val="en-GB"/>
        </w:rPr>
        <w:t xml:space="preserve"> Measured by a set of indicators related to the existence of valid PSAs, relevant local government capacities, as well as utilities’ financial, organizational and operational performance and sustainability (i.e., number of employees per thousands of consumers, operational costs coverage rate, days sales outstanding, current ratio, non-revenue water, population service coverage, affordability and other). </w:t>
      </w:r>
    </w:p>
  </w:footnote>
  <w:footnote w:id="51">
    <w:p w14:paraId="454E2FC1" w14:textId="77777777" w:rsidR="002A7FBF" w:rsidRPr="002A7FBF" w:rsidRDefault="002A7FBF" w:rsidP="002A7FBF">
      <w:pPr>
        <w:pStyle w:val="FootnoteText"/>
        <w:rPr>
          <w:rFonts w:ascii="Calibri" w:hAnsi="Calibri" w:cs="Calibri"/>
          <w:lang w:val="sr-Latn-BA"/>
        </w:rPr>
      </w:pPr>
      <w:r w:rsidRPr="004619EF">
        <w:rPr>
          <w:rStyle w:val="FootnoteReference"/>
          <w:rFonts w:ascii="Calibri" w:hAnsi="Calibri" w:cs="Calibri"/>
        </w:rPr>
        <w:footnoteRef/>
      </w:r>
      <w:r w:rsidRPr="002A7FBF">
        <w:rPr>
          <w:rFonts w:ascii="Calibri" w:hAnsi="Calibri" w:cs="Calibri"/>
          <w:lang w:val="sr-Latn-BA"/>
        </w:rPr>
        <w:t xml:space="preserve"> </w:t>
      </w:r>
      <w:hyperlink r:id="rId30" w:history="1">
        <w:r w:rsidRPr="002A7FBF">
          <w:rPr>
            <w:rStyle w:val="Hyperlink"/>
            <w:rFonts w:ascii="Calibri" w:hAnsi="Calibri" w:cs="Calibri"/>
            <w:lang w:val="sr-Latn-BA"/>
          </w:rPr>
          <w:t>https://www.eupan.eu/caf/</w:t>
        </w:r>
      </w:hyperlink>
      <w:r w:rsidRPr="002A7FBF">
        <w:rPr>
          <w:rFonts w:ascii="Calibri" w:hAnsi="Calibri" w:cs="Calibri"/>
          <w:lang w:val="sr-Latn-BA"/>
        </w:rPr>
        <w:t xml:space="preserve"> </w:t>
      </w:r>
    </w:p>
  </w:footnote>
  <w:footnote w:id="52">
    <w:p w14:paraId="638ADC3F" w14:textId="77777777" w:rsidR="002A7FBF" w:rsidRPr="006D1ECA" w:rsidRDefault="002A7FBF" w:rsidP="002A7FBF">
      <w:pPr>
        <w:pStyle w:val="FootnoteText"/>
        <w:rPr>
          <w:rFonts w:ascii="Calibri" w:hAnsi="Calibri" w:cs="Calibri"/>
          <w:lang w:val="sr-Latn-BA"/>
        </w:rPr>
      </w:pPr>
      <w:r w:rsidRPr="004619EF">
        <w:rPr>
          <w:rStyle w:val="FootnoteReference"/>
          <w:rFonts w:ascii="Calibri" w:hAnsi="Calibri" w:cs="Calibri"/>
        </w:rPr>
        <w:footnoteRef/>
      </w:r>
      <w:r w:rsidRPr="00A7491D">
        <w:rPr>
          <w:rFonts w:ascii="Calibri" w:hAnsi="Calibri" w:cs="Calibri"/>
          <w:lang w:val="sr-Latn-BA"/>
        </w:rPr>
        <w:t xml:space="preserve"> </w:t>
      </w:r>
      <w:hyperlink r:id="rId31" w:history="1">
        <w:r w:rsidRPr="00A7491D">
          <w:rPr>
            <w:rStyle w:val="Hyperlink"/>
            <w:rFonts w:ascii="Calibri" w:hAnsi="Calibri" w:cs="Calibri"/>
            <w:lang w:val="sr-Latn-BA"/>
          </w:rPr>
          <w:t>https://ecitizen.ba/</w:t>
        </w:r>
      </w:hyperlink>
      <w:r w:rsidRPr="00A7491D">
        <w:rPr>
          <w:rFonts w:ascii="Calibri" w:hAnsi="Calibri" w:cs="Calibri"/>
          <w:lang w:val="sr-Latn-BA"/>
        </w:rPr>
        <w:t xml:space="preserve"> </w:t>
      </w:r>
    </w:p>
  </w:footnote>
  <w:footnote w:id="53">
    <w:p w14:paraId="6130549F" w14:textId="3C496E79" w:rsidR="002A7FBF" w:rsidRPr="006D1ECA" w:rsidRDefault="002A7FBF" w:rsidP="002A7FBF">
      <w:pPr>
        <w:pStyle w:val="FootnoteText"/>
        <w:rPr>
          <w:lang w:val="sr-Latn-BA"/>
        </w:rPr>
      </w:pPr>
      <w:r>
        <w:rPr>
          <w:rStyle w:val="FootnoteReference"/>
        </w:rPr>
        <w:footnoteRef/>
      </w:r>
      <w:r w:rsidRPr="00A7491D">
        <w:rPr>
          <w:lang w:val="sr-Latn-BA"/>
        </w:rPr>
        <w:t xml:space="preserve"> </w:t>
      </w:r>
      <w:hyperlink r:id="rId32" w:history="1">
        <w:r w:rsidR="00A074A1" w:rsidRPr="00A7491D">
          <w:rPr>
            <w:rStyle w:val="Hyperlink"/>
            <w:lang w:val="sr-Latn-BA"/>
          </w:rPr>
          <w:t>https://www.cedes.ba</w:t>
        </w:r>
      </w:hyperlink>
      <w:r w:rsidR="00A074A1" w:rsidRPr="00A7491D">
        <w:rPr>
          <w:lang w:val="sr-Latn-BA"/>
        </w:rPr>
        <w:t xml:space="preserve"> </w:t>
      </w:r>
    </w:p>
  </w:footnote>
  <w:footnote w:id="54">
    <w:p w14:paraId="162B3BA5" w14:textId="206721E4" w:rsidR="002A7FBF" w:rsidRDefault="002A7FBF" w:rsidP="002A7FBF">
      <w:pPr>
        <w:pStyle w:val="FootnoteText"/>
      </w:pPr>
      <w:r>
        <w:rPr>
          <w:rStyle w:val="FootnoteReference"/>
        </w:rPr>
        <w:footnoteRef/>
      </w:r>
      <w:r>
        <w:t xml:space="preserve"> </w:t>
      </w:r>
      <w:hyperlink r:id="rId33" w:history="1">
        <w:r w:rsidR="00A074A1" w:rsidRPr="006D3EA4">
          <w:rPr>
            <w:rStyle w:val="Hyperlink"/>
          </w:rPr>
          <w:t>https://tron.ba</w:t>
        </w:r>
      </w:hyperlink>
      <w:r w:rsidR="00A074A1">
        <w:t xml:space="preserve"> </w:t>
      </w:r>
    </w:p>
  </w:footnote>
  <w:footnote w:id="55">
    <w:p w14:paraId="139BE14A" w14:textId="45752AB3" w:rsidR="002A7FBF" w:rsidRDefault="002A7FBF" w:rsidP="002A7FBF">
      <w:pPr>
        <w:pStyle w:val="FootnoteText"/>
      </w:pPr>
      <w:r>
        <w:rPr>
          <w:rStyle w:val="FootnoteReference"/>
        </w:rPr>
        <w:footnoteRef/>
      </w:r>
      <w:r>
        <w:t xml:space="preserve"> </w:t>
      </w:r>
      <w:r w:rsidR="00A074A1" w:rsidRPr="00A074A1">
        <w:rPr>
          <w:rFonts w:ascii="Calibri" w:hAnsi="Calibri" w:cs="Calibri"/>
        </w:rPr>
        <w:t>No website is available</w:t>
      </w:r>
    </w:p>
  </w:footnote>
  <w:footnote w:id="56">
    <w:p w14:paraId="5E1E9E23" w14:textId="77777777" w:rsidR="002A7FBF" w:rsidRPr="00CE0EA5" w:rsidRDefault="002A7FBF" w:rsidP="002A7FBF">
      <w:pPr>
        <w:pStyle w:val="Default"/>
        <w:rPr>
          <w:szCs w:val="22"/>
        </w:rPr>
      </w:pPr>
      <w:r>
        <w:rPr>
          <w:rStyle w:val="FootnoteReference"/>
        </w:rPr>
        <w:footnoteRef/>
      </w:r>
      <w:r>
        <w:t xml:space="preserve"> </w:t>
      </w:r>
      <w:r w:rsidRPr="00CE0EA5">
        <w:rPr>
          <w:sz w:val="16"/>
          <w:szCs w:val="16"/>
        </w:rPr>
        <w:t xml:space="preserve">Module 1: MA functions in LGs, Module 2: </w:t>
      </w:r>
      <w:r>
        <w:rPr>
          <w:sz w:val="16"/>
          <w:szCs w:val="16"/>
        </w:rPr>
        <w:t xml:space="preserve">MC/MA role in budget and development planning, Module 3: MC/MA decision making function, Module 4: </w:t>
      </w:r>
      <w:r w:rsidRPr="00CE0EA5">
        <w:rPr>
          <w:sz w:val="16"/>
          <w:szCs w:val="16"/>
        </w:rPr>
        <w:t>Preparation of MA/MC session and councilors questions, Module 5: Internal and external communications, Module 6: Citizens’ complaints and measuring citizens satisfaction, Module 7: Citizens’ participation mechanisms, Module 8: MC/MA working bodies, Module 9: Function and capacities for strategic and operational planning and reporting, Module 10: Budget planning, Module 11: Human resource management and the role of organizational units in the development management process, Module 12: Administrative procedures and e-government</w:t>
      </w:r>
      <w:r w:rsidRPr="00CE0EA5">
        <w:rPr>
          <w:szCs w:val="22"/>
        </w:rPr>
        <w:t xml:space="preserve"> </w:t>
      </w:r>
    </w:p>
    <w:p w14:paraId="57A57EC7" w14:textId="77777777" w:rsidR="002A7FBF" w:rsidRPr="00CE0EA5" w:rsidRDefault="002A7FBF" w:rsidP="002A7FBF">
      <w:pPr>
        <w:pStyle w:val="FootnoteText"/>
        <w:rPr>
          <w:sz w:val="16"/>
          <w:szCs w:val="16"/>
          <w:lang w:val="bs-Latn-BA"/>
        </w:rPr>
      </w:pPr>
    </w:p>
  </w:footnote>
  <w:footnote w:id="57">
    <w:p w14:paraId="02FD7EE0" w14:textId="240EFDD8" w:rsidR="002A7FBF" w:rsidRPr="002B1461" w:rsidRDefault="002A7FBF" w:rsidP="002A7FBF">
      <w:pPr>
        <w:pStyle w:val="FootnoteText"/>
        <w:rPr>
          <w:lang w:val="bs-Latn-BA"/>
        </w:rPr>
      </w:pPr>
      <w:r>
        <w:rPr>
          <w:rStyle w:val="FootnoteReference"/>
        </w:rPr>
        <w:footnoteRef/>
      </w:r>
      <w:r w:rsidRPr="002B1461">
        <w:rPr>
          <w:lang w:val="bs-Latn-BA"/>
        </w:rPr>
        <w:t xml:space="preserve"> </w:t>
      </w:r>
      <w:hyperlink r:id="rId34" w:history="1">
        <w:r w:rsidR="002B1461" w:rsidRPr="006D3EA4">
          <w:rPr>
            <w:rStyle w:val="Hyperlink"/>
            <w:lang w:val="bs-Latn-BA"/>
          </w:rPr>
          <w:t>https://www.osce.org/files/f/documents/0/7/183371.pdf</w:t>
        </w:r>
      </w:hyperlink>
      <w:r w:rsidR="002B1461">
        <w:rPr>
          <w:lang w:val="bs-Latn-BA"/>
        </w:rPr>
        <w:t xml:space="preserve"> </w:t>
      </w:r>
    </w:p>
  </w:footnote>
  <w:footnote w:id="58">
    <w:p w14:paraId="51F8FE0A" w14:textId="689D5102" w:rsidR="002A7FBF" w:rsidRPr="002B1461" w:rsidRDefault="002A7FBF" w:rsidP="002A7FBF">
      <w:pPr>
        <w:pStyle w:val="FootnoteText"/>
        <w:rPr>
          <w:lang w:val="bs-Latn-BA"/>
        </w:rPr>
      </w:pPr>
      <w:r>
        <w:rPr>
          <w:rStyle w:val="FootnoteReference"/>
        </w:rPr>
        <w:footnoteRef/>
      </w:r>
      <w:r w:rsidRPr="002B1461">
        <w:rPr>
          <w:lang w:val="bs-Latn-BA"/>
        </w:rPr>
        <w:t xml:space="preserve"> </w:t>
      </w:r>
      <w:hyperlink r:id="rId35" w:history="1">
        <w:r w:rsidR="002B1461" w:rsidRPr="006D3EA4">
          <w:rPr>
            <w:rStyle w:val="Hyperlink"/>
            <w:lang w:val="bs-Latn-BA"/>
          </w:rPr>
          <w:t>https://reliefweb.int/map/bosnia-and-herzegovina/bosnia-and-herzegovina-flood-hazard-map-25-jan-2016</w:t>
        </w:r>
      </w:hyperlink>
    </w:p>
  </w:footnote>
  <w:footnote w:id="59">
    <w:p w14:paraId="583694FC" w14:textId="54C33114" w:rsidR="002A7FBF" w:rsidRPr="00E55CFD" w:rsidRDefault="002A7FBF" w:rsidP="002A7FBF">
      <w:pPr>
        <w:pStyle w:val="FootnoteText"/>
        <w:rPr>
          <w:lang w:val="bs-Latn-BA"/>
        </w:rPr>
      </w:pPr>
      <w:r>
        <w:rPr>
          <w:rStyle w:val="FootnoteReference"/>
        </w:rPr>
        <w:footnoteRef/>
      </w:r>
      <w:r w:rsidRPr="00A7491D">
        <w:rPr>
          <w:lang w:val="bs-Latn-BA"/>
        </w:rPr>
        <w:t xml:space="preserve"> </w:t>
      </w:r>
      <w:hyperlink r:id="rId36" w:history="1">
        <w:r w:rsidR="00E55CFD" w:rsidRPr="00803602">
          <w:rPr>
            <w:rStyle w:val="Hyperlink"/>
            <w:lang w:val="bs-Latn-BA"/>
          </w:rPr>
          <w:t>https://enlargement.ec.europa.eu/document/download/af28ca66-9745-48c5-9e70-3d3bfd46a6f4_en?filename=ipa_2020-041-818.10-mc-eu_integration_facility.pdf</w:t>
        </w:r>
      </w:hyperlink>
      <w:r w:rsidR="00E55CFD">
        <w:rPr>
          <w:lang w:val="bs-Latn-BA"/>
        </w:rPr>
        <w:t xml:space="preserve"> </w:t>
      </w:r>
    </w:p>
  </w:footnote>
  <w:footnote w:id="60">
    <w:p w14:paraId="6B6658CD" w14:textId="77777777" w:rsidR="00657F84" w:rsidRPr="00647BB5" w:rsidRDefault="00657F84" w:rsidP="00657F84">
      <w:pPr>
        <w:pStyle w:val="FootnoteText"/>
        <w:rPr>
          <w:lang w:val="bs-Latn-BA"/>
        </w:rPr>
      </w:pPr>
      <w:r>
        <w:rPr>
          <w:rStyle w:val="FootnoteReference"/>
          <w:rFonts w:eastAsiaTheme="majorEastAsia"/>
        </w:rPr>
        <w:footnoteRef/>
      </w:r>
      <w:r>
        <w:t xml:space="preserve"> </w:t>
      </w:r>
      <w:r>
        <w:rPr>
          <w:lang w:val="bs-Latn-BA"/>
        </w:rPr>
        <w:t>Municipal Assmebly Srbac Decision on subsidizing communal services, No 01-022-128/22, dated 14.07.2022</w:t>
      </w:r>
    </w:p>
  </w:footnote>
  <w:footnote w:id="61">
    <w:p w14:paraId="50699733" w14:textId="77777777" w:rsidR="00657F84" w:rsidRPr="00647BB5" w:rsidRDefault="00657F84" w:rsidP="00657F84">
      <w:pPr>
        <w:pStyle w:val="FootnoteText"/>
        <w:rPr>
          <w:lang w:val="bs-Latn-BA"/>
        </w:rPr>
      </w:pPr>
      <w:r>
        <w:rPr>
          <w:rStyle w:val="FootnoteReference"/>
          <w:rFonts w:eastAsiaTheme="majorEastAsia"/>
        </w:rPr>
        <w:footnoteRef/>
      </w:r>
      <w:r>
        <w:t xml:space="preserve"> Municipal Assembly Srbac Decision on measures, activities, and procedures for collecting receivables for the use of public water services, No 01-022-129/22, dated 14.07.2022</w:t>
      </w:r>
    </w:p>
  </w:footnote>
  <w:footnote w:id="62">
    <w:p w14:paraId="7DDA5A90" w14:textId="77777777" w:rsidR="00657F84" w:rsidRPr="00C75ACA" w:rsidRDefault="00657F84" w:rsidP="00657F84">
      <w:pPr>
        <w:pStyle w:val="FootnoteText"/>
        <w:rPr>
          <w:lang w:val="bs-Latn-BA"/>
        </w:rPr>
      </w:pPr>
      <w:r>
        <w:rPr>
          <w:rStyle w:val="FootnoteReference"/>
          <w:rFonts w:eastAsiaTheme="majorEastAsia"/>
        </w:rPr>
        <w:footnoteRef/>
      </w:r>
      <w:r>
        <w:t xml:space="preserve"> </w:t>
      </w:r>
      <w:r>
        <w:rPr>
          <w:lang w:val="bs-Latn-BA"/>
        </w:rPr>
        <w:t xml:space="preserve">Municipal Assembly Srbac conclusion about </w:t>
      </w:r>
      <w:r>
        <w:t>consent to the PSA contract between the municipality and WUC, No 01-022-130/22, dated 14.07.2022</w:t>
      </w:r>
    </w:p>
  </w:footnote>
  <w:footnote w:id="63">
    <w:p w14:paraId="3CD13AC0" w14:textId="77777777" w:rsidR="00657F84" w:rsidRPr="002B5AF4" w:rsidRDefault="00657F84" w:rsidP="00657F84">
      <w:pPr>
        <w:pStyle w:val="FootnoteText"/>
        <w:rPr>
          <w:lang w:val="bs-Latn-BA"/>
        </w:rPr>
      </w:pPr>
      <w:r>
        <w:rPr>
          <w:rStyle w:val="FootnoteReference"/>
          <w:rFonts w:eastAsiaTheme="majorEastAsia"/>
        </w:rPr>
        <w:footnoteRef/>
      </w:r>
      <w:r>
        <w:t xml:space="preserve"> Mayor’s decision on the appointment of a commission to monitor the implementation of the PSA agreement, No 02-111-172/22, dated 24.10.2022</w:t>
      </w:r>
    </w:p>
  </w:footnote>
  <w:footnote w:id="64">
    <w:p w14:paraId="41C7BBEE" w14:textId="77777777" w:rsidR="00657F84" w:rsidRPr="007C360C" w:rsidRDefault="00657F84" w:rsidP="00657F84">
      <w:pPr>
        <w:pStyle w:val="FootnoteText"/>
        <w:rPr>
          <w:lang w:val="bs-Latn-BA"/>
        </w:rPr>
      </w:pPr>
      <w:r>
        <w:rPr>
          <w:rStyle w:val="FootnoteReference"/>
          <w:rFonts w:eastAsiaTheme="majorEastAsia"/>
        </w:rPr>
        <w:footnoteRef/>
      </w:r>
      <w:r>
        <w:t xml:space="preserve"> RS </w:t>
      </w:r>
      <w:r>
        <w:rPr>
          <w:lang w:val="bs-Latn-BA"/>
        </w:rPr>
        <w:t xml:space="preserve">Law on Social protection, RS Official Gazzete, No 37/12, 90/16, 94/19, 42/20 </w:t>
      </w:r>
    </w:p>
  </w:footnote>
  <w:footnote w:id="65">
    <w:p w14:paraId="26816DAF" w14:textId="77777777" w:rsidR="00657F84" w:rsidRPr="007C360C" w:rsidRDefault="00657F84" w:rsidP="00657F84">
      <w:pPr>
        <w:pStyle w:val="FootnoteText"/>
        <w:rPr>
          <w:lang w:val="bs-Latn-BA"/>
        </w:rPr>
      </w:pPr>
      <w:r>
        <w:rPr>
          <w:rStyle w:val="FootnoteReference"/>
          <w:rFonts w:eastAsiaTheme="majorEastAsia"/>
        </w:rPr>
        <w:footnoteRef/>
      </w:r>
      <w:r>
        <w:t xml:space="preserve"> </w:t>
      </w:r>
      <w:r>
        <w:rPr>
          <w:lang w:val="bs-Latn-BA"/>
        </w:rPr>
        <w:t xml:space="preserve">Municipal Assmebly Srbac Decision on subsidizing communal services, No 01-022-128/22, dated 14.07.2022 </w:t>
      </w:r>
    </w:p>
  </w:footnote>
  <w:footnote w:id="66">
    <w:p w14:paraId="4E598C58" w14:textId="77777777" w:rsidR="00657F84" w:rsidRPr="007C360C" w:rsidRDefault="00657F84" w:rsidP="00657F84">
      <w:pPr>
        <w:pStyle w:val="FootnoteText"/>
        <w:rPr>
          <w:lang w:val="bs-Latn-BA"/>
        </w:rPr>
      </w:pPr>
      <w:r>
        <w:rPr>
          <w:rStyle w:val="FootnoteReference"/>
          <w:rFonts w:eastAsiaTheme="majorEastAsia"/>
        </w:rPr>
        <w:footnoteRef/>
      </w:r>
      <w:r>
        <w:t xml:space="preserve"> RS </w:t>
      </w:r>
      <w:r>
        <w:rPr>
          <w:lang w:val="bs-Latn-BA"/>
        </w:rPr>
        <w:t xml:space="preserve">Law on Social protection, RS Official Gazzete, No 37/12, 90/16, 94/19, 42/20 </w:t>
      </w:r>
    </w:p>
  </w:footnote>
  <w:footnote w:id="67">
    <w:p w14:paraId="5C69E788" w14:textId="77777777" w:rsidR="00657F84" w:rsidRPr="007C360C" w:rsidRDefault="00657F84" w:rsidP="00657F84">
      <w:pPr>
        <w:pStyle w:val="FootnoteText"/>
        <w:rPr>
          <w:lang w:val="bs-Latn-BA"/>
        </w:rPr>
      </w:pPr>
      <w:r>
        <w:rPr>
          <w:rStyle w:val="FootnoteReference"/>
          <w:rFonts w:eastAsiaTheme="majorEastAsia"/>
        </w:rPr>
        <w:footnoteRef/>
      </w:r>
      <w:r>
        <w:t xml:space="preserve"> </w:t>
      </w:r>
      <w:r>
        <w:rPr>
          <w:lang w:val="bs-Latn-BA"/>
        </w:rPr>
        <w:t xml:space="preserve">Municipal Assmebly Srbac Decision on subsidizing communal services, No 01-022-128/22, dated 14.07.2022 </w:t>
      </w:r>
    </w:p>
  </w:footnote>
  <w:footnote w:id="68">
    <w:p w14:paraId="65E424E5" w14:textId="77777777" w:rsidR="00657F84" w:rsidRPr="004957FF" w:rsidRDefault="00657F84" w:rsidP="00657F84">
      <w:pPr>
        <w:pStyle w:val="FootnoteText"/>
        <w:rPr>
          <w:lang w:val="bs-Latn-BA"/>
        </w:rPr>
      </w:pPr>
      <w:r>
        <w:rPr>
          <w:rStyle w:val="FootnoteReference"/>
          <w:rFonts w:eastAsiaTheme="majorEastAsia"/>
        </w:rPr>
        <w:footnoteRef/>
      </w:r>
      <w:r>
        <w:t xml:space="preserve"> </w:t>
      </w:r>
      <w:r>
        <w:rPr>
          <w:lang w:val="bs-Latn-BA"/>
        </w:rPr>
        <w:t xml:space="preserve">Mayor of Srbac Decision </w:t>
      </w:r>
      <w:r w:rsidRPr="004957FF">
        <w:rPr>
          <w:lang w:val="bs-Latn-BA"/>
        </w:rPr>
        <w:t>on the appointment of a commission for monitoring and implementation of PSA and the provision of public water services in the territory of the municipality of Srbac</w:t>
      </w:r>
      <w:r>
        <w:rPr>
          <w:lang w:val="bs-Latn-BA"/>
        </w:rPr>
        <w:t>, No 02-111-172/22, dated 24.10.2022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0B5F"/>
    <w:multiLevelType w:val="hybridMultilevel"/>
    <w:tmpl w:val="F140B584"/>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 w15:restartNumberingAfterBreak="0">
    <w:nsid w:val="0A870146"/>
    <w:multiLevelType w:val="hybridMultilevel"/>
    <w:tmpl w:val="35D24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032736"/>
    <w:multiLevelType w:val="hybridMultilevel"/>
    <w:tmpl w:val="B1C2D88A"/>
    <w:lvl w:ilvl="0" w:tplc="181A0001">
      <w:start w:val="1"/>
      <w:numFmt w:val="bullet"/>
      <w:lvlText w:val=""/>
      <w:lvlJc w:val="left"/>
      <w:pPr>
        <w:ind w:left="360" w:hanging="360"/>
      </w:pPr>
      <w:rPr>
        <w:rFonts w:ascii="Symbol" w:hAnsi="Symbol" w:hint="default"/>
      </w:rPr>
    </w:lvl>
    <w:lvl w:ilvl="1" w:tplc="B19C3532">
      <w:start w:val="8"/>
      <w:numFmt w:val="bullet"/>
      <w:lvlText w:val="-"/>
      <w:lvlJc w:val="left"/>
      <w:pPr>
        <w:ind w:left="1080" w:hanging="360"/>
      </w:pPr>
      <w:rPr>
        <w:rFonts w:ascii="Candara" w:eastAsiaTheme="minorHAnsi" w:hAnsi="Candara" w:cs="Segoe UI" w:hint="default"/>
      </w:rPr>
    </w:lvl>
    <w:lvl w:ilvl="2" w:tplc="181A0005" w:tentative="1">
      <w:start w:val="1"/>
      <w:numFmt w:val="bullet"/>
      <w:lvlText w:val=""/>
      <w:lvlJc w:val="left"/>
      <w:pPr>
        <w:ind w:left="1800" w:hanging="360"/>
      </w:pPr>
      <w:rPr>
        <w:rFonts w:ascii="Wingdings" w:hAnsi="Wingdings" w:hint="default"/>
      </w:rPr>
    </w:lvl>
    <w:lvl w:ilvl="3" w:tplc="181A0001" w:tentative="1">
      <w:start w:val="1"/>
      <w:numFmt w:val="bullet"/>
      <w:lvlText w:val=""/>
      <w:lvlJc w:val="left"/>
      <w:pPr>
        <w:ind w:left="2520" w:hanging="360"/>
      </w:pPr>
      <w:rPr>
        <w:rFonts w:ascii="Symbol" w:hAnsi="Symbol" w:hint="default"/>
      </w:rPr>
    </w:lvl>
    <w:lvl w:ilvl="4" w:tplc="181A0003" w:tentative="1">
      <w:start w:val="1"/>
      <w:numFmt w:val="bullet"/>
      <w:lvlText w:val="o"/>
      <w:lvlJc w:val="left"/>
      <w:pPr>
        <w:ind w:left="3240" w:hanging="360"/>
      </w:pPr>
      <w:rPr>
        <w:rFonts w:ascii="Courier New" w:hAnsi="Courier New" w:cs="Courier New" w:hint="default"/>
      </w:rPr>
    </w:lvl>
    <w:lvl w:ilvl="5" w:tplc="181A0005" w:tentative="1">
      <w:start w:val="1"/>
      <w:numFmt w:val="bullet"/>
      <w:lvlText w:val=""/>
      <w:lvlJc w:val="left"/>
      <w:pPr>
        <w:ind w:left="3960" w:hanging="360"/>
      </w:pPr>
      <w:rPr>
        <w:rFonts w:ascii="Wingdings" w:hAnsi="Wingdings" w:hint="default"/>
      </w:rPr>
    </w:lvl>
    <w:lvl w:ilvl="6" w:tplc="181A0001" w:tentative="1">
      <w:start w:val="1"/>
      <w:numFmt w:val="bullet"/>
      <w:lvlText w:val=""/>
      <w:lvlJc w:val="left"/>
      <w:pPr>
        <w:ind w:left="4680" w:hanging="360"/>
      </w:pPr>
      <w:rPr>
        <w:rFonts w:ascii="Symbol" w:hAnsi="Symbol" w:hint="default"/>
      </w:rPr>
    </w:lvl>
    <w:lvl w:ilvl="7" w:tplc="181A0003" w:tentative="1">
      <w:start w:val="1"/>
      <w:numFmt w:val="bullet"/>
      <w:lvlText w:val="o"/>
      <w:lvlJc w:val="left"/>
      <w:pPr>
        <w:ind w:left="5400" w:hanging="360"/>
      </w:pPr>
      <w:rPr>
        <w:rFonts w:ascii="Courier New" w:hAnsi="Courier New" w:cs="Courier New" w:hint="default"/>
      </w:rPr>
    </w:lvl>
    <w:lvl w:ilvl="8" w:tplc="181A0005" w:tentative="1">
      <w:start w:val="1"/>
      <w:numFmt w:val="bullet"/>
      <w:lvlText w:val=""/>
      <w:lvlJc w:val="left"/>
      <w:pPr>
        <w:ind w:left="6120" w:hanging="360"/>
      </w:pPr>
      <w:rPr>
        <w:rFonts w:ascii="Wingdings" w:hAnsi="Wingdings" w:hint="default"/>
      </w:rPr>
    </w:lvl>
  </w:abstractNum>
  <w:abstractNum w:abstractNumId="3" w15:restartNumberingAfterBreak="0">
    <w:nsid w:val="0B0574F7"/>
    <w:multiLevelType w:val="hybridMultilevel"/>
    <w:tmpl w:val="D4229E76"/>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4" w15:restartNumberingAfterBreak="0">
    <w:nsid w:val="0BBC6449"/>
    <w:multiLevelType w:val="hybridMultilevel"/>
    <w:tmpl w:val="67BC1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084829"/>
    <w:multiLevelType w:val="multilevel"/>
    <w:tmpl w:val="1EB454DA"/>
    <w:lvl w:ilvl="0">
      <w:start w:val="2"/>
      <w:numFmt w:val="decimal"/>
      <w:lvlText w:val="%1"/>
      <w:lvlJc w:val="left"/>
      <w:pPr>
        <w:ind w:left="360" w:hanging="360"/>
      </w:pPr>
      <w:rPr>
        <w:rFonts w:hint="default"/>
        <w:b/>
        <w:i/>
        <w:color w:val="0E2841" w:themeColor="text2"/>
      </w:rPr>
    </w:lvl>
    <w:lvl w:ilvl="1">
      <w:start w:val="1"/>
      <w:numFmt w:val="decimal"/>
      <w:lvlText w:val="%1.%2"/>
      <w:lvlJc w:val="left"/>
      <w:pPr>
        <w:ind w:left="360" w:hanging="360"/>
      </w:pPr>
      <w:rPr>
        <w:rFonts w:hint="default"/>
        <w:b/>
        <w:i/>
        <w:color w:val="215E99" w:themeColor="text2" w:themeTint="BF"/>
      </w:rPr>
    </w:lvl>
    <w:lvl w:ilvl="2">
      <w:start w:val="1"/>
      <w:numFmt w:val="decimal"/>
      <w:lvlText w:val="%1.%2.%3"/>
      <w:lvlJc w:val="left"/>
      <w:pPr>
        <w:ind w:left="720" w:hanging="720"/>
      </w:pPr>
      <w:rPr>
        <w:rFonts w:hint="default"/>
        <w:b/>
        <w:i/>
        <w:color w:val="0E2841" w:themeColor="text2"/>
      </w:rPr>
    </w:lvl>
    <w:lvl w:ilvl="3">
      <w:start w:val="1"/>
      <w:numFmt w:val="decimal"/>
      <w:lvlText w:val="%1.%2.%3.%4"/>
      <w:lvlJc w:val="left"/>
      <w:pPr>
        <w:ind w:left="720" w:hanging="720"/>
      </w:pPr>
      <w:rPr>
        <w:rFonts w:hint="default"/>
        <w:b/>
        <w:i/>
        <w:color w:val="0E2841" w:themeColor="text2"/>
      </w:rPr>
    </w:lvl>
    <w:lvl w:ilvl="4">
      <w:start w:val="1"/>
      <w:numFmt w:val="decimal"/>
      <w:lvlText w:val="%1.%2.%3.%4.%5"/>
      <w:lvlJc w:val="left"/>
      <w:pPr>
        <w:ind w:left="1080" w:hanging="1080"/>
      </w:pPr>
      <w:rPr>
        <w:rFonts w:hint="default"/>
        <w:b/>
        <w:i/>
        <w:color w:val="0E2841" w:themeColor="text2"/>
      </w:rPr>
    </w:lvl>
    <w:lvl w:ilvl="5">
      <w:start w:val="1"/>
      <w:numFmt w:val="decimal"/>
      <w:lvlText w:val="%1.%2.%3.%4.%5.%6"/>
      <w:lvlJc w:val="left"/>
      <w:pPr>
        <w:ind w:left="1080" w:hanging="1080"/>
      </w:pPr>
      <w:rPr>
        <w:rFonts w:hint="default"/>
        <w:b/>
        <w:i/>
        <w:color w:val="0E2841" w:themeColor="text2"/>
      </w:rPr>
    </w:lvl>
    <w:lvl w:ilvl="6">
      <w:start w:val="1"/>
      <w:numFmt w:val="decimal"/>
      <w:lvlText w:val="%1.%2.%3.%4.%5.%6.%7"/>
      <w:lvlJc w:val="left"/>
      <w:pPr>
        <w:ind w:left="1440" w:hanging="1440"/>
      </w:pPr>
      <w:rPr>
        <w:rFonts w:hint="default"/>
        <w:b/>
        <w:i/>
        <w:color w:val="0E2841" w:themeColor="text2"/>
      </w:rPr>
    </w:lvl>
    <w:lvl w:ilvl="7">
      <w:start w:val="1"/>
      <w:numFmt w:val="decimal"/>
      <w:lvlText w:val="%1.%2.%3.%4.%5.%6.%7.%8"/>
      <w:lvlJc w:val="left"/>
      <w:pPr>
        <w:ind w:left="1440" w:hanging="1440"/>
      </w:pPr>
      <w:rPr>
        <w:rFonts w:hint="default"/>
        <w:b/>
        <w:i/>
        <w:color w:val="0E2841" w:themeColor="text2"/>
      </w:rPr>
    </w:lvl>
    <w:lvl w:ilvl="8">
      <w:start w:val="1"/>
      <w:numFmt w:val="decimal"/>
      <w:lvlText w:val="%1.%2.%3.%4.%5.%6.%7.%8.%9"/>
      <w:lvlJc w:val="left"/>
      <w:pPr>
        <w:ind w:left="1800" w:hanging="1800"/>
      </w:pPr>
      <w:rPr>
        <w:rFonts w:hint="default"/>
        <w:b/>
        <w:i/>
        <w:color w:val="0E2841" w:themeColor="text2"/>
      </w:rPr>
    </w:lvl>
  </w:abstractNum>
  <w:abstractNum w:abstractNumId="6" w15:restartNumberingAfterBreak="0">
    <w:nsid w:val="107E659F"/>
    <w:multiLevelType w:val="hybridMultilevel"/>
    <w:tmpl w:val="E1D40FDE"/>
    <w:lvl w:ilvl="0" w:tplc="DC624992">
      <w:start w:val="1"/>
      <w:numFmt w:val="bullet"/>
      <w:lvlText w:val="-"/>
      <w:lvlJc w:val="left"/>
      <w:pPr>
        <w:ind w:left="360" w:hanging="360"/>
      </w:pPr>
      <w:rPr>
        <w:rFonts w:ascii="Aptos" w:eastAsiaTheme="minorHAnsi" w:hAnsi="Aptos"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A7363A"/>
    <w:multiLevelType w:val="hybridMultilevel"/>
    <w:tmpl w:val="96723D80"/>
    <w:lvl w:ilvl="0" w:tplc="F66C3C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235581"/>
    <w:multiLevelType w:val="hybridMultilevel"/>
    <w:tmpl w:val="F170E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6E567D"/>
    <w:multiLevelType w:val="hybridMultilevel"/>
    <w:tmpl w:val="AAF63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D7385C"/>
    <w:multiLevelType w:val="hybridMultilevel"/>
    <w:tmpl w:val="E452E44A"/>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1" w15:restartNumberingAfterBreak="0">
    <w:nsid w:val="212A115A"/>
    <w:multiLevelType w:val="multilevel"/>
    <w:tmpl w:val="8DE88A9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3D144B9"/>
    <w:multiLevelType w:val="hybridMultilevel"/>
    <w:tmpl w:val="40964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6E0A95"/>
    <w:multiLevelType w:val="hybridMultilevel"/>
    <w:tmpl w:val="9A486C06"/>
    <w:lvl w:ilvl="0" w:tplc="9BDCDB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3E2CE0"/>
    <w:multiLevelType w:val="hybridMultilevel"/>
    <w:tmpl w:val="3320C9F2"/>
    <w:lvl w:ilvl="0" w:tplc="181A000F">
      <w:start w:val="1"/>
      <w:numFmt w:val="decimal"/>
      <w:lvlText w:val="%1."/>
      <w:lvlJc w:val="left"/>
      <w:pPr>
        <w:ind w:left="720" w:hanging="360"/>
      </w:pPr>
      <w:rPr>
        <w:rFonts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15" w15:restartNumberingAfterBreak="0">
    <w:nsid w:val="29D91605"/>
    <w:multiLevelType w:val="hybridMultilevel"/>
    <w:tmpl w:val="D756AD3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A38644E"/>
    <w:multiLevelType w:val="multilevel"/>
    <w:tmpl w:val="B39E38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2B435DEA"/>
    <w:multiLevelType w:val="hybridMultilevel"/>
    <w:tmpl w:val="61C2E6DA"/>
    <w:lvl w:ilvl="0" w:tplc="C81429EC">
      <w:start w:val="1"/>
      <w:numFmt w:val="bullet"/>
      <w:lvlText w:val=""/>
      <w:lvlJc w:val="left"/>
      <w:pPr>
        <w:ind w:left="720" w:hanging="360"/>
      </w:pPr>
      <w:rPr>
        <w:rFonts w:ascii="Symbol" w:hAnsi="Symbol"/>
      </w:rPr>
    </w:lvl>
    <w:lvl w:ilvl="1" w:tplc="C9C2AE92">
      <w:start w:val="1"/>
      <w:numFmt w:val="bullet"/>
      <w:lvlText w:val=""/>
      <w:lvlJc w:val="left"/>
      <w:pPr>
        <w:ind w:left="720" w:hanging="360"/>
      </w:pPr>
      <w:rPr>
        <w:rFonts w:ascii="Symbol" w:hAnsi="Symbol"/>
      </w:rPr>
    </w:lvl>
    <w:lvl w:ilvl="2" w:tplc="8290720E">
      <w:start w:val="1"/>
      <w:numFmt w:val="bullet"/>
      <w:lvlText w:val=""/>
      <w:lvlJc w:val="left"/>
      <w:pPr>
        <w:ind w:left="720" w:hanging="360"/>
      </w:pPr>
      <w:rPr>
        <w:rFonts w:ascii="Symbol" w:hAnsi="Symbol"/>
      </w:rPr>
    </w:lvl>
    <w:lvl w:ilvl="3" w:tplc="EC3A30D0">
      <w:start w:val="1"/>
      <w:numFmt w:val="bullet"/>
      <w:lvlText w:val=""/>
      <w:lvlJc w:val="left"/>
      <w:pPr>
        <w:ind w:left="720" w:hanging="360"/>
      </w:pPr>
      <w:rPr>
        <w:rFonts w:ascii="Symbol" w:hAnsi="Symbol"/>
      </w:rPr>
    </w:lvl>
    <w:lvl w:ilvl="4" w:tplc="27E62F34">
      <w:start w:val="1"/>
      <w:numFmt w:val="bullet"/>
      <w:lvlText w:val=""/>
      <w:lvlJc w:val="left"/>
      <w:pPr>
        <w:ind w:left="720" w:hanging="360"/>
      </w:pPr>
      <w:rPr>
        <w:rFonts w:ascii="Symbol" w:hAnsi="Symbol"/>
      </w:rPr>
    </w:lvl>
    <w:lvl w:ilvl="5" w:tplc="311E95AE">
      <w:start w:val="1"/>
      <w:numFmt w:val="bullet"/>
      <w:lvlText w:val=""/>
      <w:lvlJc w:val="left"/>
      <w:pPr>
        <w:ind w:left="720" w:hanging="360"/>
      </w:pPr>
      <w:rPr>
        <w:rFonts w:ascii="Symbol" w:hAnsi="Symbol"/>
      </w:rPr>
    </w:lvl>
    <w:lvl w:ilvl="6" w:tplc="9CE80B74">
      <w:start w:val="1"/>
      <w:numFmt w:val="bullet"/>
      <w:lvlText w:val=""/>
      <w:lvlJc w:val="left"/>
      <w:pPr>
        <w:ind w:left="720" w:hanging="360"/>
      </w:pPr>
      <w:rPr>
        <w:rFonts w:ascii="Symbol" w:hAnsi="Symbol"/>
      </w:rPr>
    </w:lvl>
    <w:lvl w:ilvl="7" w:tplc="C0F02E60">
      <w:start w:val="1"/>
      <w:numFmt w:val="bullet"/>
      <w:lvlText w:val=""/>
      <w:lvlJc w:val="left"/>
      <w:pPr>
        <w:ind w:left="720" w:hanging="360"/>
      </w:pPr>
      <w:rPr>
        <w:rFonts w:ascii="Symbol" w:hAnsi="Symbol"/>
      </w:rPr>
    </w:lvl>
    <w:lvl w:ilvl="8" w:tplc="9C969434">
      <w:start w:val="1"/>
      <w:numFmt w:val="bullet"/>
      <w:lvlText w:val=""/>
      <w:lvlJc w:val="left"/>
      <w:pPr>
        <w:ind w:left="720" w:hanging="360"/>
      </w:pPr>
      <w:rPr>
        <w:rFonts w:ascii="Symbol" w:hAnsi="Symbol"/>
      </w:rPr>
    </w:lvl>
  </w:abstractNum>
  <w:abstractNum w:abstractNumId="18" w15:restartNumberingAfterBreak="0">
    <w:nsid w:val="2D3923ED"/>
    <w:multiLevelType w:val="hybridMultilevel"/>
    <w:tmpl w:val="C5724BE0"/>
    <w:lvl w:ilvl="0" w:tplc="83FAB6D0">
      <w:start w:val="5"/>
      <w:numFmt w:val="bullet"/>
      <w:lvlText w:val=""/>
      <w:lvlJc w:val="left"/>
      <w:pPr>
        <w:ind w:left="360" w:hanging="360"/>
      </w:pPr>
      <w:rPr>
        <w:rFonts w:ascii="Symbol" w:eastAsiaTheme="minorHAnsi" w:hAnsi="Symbol" w:cs="Segoe UI"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9" w15:restartNumberingAfterBreak="0">
    <w:nsid w:val="33E400EE"/>
    <w:multiLevelType w:val="multilevel"/>
    <w:tmpl w:val="B2E6B3F4"/>
    <w:lvl w:ilvl="0">
      <w:start w:val="1"/>
      <w:numFmt w:val="lowerRoman"/>
      <w:lvlText w:val="(%1)"/>
      <w:lvlJc w:val="left"/>
      <w:pPr>
        <w:ind w:left="1080" w:hanging="72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86C5567"/>
    <w:multiLevelType w:val="hybridMultilevel"/>
    <w:tmpl w:val="4BCADFA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F962A02"/>
    <w:multiLevelType w:val="hybridMultilevel"/>
    <w:tmpl w:val="98DCB4A8"/>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2" w15:restartNumberingAfterBreak="0">
    <w:nsid w:val="42684273"/>
    <w:multiLevelType w:val="hybridMultilevel"/>
    <w:tmpl w:val="1402F6F8"/>
    <w:lvl w:ilvl="0" w:tplc="21AE7A6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E0443D"/>
    <w:multiLevelType w:val="hybridMultilevel"/>
    <w:tmpl w:val="84E4A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F85B97"/>
    <w:multiLevelType w:val="multilevel"/>
    <w:tmpl w:val="0F8CC4AC"/>
    <w:lvl w:ilvl="0">
      <w:start w:val="1"/>
      <w:numFmt w:val="decimal"/>
      <w:lvlText w:val="%1."/>
      <w:lvlJc w:val="lef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25" w15:restartNumberingAfterBreak="0">
    <w:nsid w:val="45602830"/>
    <w:multiLevelType w:val="hybridMultilevel"/>
    <w:tmpl w:val="D7E29C34"/>
    <w:lvl w:ilvl="0" w:tplc="0F908518">
      <w:start w:val="1"/>
      <w:numFmt w:val="bullet"/>
      <w:lvlText w:val=""/>
      <w:lvlJc w:val="left"/>
      <w:pPr>
        <w:ind w:left="720" w:hanging="360"/>
      </w:pPr>
      <w:rPr>
        <w:rFonts w:ascii="Symbol" w:hAnsi="Symbol"/>
      </w:rPr>
    </w:lvl>
    <w:lvl w:ilvl="1" w:tplc="4F304D92">
      <w:start w:val="1"/>
      <w:numFmt w:val="bullet"/>
      <w:lvlText w:val=""/>
      <w:lvlJc w:val="left"/>
      <w:pPr>
        <w:ind w:left="720" w:hanging="360"/>
      </w:pPr>
      <w:rPr>
        <w:rFonts w:ascii="Symbol" w:hAnsi="Symbol"/>
      </w:rPr>
    </w:lvl>
    <w:lvl w:ilvl="2" w:tplc="5D420D66">
      <w:start w:val="1"/>
      <w:numFmt w:val="bullet"/>
      <w:lvlText w:val=""/>
      <w:lvlJc w:val="left"/>
      <w:pPr>
        <w:ind w:left="720" w:hanging="360"/>
      </w:pPr>
      <w:rPr>
        <w:rFonts w:ascii="Symbol" w:hAnsi="Symbol"/>
      </w:rPr>
    </w:lvl>
    <w:lvl w:ilvl="3" w:tplc="53DA4D32">
      <w:start w:val="1"/>
      <w:numFmt w:val="bullet"/>
      <w:lvlText w:val=""/>
      <w:lvlJc w:val="left"/>
      <w:pPr>
        <w:ind w:left="720" w:hanging="360"/>
      </w:pPr>
      <w:rPr>
        <w:rFonts w:ascii="Symbol" w:hAnsi="Symbol"/>
      </w:rPr>
    </w:lvl>
    <w:lvl w:ilvl="4" w:tplc="0638E9BE">
      <w:start w:val="1"/>
      <w:numFmt w:val="bullet"/>
      <w:lvlText w:val=""/>
      <w:lvlJc w:val="left"/>
      <w:pPr>
        <w:ind w:left="720" w:hanging="360"/>
      </w:pPr>
      <w:rPr>
        <w:rFonts w:ascii="Symbol" w:hAnsi="Symbol"/>
      </w:rPr>
    </w:lvl>
    <w:lvl w:ilvl="5" w:tplc="AEBABF54">
      <w:start w:val="1"/>
      <w:numFmt w:val="bullet"/>
      <w:lvlText w:val=""/>
      <w:lvlJc w:val="left"/>
      <w:pPr>
        <w:ind w:left="720" w:hanging="360"/>
      </w:pPr>
      <w:rPr>
        <w:rFonts w:ascii="Symbol" w:hAnsi="Symbol"/>
      </w:rPr>
    </w:lvl>
    <w:lvl w:ilvl="6" w:tplc="7B0CED64">
      <w:start w:val="1"/>
      <w:numFmt w:val="bullet"/>
      <w:lvlText w:val=""/>
      <w:lvlJc w:val="left"/>
      <w:pPr>
        <w:ind w:left="720" w:hanging="360"/>
      </w:pPr>
      <w:rPr>
        <w:rFonts w:ascii="Symbol" w:hAnsi="Symbol"/>
      </w:rPr>
    </w:lvl>
    <w:lvl w:ilvl="7" w:tplc="DD8E371E">
      <w:start w:val="1"/>
      <w:numFmt w:val="bullet"/>
      <w:lvlText w:val=""/>
      <w:lvlJc w:val="left"/>
      <w:pPr>
        <w:ind w:left="720" w:hanging="360"/>
      </w:pPr>
      <w:rPr>
        <w:rFonts w:ascii="Symbol" w:hAnsi="Symbol"/>
      </w:rPr>
    </w:lvl>
    <w:lvl w:ilvl="8" w:tplc="F848736E">
      <w:start w:val="1"/>
      <w:numFmt w:val="bullet"/>
      <w:lvlText w:val=""/>
      <w:lvlJc w:val="left"/>
      <w:pPr>
        <w:ind w:left="720" w:hanging="360"/>
      </w:pPr>
      <w:rPr>
        <w:rFonts w:ascii="Symbol" w:hAnsi="Symbol"/>
      </w:rPr>
    </w:lvl>
  </w:abstractNum>
  <w:abstractNum w:abstractNumId="26" w15:restartNumberingAfterBreak="0">
    <w:nsid w:val="46561A98"/>
    <w:multiLevelType w:val="hybridMultilevel"/>
    <w:tmpl w:val="BE4884EE"/>
    <w:lvl w:ilvl="0" w:tplc="C4963EE6">
      <w:numFmt w:val="bullet"/>
      <w:lvlText w:val="-"/>
      <w:lvlJc w:val="left"/>
      <w:pPr>
        <w:ind w:left="720" w:hanging="360"/>
      </w:pPr>
      <w:rPr>
        <w:rFonts w:ascii="Candara" w:eastAsiaTheme="minorHAnsi" w:hAnsi="Candara" w:cstheme="minorBidi" w:hint="default"/>
      </w:rPr>
    </w:lvl>
    <w:lvl w:ilvl="1" w:tplc="181A0003">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7" w15:restartNumberingAfterBreak="0">
    <w:nsid w:val="4EB95FA0"/>
    <w:multiLevelType w:val="hybridMultilevel"/>
    <w:tmpl w:val="AF5AA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DB01B1"/>
    <w:multiLevelType w:val="hybridMultilevel"/>
    <w:tmpl w:val="4444542C"/>
    <w:lvl w:ilvl="0" w:tplc="83FAB6D0">
      <w:start w:val="5"/>
      <w:numFmt w:val="bullet"/>
      <w:lvlText w:val=""/>
      <w:lvlJc w:val="left"/>
      <w:pPr>
        <w:ind w:left="360" w:hanging="360"/>
      </w:pPr>
      <w:rPr>
        <w:rFonts w:ascii="Symbol" w:eastAsiaTheme="minorHAnsi" w:hAnsi="Symbol" w:cs="Segoe UI" w:hint="default"/>
      </w:rPr>
    </w:lvl>
    <w:lvl w:ilvl="1" w:tplc="181A0003" w:tentative="1">
      <w:start w:val="1"/>
      <w:numFmt w:val="bullet"/>
      <w:lvlText w:val="o"/>
      <w:lvlJc w:val="left"/>
      <w:pPr>
        <w:ind w:left="1080" w:hanging="360"/>
      </w:pPr>
      <w:rPr>
        <w:rFonts w:ascii="Courier New" w:hAnsi="Courier New" w:cs="Courier New" w:hint="default"/>
      </w:rPr>
    </w:lvl>
    <w:lvl w:ilvl="2" w:tplc="181A0005" w:tentative="1">
      <w:start w:val="1"/>
      <w:numFmt w:val="bullet"/>
      <w:lvlText w:val=""/>
      <w:lvlJc w:val="left"/>
      <w:pPr>
        <w:ind w:left="1800" w:hanging="360"/>
      </w:pPr>
      <w:rPr>
        <w:rFonts w:ascii="Wingdings" w:hAnsi="Wingdings" w:hint="default"/>
      </w:rPr>
    </w:lvl>
    <w:lvl w:ilvl="3" w:tplc="181A0001" w:tentative="1">
      <w:start w:val="1"/>
      <w:numFmt w:val="bullet"/>
      <w:lvlText w:val=""/>
      <w:lvlJc w:val="left"/>
      <w:pPr>
        <w:ind w:left="2520" w:hanging="360"/>
      </w:pPr>
      <w:rPr>
        <w:rFonts w:ascii="Symbol" w:hAnsi="Symbol" w:hint="default"/>
      </w:rPr>
    </w:lvl>
    <w:lvl w:ilvl="4" w:tplc="181A0003" w:tentative="1">
      <w:start w:val="1"/>
      <w:numFmt w:val="bullet"/>
      <w:lvlText w:val="o"/>
      <w:lvlJc w:val="left"/>
      <w:pPr>
        <w:ind w:left="3240" w:hanging="360"/>
      </w:pPr>
      <w:rPr>
        <w:rFonts w:ascii="Courier New" w:hAnsi="Courier New" w:cs="Courier New" w:hint="default"/>
      </w:rPr>
    </w:lvl>
    <w:lvl w:ilvl="5" w:tplc="181A0005" w:tentative="1">
      <w:start w:val="1"/>
      <w:numFmt w:val="bullet"/>
      <w:lvlText w:val=""/>
      <w:lvlJc w:val="left"/>
      <w:pPr>
        <w:ind w:left="3960" w:hanging="360"/>
      </w:pPr>
      <w:rPr>
        <w:rFonts w:ascii="Wingdings" w:hAnsi="Wingdings" w:hint="default"/>
      </w:rPr>
    </w:lvl>
    <w:lvl w:ilvl="6" w:tplc="181A0001" w:tentative="1">
      <w:start w:val="1"/>
      <w:numFmt w:val="bullet"/>
      <w:lvlText w:val=""/>
      <w:lvlJc w:val="left"/>
      <w:pPr>
        <w:ind w:left="4680" w:hanging="360"/>
      </w:pPr>
      <w:rPr>
        <w:rFonts w:ascii="Symbol" w:hAnsi="Symbol" w:hint="default"/>
      </w:rPr>
    </w:lvl>
    <w:lvl w:ilvl="7" w:tplc="181A0003" w:tentative="1">
      <w:start w:val="1"/>
      <w:numFmt w:val="bullet"/>
      <w:lvlText w:val="o"/>
      <w:lvlJc w:val="left"/>
      <w:pPr>
        <w:ind w:left="5400" w:hanging="360"/>
      </w:pPr>
      <w:rPr>
        <w:rFonts w:ascii="Courier New" w:hAnsi="Courier New" w:cs="Courier New" w:hint="default"/>
      </w:rPr>
    </w:lvl>
    <w:lvl w:ilvl="8" w:tplc="181A0005" w:tentative="1">
      <w:start w:val="1"/>
      <w:numFmt w:val="bullet"/>
      <w:lvlText w:val=""/>
      <w:lvlJc w:val="left"/>
      <w:pPr>
        <w:ind w:left="6120" w:hanging="360"/>
      </w:pPr>
      <w:rPr>
        <w:rFonts w:ascii="Wingdings" w:hAnsi="Wingdings" w:hint="default"/>
      </w:rPr>
    </w:lvl>
  </w:abstractNum>
  <w:abstractNum w:abstractNumId="29" w15:restartNumberingAfterBreak="0">
    <w:nsid w:val="537F66AC"/>
    <w:multiLevelType w:val="hybridMultilevel"/>
    <w:tmpl w:val="22929862"/>
    <w:lvl w:ilvl="0" w:tplc="181A0001">
      <w:start w:val="1"/>
      <w:numFmt w:val="bullet"/>
      <w:lvlText w:val=""/>
      <w:lvlJc w:val="left"/>
      <w:pPr>
        <w:ind w:left="360" w:hanging="360"/>
      </w:pPr>
      <w:rPr>
        <w:rFonts w:ascii="Symbol" w:hAnsi="Symbol" w:hint="default"/>
      </w:rPr>
    </w:lvl>
    <w:lvl w:ilvl="1" w:tplc="181A0003" w:tentative="1">
      <w:start w:val="1"/>
      <w:numFmt w:val="bullet"/>
      <w:lvlText w:val="o"/>
      <w:lvlJc w:val="left"/>
      <w:pPr>
        <w:ind w:left="1080" w:hanging="360"/>
      </w:pPr>
      <w:rPr>
        <w:rFonts w:ascii="Courier New" w:hAnsi="Courier New" w:cs="Courier New" w:hint="default"/>
      </w:rPr>
    </w:lvl>
    <w:lvl w:ilvl="2" w:tplc="181A0005" w:tentative="1">
      <w:start w:val="1"/>
      <w:numFmt w:val="bullet"/>
      <w:lvlText w:val=""/>
      <w:lvlJc w:val="left"/>
      <w:pPr>
        <w:ind w:left="1800" w:hanging="360"/>
      </w:pPr>
      <w:rPr>
        <w:rFonts w:ascii="Wingdings" w:hAnsi="Wingdings" w:hint="default"/>
      </w:rPr>
    </w:lvl>
    <w:lvl w:ilvl="3" w:tplc="181A0001" w:tentative="1">
      <w:start w:val="1"/>
      <w:numFmt w:val="bullet"/>
      <w:lvlText w:val=""/>
      <w:lvlJc w:val="left"/>
      <w:pPr>
        <w:ind w:left="2520" w:hanging="360"/>
      </w:pPr>
      <w:rPr>
        <w:rFonts w:ascii="Symbol" w:hAnsi="Symbol" w:hint="default"/>
      </w:rPr>
    </w:lvl>
    <w:lvl w:ilvl="4" w:tplc="181A0003" w:tentative="1">
      <w:start w:val="1"/>
      <w:numFmt w:val="bullet"/>
      <w:lvlText w:val="o"/>
      <w:lvlJc w:val="left"/>
      <w:pPr>
        <w:ind w:left="3240" w:hanging="360"/>
      </w:pPr>
      <w:rPr>
        <w:rFonts w:ascii="Courier New" w:hAnsi="Courier New" w:cs="Courier New" w:hint="default"/>
      </w:rPr>
    </w:lvl>
    <w:lvl w:ilvl="5" w:tplc="181A0005" w:tentative="1">
      <w:start w:val="1"/>
      <w:numFmt w:val="bullet"/>
      <w:lvlText w:val=""/>
      <w:lvlJc w:val="left"/>
      <w:pPr>
        <w:ind w:left="3960" w:hanging="360"/>
      </w:pPr>
      <w:rPr>
        <w:rFonts w:ascii="Wingdings" w:hAnsi="Wingdings" w:hint="default"/>
      </w:rPr>
    </w:lvl>
    <w:lvl w:ilvl="6" w:tplc="181A0001" w:tentative="1">
      <w:start w:val="1"/>
      <w:numFmt w:val="bullet"/>
      <w:lvlText w:val=""/>
      <w:lvlJc w:val="left"/>
      <w:pPr>
        <w:ind w:left="4680" w:hanging="360"/>
      </w:pPr>
      <w:rPr>
        <w:rFonts w:ascii="Symbol" w:hAnsi="Symbol" w:hint="default"/>
      </w:rPr>
    </w:lvl>
    <w:lvl w:ilvl="7" w:tplc="181A0003" w:tentative="1">
      <w:start w:val="1"/>
      <w:numFmt w:val="bullet"/>
      <w:lvlText w:val="o"/>
      <w:lvlJc w:val="left"/>
      <w:pPr>
        <w:ind w:left="5400" w:hanging="360"/>
      </w:pPr>
      <w:rPr>
        <w:rFonts w:ascii="Courier New" w:hAnsi="Courier New" w:cs="Courier New" w:hint="default"/>
      </w:rPr>
    </w:lvl>
    <w:lvl w:ilvl="8" w:tplc="181A0005" w:tentative="1">
      <w:start w:val="1"/>
      <w:numFmt w:val="bullet"/>
      <w:lvlText w:val=""/>
      <w:lvlJc w:val="left"/>
      <w:pPr>
        <w:ind w:left="6120" w:hanging="360"/>
      </w:pPr>
      <w:rPr>
        <w:rFonts w:ascii="Wingdings" w:hAnsi="Wingdings" w:hint="default"/>
      </w:rPr>
    </w:lvl>
  </w:abstractNum>
  <w:abstractNum w:abstractNumId="30" w15:restartNumberingAfterBreak="0">
    <w:nsid w:val="57C14CB7"/>
    <w:multiLevelType w:val="hybridMultilevel"/>
    <w:tmpl w:val="AC6E6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7A0738"/>
    <w:multiLevelType w:val="hybridMultilevel"/>
    <w:tmpl w:val="089A4E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EE129B"/>
    <w:multiLevelType w:val="hybridMultilevel"/>
    <w:tmpl w:val="9B20814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FCF65BA"/>
    <w:multiLevelType w:val="hybridMultilevel"/>
    <w:tmpl w:val="A3A8D602"/>
    <w:lvl w:ilvl="0" w:tplc="A4FE23C0">
      <w:start w:val="1"/>
      <w:numFmt w:val="bullet"/>
      <w:lvlText w:val=""/>
      <w:lvlJc w:val="left"/>
      <w:pPr>
        <w:ind w:left="720" w:hanging="360"/>
      </w:pPr>
      <w:rPr>
        <w:rFonts w:ascii="Symbol" w:hAnsi="Symbol"/>
      </w:rPr>
    </w:lvl>
    <w:lvl w:ilvl="1" w:tplc="EA9603FE">
      <w:start w:val="1"/>
      <w:numFmt w:val="bullet"/>
      <w:lvlText w:val=""/>
      <w:lvlJc w:val="left"/>
      <w:pPr>
        <w:ind w:left="720" w:hanging="360"/>
      </w:pPr>
      <w:rPr>
        <w:rFonts w:ascii="Symbol" w:hAnsi="Symbol"/>
      </w:rPr>
    </w:lvl>
    <w:lvl w:ilvl="2" w:tplc="7C88DE58">
      <w:start w:val="1"/>
      <w:numFmt w:val="bullet"/>
      <w:lvlText w:val=""/>
      <w:lvlJc w:val="left"/>
      <w:pPr>
        <w:ind w:left="720" w:hanging="360"/>
      </w:pPr>
      <w:rPr>
        <w:rFonts w:ascii="Symbol" w:hAnsi="Symbol"/>
      </w:rPr>
    </w:lvl>
    <w:lvl w:ilvl="3" w:tplc="80ACB4E4">
      <w:start w:val="1"/>
      <w:numFmt w:val="bullet"/>
      <w:lvlText w:val=""/>
      <w:lvlJc w:val="left"/>
      <w:pPr>
        <w:ind w:left="720" w:hanging="360"/>
      </w:pPr>
      <w:rPr>
        <w:rFonts w:ascii="Symbol" w:hAnsi="Symbol"/>
      </w:rPr>
    </w:lvl>
    <w:lvl w:ilvl="4" w:tplc="FDC86B0A">
      <w:start w:val="1"/>
      <w:numFmt w:val="bullet"/>
      <w:lvlText w:val=""/>
      <w:lvlJc w:val="left"/>
      <w:pPr>
        <w:ind w:left="720" w:hanging="360"/>
      </w:pPr>
      <w:rPr>
        <w:rFonts w:ascii="Symbol" w:hAnsi="Symbol"/>
      </w:rPr>
    </w:lvl>
    <w:lvl w:ilvl="5" w:tplc="F830CD76">
      <w:start w:val="1"/>
      <w:numFmt w:val="bullet"/>
      <w:lvlText w:val=""/>
      <w:lvlJc w:val="left"/>
      <w:pPr>
        <w:ind w:left="720" w:hanging="360"/>
      </w:pPr>
      <w:rPr>
        <w:rFonts w:ascii="Symbol" w:hAnsi="Symbol"/>
      </w:rPr>
    </w:lvl>
    <w:lvl w:ilvl="6" w:tplc="B938379C">
      <w:start w:val="1"/>
      <w:numFmt w:val="bullet"/>
      <w:lvlText w:val=""/>
      <w:lvlJc w:val="left"/>
      <w:pPr>
        <w:ind w:left="720" w:hanging="360"/>
      </w:pPr>
      <w:rPr>
        <w:rFonts w:ascii="Symbol" w:hAnsi="Symbol"/>
      </w:rPr>
    </w:lvl>
    <w:lvl w:ilvl="7" w:tplc="C332F900">
      <w:start w:val="1"/>
      <w:numFmt w:val="bullet"/>
      <w:lvlText w:val=""/>
      <w:lvlJc w:val="left"/>
      <w:pPr>
        <w:ind w:left="720" w:hanging="360"/>
      </w:pPr>
      <w:rPr>
        <w:rFonts w:ascii="Symbol" w:hAnsi="Symbol"/>
      </w:rPr>
    </w:lvl>
    <w:lvl w:ilvl="8" w:tplc="0AD61082">
      <w:start w:val="1"/>
      <w:numFmt w:val="bullet"/>
      <w:lvlText w:val=""/>
      <w:lvlJc w:val="left"/>
      <w:pPr>
        <w:ind w:left="720" w:hanging="360"/>
      </w:pPr>
      <w:rPr>
        <w:rFonts w:ascii="Symbol" w:hAnsi="Symbol"/>
      </w:rPr>
    </w:lvl>
  </w:abstractNum>
  <w:abstractNum w:abstractNumId="34" w15:restartNumberingAfterBreak="0">
    <w:nsid w:val="63284530"/>
    <w:multiLevelType w:val="hybridMultilevel"/>
    <w:tmpl w:val="00A66274"/>
    <w:lvl w:ilvl="0" w:tplc="181A0001">
      <w:start w:val="1"/>
      <w:numFmt w:val="bullet"/>
      <w:lvlText w:val=""/>
      <w:lvlJc w:val="left"/>
      <w:pPr>
        <w:ind w:left="360" w:hanging="360"/>
      </w:pPr>
      <w:rPr>
        <w:rFonts w:ascii="Symbol" w:hAnsi="Symbol" w:hint="default"/>
      </w:rPr>
    </w:lvl>
    <w:lvl w:ilvl="1" w:tplc="181A0003">
      <w:start w:val="1"/>
      <w:numFmt w:val="bullet"/>
      <w:lvlText w:val="o"/>
      <w:lvlJc w:val="left"/>
      <w:pPr>
        <w:ind w:left="1080" w:hanging="360"/>
      </w:pPr>
      <w:rPr>
        <w:rFonts w:ascii="Courier New" w:hAnsi="Courier New" w:cs="Courier New" w:hint="default"/>
      </w:rPr>
    </w:lvl>
    <w:lvl w:ilvl="2" w:tplc="181A0005">
      <w:start w:val="1"/>
      <w:numFmt w:val="bullet"/>
      <w:lvlText w:val=""/>
      <w:lvlJc w:val="left"/>
      <w:pPr>
        <w:ind w:left="1800" w:hanging="360"/>
      </w:pPr>
      <w:rPr>
        <w:rFonts w:ascii="Wingdings" w:hAnsi="Wingdings" w:hint="default"/>
      </w:rPr>
    </w:lvl>
    <w:lvl w:ilvl="3" w:tplc="181A0001">
      <w:start w:val="1"/>
      <w:numFmt w:val="bullet"/>
      <w:lvlText w:val=""/>
      <w:lvlJc w:val="left"/>
      <w:pPr>
        <w:ind w:left="2520" w:hanging="360"/>
      </w:pPr>
      <w:rPr>
        <w:rFonts w:ascii="Symbol" w:hAnsi="Symbol" w:hint="default"/>
      </w:rPr>
    </w:lvl>
    <w:lvl w:ilvl="4" w:tplc="181A0003" w:tentative="1">
      <w:start w:val="1"/>
      <w:numFmt w:val="bullet"/>
      <w:lvlText w:val="o"/>
      <w:lvlJc w:val="left"/>
      <w:pPr>
        <w:ind w:left="3240" w:hanging="360"/>
      </w:pPr>
      <w:rPr>
        <w:rFonts w:ascii="Courier New" w:hAnsi="Courier New" w:cs="Courier New" w:hint="default"/>
      </w:rPr>
    </w:lvl>
    <w:lvl w:ilvl="5" w:tplc="181A0005" w:tentative="1">
      <w:start w:val="1"/>
      <w:numFmt w:val="bullet"/>
      <w:lvlText w:val=""/>
      <w:lvlJc w:val="left"/>
      <w:pPr>
        <w:ind w:left="3960" w:hanging="360"/>
      </w:pPr>
      <w:rPr>
        <w:rFonts w:ascii="Wingdings" w:hAnsi="Wingdings" w:hint="default"/>
      </w:rPr>
    </w:lvl>
    <w:lvl w:ilvl="6" w:tplc="181A0001" w:tentative="1">
      <w:start w:val="1"/>
      <w:numFmt w:val="bullet"/>
      <w:lvlText w:val=""/>
      <w:lvlJc w:val="left"/>
      <w:pPr>
        <w:ind w:left="4680" w:hanging="360"/>
      </w:pPr>
      <w:rPr>
        <w:rFonts w:ascii="Symbol" w:hAnsi="Symbol" w:hint="default"/>
      </w:rPr>
    </w:lvl>
    <w:lvl w:ilvl="7" w:tplc="181A0003" w:tentative="1">
      <w:start w:val="1"/>
      <w:numFmt w:val="bullet"/>
      <w:lvlText w:val="o"/>
      <w:lvlJc w:val="left"/>
      <w:pPr>
        <w:ind w:left="5400" w:hanging="360"/>
      </w:pPr>
      <w:rPr>
        <w:rFonts w:ascii="Courier New" w:hAnsi="Courier New" w:cs="Courier New" w:hint="default"/>
      </w:rPr>
    </w:lvl>
    <w:lvl w:ilvl="8" w:tplc="181A0005" w:tentative="1">
      <w:start w:val="1"/>
      <w:numFmt w:val="bullet"/>
      <w:lvlText w:val=""/>
      <w:lvlJc w:val="left"/>
      <w:pPr>
        <w:ind w:left="6120" w:hanging="360"/>
      </w:pPr>
      <w:rPr>
        <w:rFonts w:ascii="Wingdings" w:hAnsi="Wingdings" w:hint="default"/>
      </w:rPr>
    </w:lvl>
  </w:abstractNum>
  <w:abstractNum w:abstractNumId="35" w15:restartNumberingAfterBreak="0">
    <w:nsid w:val="636739B2"/>
    <w:multiLevelType w:val="hybridMultilevel"/>
    <w:tmpl w:val="FB0A3EB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39802BF"/>
    <w:multiLevelType w:val="hybridMultilevel"/>
    <w:tmpl w:val="3476F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49543D"/>
    <w:multiLevelType w:val="hybridMultilevel"/>
    <w:tmpl w:val="01149F0E"/>
    <w:lvl w:ilvl="0" w:tplc="21AE7A6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9C4D06"/>
    <w:multiLevelType w:val="hybridMultilevel"/>
    <w:tmpl w:val="4CCEDFEE"/>
    <w:lvl w:ilvl="0" w:tplc="21AE7A6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492F1C"/>
    <w:multiLevelType w:val="hybridMultilevel"/>
    <w:tmpl w:val="20D4C538"/>
    <w:lvl w:ilvl="0" w:tplc="83FAB6D0">
      <w:start w:val="5"/>
      <w:numFmt w:val="bullet"/>
      <w:lvlText w:val=""/>
      <w:lvlJc w:val="left"/>
      <w:pPr>
        <w:ind w:left="360" w:hanging="360"/>
      </w:pPr>
      <w:rPr>
        <w:rFonts w:ascii="Symbol" w:eastAsiaTheme="minorHAnsi" w:hAnsi="Symbol" w:cs="Segoe UI" w:hint="default"/>
      </w:rPr>
    </w:lvl>
    <w:lvl w:ilvl="1" w:tplc="181A0003" w:tentative="1">
      <w:start w:val="1"/>
      <w:numFmt w:val="bullet"/>
      <w:lvlText w:val="o"/>
      <w:lvlJc w:val="left"/>
      <w:pPr>
        <w:ind w:left="1080" w:hanging="360"/>
      </w:pPr>
      <w:rPr>
        <w:rFonts w:ascii="Courier New" w:hAnsi="Courier New" w:cs="Courier New" w:hint="default"/>
      </w:rPr>
    </w:lvl>
    <w:lvl w:ilvl="2" w:tplc="181A0005" w:tentative="1">
      <w:start w:val="1"/>
      <w:numFmt w:val="bullet"/>
      <w:lvlText w:val=""/>
      <w:lvlJc w:val="left"/>
      <w:pPr>
        <w:ind w:left="1800" w:hanging="360"/>
      </w:pPr>
      <w:rPr>
        <w:rFonts w:ascii="Wingdings" w:hAnsi="Wingdings" w:hint="default"/>
      </w:rPr>
    </w:lvl>
    <w:lvl w:ilvl="3" w:tplc="181A0001" w:tentative="1">
      <w:start w:val="1"/>
      <w:numFmt w:val="bullet"/>
      <w:lvlText w:val=""/>
      <w:lvlJc w:val="left"/>
      <w:pPr>
        <w:ind w:left="2520" w:hanging="360"/>
      </w:pPr>
      <w:rPr>
        <w:rFonts w:ascii="Symbol" w:hAnsi="Symbol" w:hint="default"/>
      </w:rPr>
    </w:lvl>
    <w:lvl w:ilvl="4" w:tplc="181A0003" w:tentative="1">
      <w:start w:val="1"/>
      <w:numFmt w:val="bullet"/>
      <w:lvlText w:val="o"/>
      <w:lvlJc w:val="left"/>
      <w:pPr>
        <w:ind w:left="3240" w:hanging="360"/>
      </w:pPr>
      <w:rPr>
        <w:rFonts w:ascii="Courier New" w:hAnsi="Courier New" w:cs="Courier New" w:hint="default"/>
      </w:rPr>
    </w:lvl>
    <w:lvl w:ilvl="5" w:tplc="181A0005" w:tentative="1">
      <w:start w:val="1"/>
      <w:numFmt w:val="bullet"/>
      <w:lvlText w:val=""/>
      <w:lvlJc w:val="left"/>
      <w:pPr>
        <w:ind w:left="3960" w:hanging="360"/>
      </w:pPr>
      <w:rPr>
        <w:rFonts w:ascii="Wingdings" w:hAnsi="Wingdings" w:hint="default"/>
      </w:rPr>
    </w:lvl>
    <w:lvl w:ilvl="6" w:tplc="181A0001" w:tentative="1">
      <w:start w:val="1"/>
      <w:numFmt w:val="bullet"/>
      <w:lvlText w:val=""/>
      <w:lvlJc w:val="left"/>
      <w:pPr>
        <w:ind w:left="4680" w:hanging="360"/>
      </w:pPr>
      <w:rPr>
        <w:rFonts w:ascii="Symbol" w:hAnsi="Symbol" w:hint="default"/>
      </w:rPr>
    </w:lvl>
    <w:lvl w:ilvl="7" w:tplc="181A0003" w:tentative="1">
      <w:start w:val="1"/>
      <w:numFmt w:val="bullet"/>
      <w:lvlText w:val="o"/>
      <w:lvlJc w:val="left"/>
      <w:pPr>
        <w:ind w:left="5400" w:hanging="360"/>
      </w:pPr>
      <w:rPr>
        <w:rFonts w:ascii="Courier New" w:hAnsi="Courier New" w:cs="Courier New" w:hint="default"/>
      </w:rPr>
    </w:lvl>
    <w:lvl w:ilvl="8" w:tplc="181A0005" w:tentative="1">
      <w:start w:val="1"/>
      <w:numFmt w:val="bullet"/>
      <w:lvlText w:val=""/>
      <w:lvlJc w:val="left"/>
      <w:pPr>
        <w:ind w:left="6120" w:hanging="360"/>
      </w:pPr>
      <w:rPr>
        <w:rFonts w:ascii="Wingdings" w:hAnsi="Wingdings" w:hint="default"/>
      </w:rPr>
    </w:lvl>
  </w:abstractNum>
  <w:abstractNum w:abstractNumId="40" w15:restartNumberingAfterBreak="0">
    <w:nsid w:val="6C5A0DED"/>
    <w:multiLevelType w:val="hybridMultilevel"/>
    <w:tmpl w:val="AE58FF9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D4E09A9"/>
    <w:multiLevelType w:val="hybridMultilevel"/>
    <w:tmpl w:val="7EBC7F0A"/>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42" w15:restartNumberingAfterBreak="0">
    <w:nsid w:val="6F7A6415"/>
    <w:multiLevelType w:val="multilevel"/>
    <w:tmpl w:val="ABCAF70A"/>
    <w:lvl w:ilvl="0">
      <w:start w:val="4"/>
      <w:numFmt w:val="decimal"/>
      <w:lvlText w:val="%1"/>
      <w:lvlJc w:val="left"/>
      <w:pPr>
        <w:ind w:left="360" w:hanging="360"/>
      </w:pPr>
      <w:rPr>
        <w:rFonts w:hint="default"/>
        <w:b/>
        <w:i/>
        <w:color w:val="215E99" w:themeColor="text2" w:themeTint="BF"/>
      </w:rPr>
    </w:lvl>
    <w:lvl w:ilvl="1">
      <w:start w:val="1"/>
      <w:numFmt w:val="decimal"/>
      <w:lvlText w:val="%1.%2"/>
      <w:lvlJc w:val="left"/>
      <w:pPr>
        <w:ind w:left="360" w:hanging="360"/>
      </w:pPr>
      <w:rPr>
        <w:rFonts w:hint="default"/>
        <w:b/>
        <w:i/>
        <w:color w:val="215E99" w:themeColor="text2" w:themeTint="BF"/>
      </w:rPr>
    </w:lvl>
    <w:lvl w:ilvl="2">
      <w:start w:val="1"/>
      <w:numFmt w:val="decimal"/>
      <w:lvlText w:val="%1.%2.%3"/>
      <w:lvlJc w:val="left"/>
      <w:pPr>
        <w:ind w:left="720" w:hanging="720"/>
      </w:pPr>
      <w:rPr>
        <w:rFonts w:hint="default"/>
        <w:b/>
        <w:i/>
        <w:color w:val="215E99" w:themeColor="text2" w:themeTint="BF"/>
      </w:rPr>
    </w:lvl>
    <w:lvl w:ilvl="3">
      <w:start w:val="1"/>
      <w:numFmt w:val="decimal"/>
      <w:lvlText w:val="%1.%2.%3.%4"/>
      <w:lvlJc w:val="left"/>
      <w:pPr>
        <w:ind w:left="720" w:hanging="720"/>
      </w:pPr>
      <w:rPr>
        <w:rFonts w:hint="default"/>
        <w:b/>
        <w:i/>
        <w:color w:val="215E99" w:themeColor="text2" w:themeTint="BF"/>
      </w:rPr>
    </w:lvl>
    <w:lvl w:ilvl="4">
      <w:start w:val="1"/>
      <w:numFmt w:val="decimal"/>
      <w:lvlText w:val="%1.%2.%3.%4.%5"/>
      <w:lvlJc w:val="left"/>
      <w:pPr>
        <w:ind w:left="1080" w:hanging="1080"/>
      </w:pPr>
      <w:rPr>
        <w:rFonts w:hint="default"/>
        <w:b/>
        <w:i/>
        <w:color w:val="215E99" w:themeColor="text2" w:themeTint="BF"/>
      </w:rPr>
    </w:lvl>
    <w:lvl w:ilvl="5">
      <w:start w:val="1"/>
      <w:numFmt w:val="decimal"/>
      <w:lvlText w:val="%1.%2.%3.%4.%5.%6"/>
      <w:lvlJc w:val="left"/>
      <w:pPr>
        <w:ind w:left="1080" w:hanging="1080"/>
      </w:pPr>
      <w:rPr>
        <w:rFonts w:hint="default"/>
        <w:b/>
        <w:i/>
        <w:color w:val="215E99" w:themeColor="text2" w:themeTint="BF"/>
      </w:rPr>
    </w:lvl>
    <w:lvl w:ilvl="6">
      <w:start w:val="1"/>
      <w:numFmt w:val="decimal"/>
      <w:lvlText w:val="%1.%2.%3.%4.%5.%6.%7"/>
      <w:lvlJc w:val="left"/>
      <w:pPr>
        <w:ind w:left="1440" w:hanging="1440"/>
      </w:pPr>
      <w:rPr>
        <w:rFonts w:hint="default"/>
        <w:b/>
        <w:i/>
        <w:color w:val="215E99" w:themeColor="text2" w:themeTint="BF"/>
      </w:rPr>
    </w:lvl>
    <w:lvl w:ilvl="7">
      <w:start w:val="1"/>
      <w:numFmt w:val="decimal"/>
      <w:lvlText w:val="%1.%2.%3.%4.%5.%6.%7.%8"/>
      <w:lvlJc w:val="left"/>
      <w:pPr>
        <w:ind w:left="1440" w:hanging="1440"/>
      </w:pPr>
      <w:rPr>
        <w:rFonts w:hint="default"/>
        <w:b/>
        <w:i/>
        <w:color w:val="215E99" w:themeColor="text2" w:themeTint="BF"/>
      </w:rPr>
    </w:lvl>
    <w:lvl w:ilvl="8">
      <w:start w:val="1"/>
      <w:numFmt w:val="decimal"/>
      <w:lvlText w:val="%1.%2.%3.%4.%5.%6.%7.%8.%9"/>
      <w:lvlJc w:val="left"/>
      <w:pPr>
        <w:ind w:left="1800" w:hanging="1800"/>
      </w:pPr>
      <w:rPr>
        <w:rFonts w:hint="default"/>
        <w:b/>
        <w:i/>
        <w:color w:val="215E99" w:themeColor="text2" w:themeTint="BF"/>
      </w:rPr>
    </w:lvl>
  </w:abstractNum>
  <w:abstractNum w:abstractNumId="43" w15:restartNumberingAfterBreak="0">
    <w:nsid w:val="70B052E9"/>
    <w:multiLevelType w:val="hybridMultilevel"/>
    <w:tmpl w:val="06CE5EE8"/>
    <w:lvl w:ilvl="0" w:tplc="83FAB6D0">
      <w:start w:val="5"/>
      <w:numFmt w:val="bullet"/>
      <w:lvlText w:val=""/>
      <w:lvlJc w:val="left"/>
      <w:pPr>
        <w:ind w:left="360" w:hanging="360"/>
      </w:pPr>
      <w:rPr>
        <w:rFonts w:ascii="Symbol" w:eastAsiaTheme="minorHAnsi" w:hAnsi="Symbol" w:cs="Segoe UI"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44" w15:restartNumberingAfterBreak="0">
    <w:nsid w:val="711F6FE5"/>
    <w:multiLevelType w:val="hybridMultilevel"/>
    <w:tmpl w:val="E67EF56A"/>
    <w:lvl w:ilvl="0" w:tplc="83FAB6D0">
      <w:start w:val="5"/>
      <w:numFmt w:val="bullet"/>
      <w:lvlText w:val=""/>
      <w:lvlJc w:val="left"/>
      <w:pPr>
        <w:ind w:left="360" w:hanging="360"/>
      </w:pPr>
      <w:rPr>
        <w:rFonts w:ascii="Symbol" w:eastAsiaTheme="minorHAnsi" w:hAnsi="Symbol" w:cs="Segoe UI"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45" w15:restartNumberingAfterBreak="0">
    <w:nsid w:val="71BA3D72"/>
    <w:multiLevelType w:val="multilevel"/>
    <w:tmpl w:val="659A2080"/>
    <w:lvl w:ilvl="0">
      <w:start w:val="1"/>
      <w:numFmt w:val="decimal"/>
      <w:lvlText w:val="%1."/>
      <w:lvlJc w:val="left"/>
      <w:pPr>
        <w:ind w:left="720" w:hanging="360"/>
      </w:pPr>
      <w:rPr>
        <w:rFonts w:hint="default"/>
      </w:rPr>
    </w:lvl>
    <w:lvl w:ilvl="1">
      <w:start w:val="1"/>
      <w:numFmt w:val="decimal"/>
      <w:isLgl/>
      <w:lvlText w:val="%1.%2"/>
      <w:lvlJc w:val="left"/>
      <w:pPr>
        <w:ind w:left="630" w:hanging="360"/>
      </w:pPr>
      <w:rPr>
        <w:rFonts w:hint="default"/>
        <w:b/>
        <w:i/>
        <w:color w:val="215E99" w:themeColor="text2" w:themeTint="BF"/>
      </w:rPr>
    </w:lvl>
    <w:lvl w:ilvl="2">
      <w:start w:val="1"/>
      <w:numFmt w:val="decimal"/>
      <w:isLgl/>
      <w:lvlText w:val="%1.%2.%3"/>
      <w:lvlJc w:val="left"/>
      <w:pPr>
        <w:ind w:left="1800" w:hanging="720"/>
      </w:pPr>
      <w:rPr>
        <w:rFonts w:hint="default"/>
        <w:b/>
        <w:i/>
        <w:color w:val="215E99" w:themeColor="text2" w:themeTint="BF"/>
      </w:rPr>
    </w:lvl>
    <w:lvl w:ilvl="3">
      <w:start w:val="1"/>
      <w:numFmt w:val="decimal"/>
      <w:isLgl/>
      <w:lvlText w:val="%1.%2.%3.%4"/>
      <w:lvlJc w:val="left"/>
      <w:pPr>
        <w:ind w:left="2160" w:hanging="720"/>
      </w:pPr>
      <w:rPr>
        <w:rFonts w:hint="default"/>
        <w:b/>
        <w:i/>
        <w:color w:val="215E99" w:themeColor="text2" w:themeTint="BF"/>
      </w:rPr>
    </w:lvl>
    <w:lvl w:ilvl="4">
      <w:start w:val="1"/>
      <w:numFmt w:val="decimal"/>
      <w:isLgl/>
      <w:lvlText w:val="%1.%2.%3.%4.%5"/>
      <w:lvlJc w:val="left"/>
      <w:pPr>
        <w:ind w:left="2880" w:hanging="1080"/>
      </w:pPr>
      <w:rPr>
        <w:rFonts w:hint="default"/>
        <w:b/>
        <w:i/>
        <w:color w:val="215E99" w:themeColor="text2" w:themeTint="BF"/>
      </w:rPr>
    </w:lvl>
    <w:lvl w:ilvl="5">
      <w:start w:val="1"/>
      <w:numFmt w:val="decimal"/>
      <w:isLgl/>
      <w:lvlText w:val="%1.%2.%3.%4.%5.%6"/>
      <w:lvlJc w:val="left"/>
      <w:pPr>
        <w:ind w:left="3240" w:hanging="1080"/>
      </w:pPr>
      <w:rPr>
        <w:rFonts w:hint="default"/>
        <w:b/>
        <w:i/>
        <w:color w:val="215E99" w:themeColor="text2" w:themeTint="BF"/>
      </w:rPr>
    </w:lvl>
    <w:lvl w:ilvl="6">
      <w:start w:val="1"/>
      <w:numFmt w:val="decimal"/>
      <w:isLgl/>
      <w:lvlText w:val="%1.%2.%3.%4.%5.%6.%7"/>
      <w:lvlJc w:val="left"/>
      <w:pPr>
        <w:ind w:left="3960" w:hanging="1440"/>
      </w:pPr>
      <w:rPr>
        <w:rFonts w:hint="default"/>
        <w:b/>
        <w:i/>
        <w:color w:val="215E99" w:themeColor="text2" w:themeTint="BF"/>
      </w:rPr>
    </w:lvl>
    <w:lvl w:ilvl="7">
      <w:start w:val="1"/>
      <w:numFmt w:val="decimal"/>
      <w:isLgl/>
      <w:lvlText w:val="%1.%2.%3.%4.%5.%6.%7.%8"/>
      <w:lvlJc w:val="left"/>
      <w:pPr>
        <w:ind w:left="4320" w:hanging="1440"/>
      </w:pPr>
      <w:rPr>
        <w:rFonts w:hint="default"/>
        <w:b/>
        <w:i/>
        <w:color w:val="215E99" w:themeColor="text2" w:themeTint="BF"/>
      </w:rPr>
    </w:lvl>
    <w:lvl w:ilvl="8">
      <w:start w:val="1"/>
      <w:numFmt w:val="decimal"/>
      <w:isLgl/>
      <w:lvlText w:val="%1.%2.%3.%4.%5.%6.%7.%8.%9"/>
      <w:lvlJc w:val="left"/>
      <w:pPr>
        <w:ind w:left="5040" w:hanging="1800"/>
      </w:pPr>
      <w:rPr>
        <w:rFonts w:hint="default"/>
        <w:b/>
        <w:i/>
        <w:color w:val="215E99" w:themeColor="text2" w:themeTint="BF"/>
      </w:rPr>
    </w:lvl>
  </w:abstractNum>
  <w:abstractNum w:abstractNumId="46" w15:restartNumberingAfterBreak="0">
    <w:nsid w:val="74BA6124"/>
    <w:multiLevelType w:val="hybridMultilevel"/>
    <w:tmpl w:val="BDA04C26"/>
    <w:lvl w:ilvl="0" w:tplc="181A0001">
      <w:start w:val="1"/>
      <w:numFmt w:val="bullet"/>
      <w:lvlText w:val=""/>
      <w:lvlJc w:val="left"/>
      <w:pPr>
        <w:ind w:left="360" w:hanging="360"/>
      </w:pPr>
      <w:rPr>
        <w:rFonts w:ascii="Symbol" w:hAnsi="Symbol" w:hint="default"/>
      </w:rPr>
    </w:lvl>
    <w:lvl w:ilvl="1" w:tplc="181A0003" w:tentative="1">
      <w:start w:val="1"/>
      <w:numFmt w:val="bullet"/>
      <w:lvlText w:val="o"/>
      <w:lvlJc w:val="left"/>
      <w:pPr>
        <w:ind w:left="1080" w:hanging="360"/>
      </w:pPr>
      <w:rPr>
        <w:rFonts w:ascii="Courier New" w:hAnsi="Courier New" w:cs="Courier New" w:hint="default"/>
      </w:rPr>
    </w:lvl>
    <w:lvl w:ilvl="2" w:tplc="181A0005" w:tentative="1">
      <w:start w:val="1"/>
      <w:numFmt w:val="bullet"/>
      <w:lvlText w:val=""/>
      <w:lvlJc w:val="left"/>
      <w:pPr>
        <w:ind w:left="1800" w:hanging="360"/>
      </w:pPr>
      <w:rPr>
        <w:rFonts w:ascii="Wingdings" w:hAnsi="Wingdings" w:hint="default"/>
      </w:rPr>
    </w:lvl>
    <w:lvl w:ilvl="3" w:tplc="181A0001" w:tentative="1">
      <w:start w:val="1"/>
      <w:numFmt w:val="bullet"/>
      <w:lvlText w:val=""/>
      <w:lvlJc w:val="left"/>
      <w:pPr>
        <w:ind w:left="2520" w:hanging="360"/>
      </w:pPr>
      <w:rPr>
        <w:rFonts w:ascii="Symbol" w:hAnsi="Symbol" w:hint="default"/>
      </w:rPr>
    </w:lvl>
    <w:lvl w:ilvl="4" w:tplc="181A0003" w:tentative="1">
      <w:start w:val="1"/>
      <w:numFmt w:val="bullet"/>
      <w:lvlText w:val="o"/>
      <w:lvlJc w:val="left"/>
      <w:pPr>
        <w:ind w:left="3240" w:hanging="360"/>
      </w:pPr>
      <w:rPr>
        <w:rFonts w:ascii="Courier New" w:hAnsi="Courier New" w:cs="Courier New" w:hint="default"/>
      </w:rPr>
    </w:lvl>
    <w:lvl w:ilvl="5" w:tplc="181A0005" w:tentative="1">
      <w:start w:val="1"/>
      <w:numFmt w:val="bullet"/>
      <w:lvlText w:val=""/>
      <w:lvlJc w:val="left"/>
      <w:pPr>
        <w:ind w:left="3960" w:hanging="360"/>
      </w:pPr>
      <w:rPr>
        <w:rFonts w:ascii="Wingdings" w:hAnsi="Wingdings" w:hint="default"/>
      </w:rPr>
    </w:lvl>
    <w:lvl w:ilvl="6" w:tplc="181A0001" w:tentative="1">
      <w:start w:val="1"/>
      <w:numFmt w:val="bullet"/>
      <w:lvlText w:val=""/>
      <w:lvlJc w:val="left"/>
      <w:pPr>
        <w:ind w:left="4680" w:hanging="360"/>
      </w:pPr>
      <w:rPr>
        <w:rFonts w:ascii="Symbol" w:hAnsi="Symbol" w:hint="default"/>
      </w:rPr>
    </w:lvl>
    <w:lvl w:ilvl="7" w:tplc="181A0003" w:tentative="1">
      <w:start w:val="1"/>
      <w:numFmt w:val="bullet"/>
      <w:lvlText w:val="o"/>
      <w:lvlJc w:val="left"/>
      <w:pPr>
        <w:ind w:left="5400" w:hanging="360"/>
      </w:pPr>
      <w:rPr>
        <w:rFonts w:ascii="Courier New" w:hAnsi="Courier New" w:cs="Courier New" w:hint="default"/>
      </w:rPr>
    </w:lvl>
    <w:lvl w:ilvl="8" w:tplc="181A0005" w:tentative="1">
      <w:start w:val="1"/>
      <w:numFmt w:val="bullet"/>
      <w:lvlText w:val=""/>
      <w:lvlJc w:val="left"/>
      <w:pPr>
        <w:ind w:left="6120" w:hanging="360"/>
      </w:pPr>
      <w:rPr>
        <w:rFonts w:ascii="Wingdings" w:hAnsi="Wingdings" w:hint="default"/>
      </w:rPr>
    </w:lvl>
  </w:abstractNum>
  <w:abstractNum w:abstractNumId="47" w15:restartNumberingAfterBreak="0">
    <w:nsid w:val="762D7506"/>
    <w:multiLevelType w:val="multilevel"/>
    <w:tmpl w:val="8DE88A9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8" w15:restartNumberingAfterBreak="0">
    <w:nsid w:val="7982364C"/>
    <w:multiLevelType w:val="hybridMultilevel"/>
    <w:tmpl w:val="A58EC82E"/>
    <w:lvl w:ilvl="0" w:tplc="83FAB6D0">
      <w:start w:val="5"/>
      <w:numFmt w:val="bullet"/>
      <w:lvlText w:val=""/>
      <w:lvlJc w:val="left"/>
      <w:pPr>
        <w:ind w:left="360" w:hanging="360"/>
      </w:pPr>
      <w:rPr>
        <w:rFonts w:ascii="Symbol" w:eastAsiaTheme="minorHAnsi" w:hAnsi="Symbol" w:cs="Segoe UI"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49" w15:restartNumberingAfterBreak="0">
    <w:nsid w:val="79D116FF"/>
    <w:multiLevelType w:val="hybridMultilevel"/>
    <w:tmpl w:val="DDD83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A153F88"/>
    <w:multiLevelType w:val="hybridMultilevel"/>
    <w:tmpl w:val="9B208148"/>
    <w:lvl w:ilvl="0" w:tplc="7AE8B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B786CF3"/>
    <w:multiLevelType w:val="hybridMultilevel"/>
    <w:tmpl w:val="D6FE7786"/>
    <w:lvl w:ilvl="0" w:tplc="83FAB6D0">
      <w:start w:val="5"/>
      <w:numFmt w:val="bullet"/>
      <w:lvlText w:val=""/>
      <w:lvlJc w:val="left"/>
      <w:pPr>
        <w:ind w:left="360" w:hanging="360"/>
      </w:pPr>
      <w:rPr>
        <w:rFonts w:ascii="Symbol" w:eastAsiaTheme="minorHAnsi" w:hAnsi="Symbol" w:cs="Segoe UI"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52" w15:restartNumberingAfterBreak="0">
    <w:nsid w:val="7BC1774F"/>
    <w:multiLevelType w:val="hybridMultilevel"/>
    <w:tmpl w:val="B1849E36"/>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53" w15:restartNumberingAfterBreak="0">
    <w:nsid w:val="7EEA3455"/>
    <w:multiLevelType w:val="multilevel"/>
    <w:tmpl w:val="A766681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7195177">
    <w:abstractNumId w:val="13"/>
  </w:num>
  <w:num w:numId="2" w16cid:durableId="686443051">
    <w:abstractNumId w:val="53"/>
  </w:num>
  <w:num w:numId="3" w16cid:durableId="192891405">
    <w:abstractNumId w:val="24"/>
  </w:num>
  <w:num w:numId="4" w16cid:durableId="476655088">
    <w:abstractNumId w:val="22"/>
  </w:num>
  <w:num w:numId="5" w16cid:durableId="387581628">
    <w:abstractNumId w:val="35"/>
  </w:num>
  <w:num w:numId="6" w16cid:durableId="578321950">
    <w:abstractNumId w:val="1"/>
  </w:num>
  <w:num w:numId="7" w16cid:durableId="423452097">
    <w:abstractNumId w:val="49"/>
  </w:num>
  <w:num w:numId="8" w16cid:durableId="826359412">
    <w:abstractNumId w:val="12"/>
  </w:num>
  <w:num w:numId="9" w16cid:durableId="1376614316">
    <w:abstractNumId w:val="28"/>
  </w:num>
  <w:num w:numId="10" w16cid:durableId="1591960256">
    <w:abstractNumId w:val="39"/>
  </w:num>
  <w:num w:numId="11" w16cid:durableId="1089891934">
    <w:abstractNumId w:val="34"/>
  </w:num>
  <w:num w:numId="12" w16cid:durableId="952858240">
    <w:abstractNumId w:val="44"/>
  </w:num>
  <w:num w:numId="13" w16cid:durableId="2108189889">
    <w:abstractNumId w:val="48"/>
  </w:num>
  <w:num w:numId="14" w16cid:durableId="672992399">
    <w:abstractNumId w:val="18"/>
  </w:num>
  <w:num w:numId="15" w16cid:durableId="208146687">
    <w:abstractNumId w:val="51"/>
  </w:num>
  <w:num w:numId="16" w16cid:durableId="404887429">
    <w:abstractNumId w:val="43"/>
  </w:num>
  <w:num w:numId="17" w16cid:durableId="794376236">
    <w:abstractNumId w:val="29"/>
  </w:num>
  <w:num w:numId="18" w16cid:durableId="2039772672">
    <w:abstractNumId w:val="2"/>
  </w:num>
  <w:num w:numId="19" w16cid:durableId="1271937746">
    <w:abstractNumId w:val="46"/>
  </w:num>
  <w:num w:numId="20" w16cid:durableId="1253011004">
    <w:abstractNumId w:val="3"/>
  </w:num>
  <w:num w:numId="21" w16cid:durableId="64306517">
    <w:abstractNumId w:val="45"/>
  </w:num>
  <w:num w:numId="22" w16cid:durableId="559218873">
    <w:abstractNumId w:val="6"/>
  </w:num>
  <w:num w:numId="23" w16cid:durableId="55251588">
    <w:abstractNumId w:val="31"/>
  </w:num>
  <w:num w:numId="24" w16cid:durableId="831869705">
    <w:abstractNumId w:val="21"/>
  </w:num>
  <w:num w:numId="25" w16cid:durableId="5714565">
    <w:abstractNumId w:val="41"/>
  </w:num>
  <w:num w:numId="26" w16cid:durableId="1071658202">
    <w:abstractNumId w:val="30"/>
  </w:num>
  <w:num w:numId="27" w16cid:durableId="1959337619">
    <w:abstractNumId w:val="14"/>
  </w:num>
  <w:num w:numId="28" w16cid:durableId="768425358">
    <w:abstractNumId w:val="26"/>
  </w:num>
  <w:num w:numId="29" w16cid:durableId="1481072080">
    <w:abstractNumId w:val="23"/>
  </w:num>
  <w:num w:numId="30" w16cid:durableId="656423909">
    <w:abstractNumId w:val="8"/>
  </w:num>
  <w:num w:numId="31" w16cid:durableId="153767262">
    <w:abstractNumId w:val="27"/>
  </w:num>
  <w:num w:numId="32" w16cid:durableId="1993173442">
    <w:abstractNumId w:val="4"/>
  </w:num>
  <w:num w:numId="33" w16cid:durableId="560799099">
    <w:abstractNumId w:val="10"/>
  </w:num>
  <w:num w:numId="34" w16cid:durableId="449125501">
    <w:abstractNumId w:val="0"/>
  </w:num>
  <w:num w:numId="35" w16cid:durableId="2029214557">
    <w:abstractNumId w:val="52"/>
  </w:num>
  <w:num w:numId="36" w16cid:durableId="1429496212">
    <w:abstractNumId w:val="19"/>
  </w:num>
  <w:num w:numId="37" w16cid:durableId="144391731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937723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07443633">
    <w:abstractNumId w:val="16"/>
  </w:num>
  <w:num w:numId="40" w16cid:durableId="187067498">
    <w:abstractNumId w:val="38"/>
  </w:num>
  <w:num w:numId="41" w16cid:durableId="1071007173">
    <w:abstractNumId w:val="37"/>
  </w:num>
  <w:num w:numId="42" w16cid:durableId="1416710471">
    <w:abstractNumId w:val="36"/>
  </w:num>
  <w:num w:numId="43" w16cid:durableId="1843005887">
    <w:abstractNumId w:val="9"/>
  </w:num>
  <w:num w:numId="44" w16cid:durableId="1811703669">
    <w:abstractNumId w:val="50"/>
  </w:num>
  <w:num w:numId="45" w16cid:durableId="1732653476">
    <w:abstractNumId w:val="15"/>
  </w:num>
  <w:num w:numId="46" w16cid:durableId="1880893513">
    <w:abstractNumId w:val="20"/>
  </w:num>
  <w:num w:numId="47" w16cid:durableId="534463654">
    <w:abstractNumId w:val="5"/>
  </w:num>
  <w:num w:numId="48" w16cid:durableId="1775129721">
    <w:abstractNumId w:val="42"/>
  </w:num>
  <w:num w:numId="49" w16cid:durableId="1269581023">
    <w:abstractNumId w:val="40"/>
  </w:num>
  <w:num w:numId="50" w16cid:durableId="2101757145">
    <w:abstractNumId w:val="7"/>
  </w:num>
  <w:num w:numId="51" w16cid:durableId="1661959231">
    <w:abstractNumId w:val="33"/>
  </w:num>
  <w:num w:numId="52" w16cid:durableId="518130365">
    <w:abstractNumId w:val="17"/>
  </w:num>
  <w:num w:numId="53" w16cid:durableId="1757630705">
    <w:abstractNumId w:val="25"/>
  </w:num>
  <w:num w:numId="54" w16cid:durableId="2042199949">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removePersonalInformation/>
  <w:removeDateAndTim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02D"/>
    <w:rsid w:val="000000BC"/>
    <w:rsid w:val="000000BE"/>
    <w:rsid w:val="00000669"/>
    <w:rsid w:val="00001E4A"/>
    <w:rsid w:val="0000295B"/>
    <w:rsid w:val="00002FA9"/>
    <w:rsid w:val="00003B2F"/>
    <w:rsid w:val="000048CA"/>
    <w:rsid w:val="00004D0E"/>
    <w:rsid w:val="00004D1A"/>
    <w:rsid w:val="0000580D"/>
    <w:rsid w:val="00006697"/>
    <w:rsid w:val="00006EB8"/>
    <w:rsid w:val="000101B2"/>
    <w:rsid w:val="000125CE"/>
    <w:rsid w:val="00012988"/>
    <w:rsid w:val="0001359E"/>
    <w:rsid w:val="00013D8B"/>
    <w:rsid w:val="00015891"/>
    <w:rsid w:val="00020042"/>
    <w:rsid w:val="00020064"/>
    <w:rsid w:val="000202D1"/>
    <w:rsid w:val="00021CE6"/>
    <w:rsid w:val="00022548"/>
    <w:rsid w:val="00023AA2"/>
    <w:rsid w:val="00024046"/>
    <w:rsid w:val="000243A6"/>
    <w:rsid w:val="000245A8"/>
    <w:rsid w:val="00024677"/>
    <w:rsid w:val="000246AB"/>
    <w:rsid w:val="00024D81"/>
    <w:rsid w:val="0002596B"/>
    <w:rsid w:val="000264F2"/>
    <w:rsid w:val="00026903"/>
    <w:rsid w:val="00030327"/>
    <w:rsid w:val="00030FFF"/>
    <w:rsid w:val="000311AF"/>
    <w:rsid w:val="00031988"/>
    <w:rsid w:val="00031BC4"/>
    <w:rsid w:val="000322D3"/>
    <w:rsid w:val="00033415"/>
    <w:rsid w:val="000338E9"/>
    <w:rsid w:val="000339D9"/>
    <w:rsid w:val="0003498E"/>
    <w:rsid w:val="00034D84"/>
    <w:rsid w:val="00035D06"/>
    <w:rsid w:val="000366D5"/>
    <w:rsid w:val="000404C2"/>
    <w:rsid w:val="00040C51"/>
    <w:rsid w:val="00040DC1"/>
    <w:rsid w:val="00043638"/>
    <w:rsid w:val="0004550A"/>
    <w:rsid w:val="00045628"/>
    <w:rsid w:val="0004658F"/>
    <w:rsid w:val="00050038"/>
    <w:rsid w:val="000502DE"/>
    <w:rsid w:val="00050FAD"/>
    <w:rsid w:val="00051209"/>
    <w:rsid w:val="00051C45"/>
    <w:rsid w:val="000529D0"/>
    <w:rsid w:val="00052AA3"/>
    <w:rsid w:val="00052B19"/>
    <w:rsid w:val="00053DEF"/>
    <w:rsid w:val="000543EC"/>
    <w:rsid w:val="00055C3C"/>
    <w:rsid w:val="00056861"/>
    <w:rsid w:val="000575C1"/>
    <w:rsid w:val="0005766F"/>
    <w:rsid w:val="000576AA"/>
    <w:rsid w:val="00057879"/>
    <w:rsid w:val="000616A0"/>
    <w:rsid w:val="00061AA2"/>
    <w:rsid w:val="0006243F"/>
    <w:rsid w:val="000627E3"/>
    <w:rsid w:val="0006304F"/>
    <w:rsid w:val="00063442"/>
    <w:rsid w:val="0006421B"/>
    <w:rsid w:val="00064627"/>
    <w:rsid w:val="000648FC"/>
    <w:rsid w:val="00064B96"/>
    <w:rsid w:val="00065157"/>
    <w:rsid w:val="00065B9F"/>
    <w:rsid w:val="00065D65"/>
    <w:rsid w:val="00066835"/>
    <w:rsid w:val="00066948"/>
    <w:rsid w:val="00066AA4"/>
    <w:rsid w:val="00067A3E"/>
    <w:rsid w:val="000705CE"/>
    <w:rsid w:val="00070CCD"/>
    <w:rsid w:val="00071372"/>
    <w:rsid w:val="00071569"/>
    <w:rsid w:val="0007186F"/>
    <w:rsid w:val="000719CE"/>
    <w:rsid w:val="000719D8"/>
    <w:rsid w:val="000724A3"/>
    <w:rsid w:val="00072992"/>
    <w:rsid w:val="00073982"/>
    <w:rsid w:val="00074A04"/>
    <w:rsid w:val="00075054"/>
    <w:rsid w:val="000757AA"/>
    <w:rsid w:val="00075C7C"/>
    <w:rsid w:val="00076052"/>
    <w:rsid w:val="000768E2"/>
    <w:rsid w:val="000771F2"/>
    <w:rsid w:val="000774C3"/>
    <w:rsid w:val="0008019E"/>
    <w:rsid w:val="00082AE6"/>
    <w:rsid w:val="000838A5"/>
    <w:rsid w:val="00084832"/>
    <w:rsid w:val="00085582"/>
    <w:rsid w:val="00085D9B"/>
    <w:rsid w:val="00086F3B"/>
    <w:rsid w:val="00087487"/>
    <w:rsid w:val="000877D3"/>
    <w:rsid w:val="00087D00"/>
    <w:rsid w:val="0009008E"/>
    <w:rsid w:val="000908B6"/>
    <w:rsid w:val="000910D9"/>
    <w:rsid w:val="000916EA"/>
    <w:rsid w:val="00091773"/>
    <w:rsid w:val="00092297"/>
    <w:rsid w:val="000923B6"/>
    <w:rsid w:val="00092421"/>
    <w:rsid w:val="000924AE"/>
    <w:rsid w:val="00092517"/>
    <w:rsid w:val="0009296C"/>
    <w:rsid w:val="00092BC6"/>
    <w:rsid w:val="00092CB3"/>
    <w:rsid w:val="00094A13"/>
    <w:rsid w:val="00094D4C"/>
    <w:rsid w:val="000961BA"/>
    <w:rsid w:val="00096954"/>
    <w:rsid w:val="00096B2C"/>
    <w:rsid w:val="00097E93"/>
    <w:rsid w:val="000A0372"/>
    <w:rsid w:val="000A08D0"/>
    <w:rsid w:val="000A0D4C"/>
    <w:rsid w:val="000A1999"/>
    <w:rsid w:val="000A1CDA"/>
    <w:rsid w:val="000A2781"/>
    <w:rsid w:val="000A2B5B"/>
    <w:rsid w:val="000A2BE4"/>
    <w:rsid w:val="000A3987"/>
    <w:rsid w:val="000A3B4C"/>
    <w:rsid w:val="000A43FE"/>
    <w:rsid w:val="000A446E"/>
    <w:rsid w:val="000A5D20"/>
    <w:rsid w:val="000A644D"/>
    <w:rsid w:val="000A7561"/>
    <w:rsid w:val="000B0AAB"/>
    <w:rsid w:val="000B1119"/>
    <w:rsid w:val="000B1B69"/>
    <w:rsid w:val="000B1E7C"/>
    <w:rsid w:val="000B1EEB"/>
    <w:rsid w:val="000B2079"/>
    <w:rsid w:val="000B4241"/>
    <w:rsid w:val="000B48B7"/>
    <w:rsid w:val="000B6286"/>
    <w:rsid w:val="000B6908"/>
    <w:rsid w:val="000B6C69"/>
    <w:rsid w:val="000B716A"/>
    <w:rsid w:val="000C094F"/>
    <w:rsid w:val="000C1279"/>
    <w:rsid w:val="000C1FB9"/>
    <w:rsid w:val="000C2505"/>
    <w:rsid w:val="000C2825"/>
    <w:rsid w:val="000C316E"/>
    <w:rsid w:val="000C3412"/>
    <w:rsid w:val="000C41AB"/>
    <w:rsid w:val="000C455E"/>
    <w:rsid w:val="000C4957"/>
    <w:rsid w:val="000C4BB4"/>
    <w:rsid w:val="000C4D79"/>
    <w:rsid w:val="000C4E72"/>
    <w:rsid w:val="000C508D"/>
    <w:rsid w:val="000C514C"/>
    <w:rsid w:val="000C52E4"/>
    <w:rsid w:val="000C5583"/>
    <w:rsid w:val="000C6609"/>
    <w:rsid w:val="000C7289"/>
    <w:rsid w:val="000C7622"/>
    <w:rsid w:val="000C7A13"/>
    <w:rsid w:val="000D17FD"/>
    <w:rsid w:val="000D2D7B"/>
    <w:rsid w:val="000D37CA"/>
    <w:rsid w:val="000D59C7"/>
    <w:rsid w:val="000E0924"/>
    <w:rsid w:val="000E32D4"/>
    <w:rsid w:val="000E36E7"/>
    <w:rsid w:val="000E44BC"/>
    <w:rsid w:val="000E589F"/>
    <w:rsid w:val="000E63BC"/>
    <w:rsid w:val="000E65E0"/>
    <w:rsid w:val="000E7F1C"/>
    <w:rsid w:val="000F18ED"/>
    <w:rsid w:val="000F3D70"/>
    <w:rsid w:val="000F3FFE"/>
    <w:rsid w:val="000F4BB6"/>
    <w:rsid w:val="000F4EB7"/>
    <w:rsid w:val="000F68F0"/>
    <w:rsid w:val="000F6971"/>
    <w:rsid w:val="000F7586"/>
    <w:rsid w:val="0010029C"/>
    <w:rsid w:val="00100ED6"/>
    <w:rsid w:val="00101C05"/>
    <w:rsid w:val="0010269A"/>
    <w:rsid w:val="001027C1"/>
    <w:rsid w:val="00102C38"/>
    <w:rsid w:val="00103224"/>
    <w:rsid w:val="0010343B"/>
    <w:rsid w:val="001038AF"/>
    <w:rsid w:val="00104249"/>
    <w:rsid w:val="00104441"/>
    <w:rsid w:val="00104958"/>
    <w:rsid w:val="00104EF0"/>
    <w:rsid w:val="0010575D"/>
    <w:rsid w:val="0010633D"/>
    <w:rsid w:val="00106B70"/>
    <w:rsid w:val="00107A9A"/>
    <w:rsid w:val="00110C22"/>
    <w:rsid w:val="00110E85"/>
    <w:rsid w:val="00112AE3"/>
    <w:rsid w:val="001134A2"/>
    <w:rsid w:val="0011352E"/>
    <w:rsid w:val="001137E3"/>
    <w:rsid w:val="00113DD4"/>
    <w:rsid w:val="00114BA9"/>
    <w:rsid w:val="00114C2C"/>
    <w:rsid w:val="00114F52"/>
    <w:rsid w:val="00115865"/>
    <w:rsid w:val="0011634C"/>
    <w:rsid w:val="00116885"/>
    <w:rsid w:val="00116C39"/>
    <w:rsid w:val="0011709D"/>
    <w:rsid w:val="0011744D"/>
    <w:rsid w:val="001176FA"/>
    <w:rsid w:val="00117803"/>
    <w:rsid w:val="00120128"/>
    <w:rsid w:val="0012076C"/>
    <w:rsid w:val="00120B0B"/>
    <w:rsid w:val="00120DAE"/>
    <w:rsid w:val="00120FC7"/>
    <w:rsid w:val="001215DD"/>
    <w:rsid w:val="001217C7"/>
    <w:rsid w:val="001222F2"/>
    <w:rsid w:val="0012359D"/>
    <w:rsid w:val="001245B0"/>
    <w:rsid w:val="001246D3"/>
    <w:rsid w:val="00124965"/>
    <w:rsid w:val="00125DB7"/>
    <w:rsid w:val="001260CC"/>
    <w:rsid w:val="00126C2E"/>
    <w:rsid w:val="00127814"/>
    <w:rsid w:val="00127962"/>
    <w:rsid w:val="00127AF5"/>
    <w:rsid w:val="00130386"/>
    <w:rsid w:val="00131C31"/>
    <w:rsid w:val="00133659"/>
    <w:rsid w:val="00133ADD"/>
    <w:rsid w:val="00133C7C"/>
    <w:rsid w:val="0013445A"/>
    <w:rsid w:val="001349AB"/>
    <w:rsid w:val="00135BF7"/>
    <w:rsid w:val="001364D9"/>
    <w:rsid w:val="00137285"/>
    <w:rsid w:val="00137508"/>
    <w:rsid w:val="00137A36"/>
    <w:rsid w:val="00140C81"/>
    <w:rsid w:val="00141233"/>
    <w:rsid w:val="00142C3F"/>
    <w:rsid w:val="001430E3"/>
    <w:rsid w:val="0014323A"/>
    <w:rsid w:val="00143E03"/>
    <w:rsid w:val="00144103"/>
    <w:rsid w:val="001468D0"/>
    <w:rsid w:val="00146B26"/>
    <w:rsid w:val="00147A12"/>
    <w:rsid w:val="00147EAF"/>
    <w:rsid w:val="0015079E"/>
    <w:rsid w:val="00152A97"/>
    <w:rsid w:val="0015333C"/>
    <w:rsid w:val="00153E34"/>
    <w:rsid w:val="001542DD"/>
    <w:rsid w:val="00155E18"/>
    <w:rsid w:val="00156372"/>
    <w:rsid w:val="00156D28"/>
    <w:rsid w:val="00157115"/>
    <w:rsid w:val="0016107E"/>
    <w:rsid w:val="00161B92"/>
    <w:rsid w:val="001627DB"/>
    <w:rsid w:val="00162B23"/>
    <w:rsid w:val="001630BD"/>
    <w:rsid w:val="001637BA"/>
    <w:rsid w:val="0016404F"/>
    <w:rsid w:val="00164468"/>
    <w:rsid w:val="00164CFC"/>
    <w:rsid w:val="001660E0"/>
    <w:rsid w:val="00166441"/>
    <w:rsid w:val="001666B8"/>
    <w:rsid w:val="0016686F"/>
    <w:rsid w:val="00166AD0"/>
    <w:rsid w:val="00166E2F"/>
    <w:rsid w:val="0016700E"/>
    <w:rsid w:val="0017092B"/>
    <w:rsid w:val="00170C2D"/>
    <w:rsid w:val="00170D38"/>
    <w:rsid w:val="00170E16"/>
    <w:rsid w:val="001711E8"/>
    <w:rsid w:val="00171E46"/>
    <w:rsid w:val="001725A3"/>
    <w:rsid w:val="00172C12"/>
    <w:rsid w:val="00173869"/>
    <w:rsid w:val="00173A8A"/>
    <w:rsid w:val="00173B39"/>
    <w:rsid w:val="00174050"/>
    <w:rsid w:val="00175453"/>
    <w:rsid w:val="00175C16"/>
    <w:rsid w:val="00175C18"/>
    <w:rsid w:val="00176071"/>
    <w:rsid w:val="00177078"/>
    <w:rsid w:val="00177C16"/>
    <w:rsid w:val="00180C05"/>
    <w:rsid w:val="00180FAE"/>
    <w:rsid w:val="00181662"/>
    <w:rsid w:val="00182FF1"/>
    <w:rsid w:val="00183C20"/>
    <w:rsid w:val="00184341"/>
    <w:rsid w:val="00184731"/>
    <w:rsid w:val="00184FDC"/>
    <w:rsid w:val="00185859"/>
    <w:rsid w:val="00185AB8"/>
    <w:rsid w:val="00185D11"/>
    <w:rsid w:val="001866F8"/>
    <w:rsid w:val="001869B3"/>
    <w:rsid w:val="00186DB9"/>
    <w:rsid w:val="001872B7"/>
    <w:rsid w:val="00187A3F"/>
    <w:rsid w:val="00187ED1"/>
    <w:rsid w:val="001901B2"/>
    <w:rsid w:val="00190640"/>
    <w:rsid w:val="001915F3"/>
    <w:rsid w:val="001922FF"/>
    <w:rsid w:val="001925BC"/>
    <w:rsid w:val="0019389E"/>
    <w:rsid w:val="0019418F"/>
    <w:rsid w:val="00194466"/>
    <w:rsid w:val="00195056"/>
    <w:rsid w:val="0019523D"/>
    <w:rsid w:val="0019528E"/>
    <w:rsid w:val="00196814"/>
    <w:rsid w:val="00196D95"/>
    <w:rsid w:val="00196F43"/>
    <w:rsid w:val="00197346"/>
    <w:rsid w:val="001973D1"/>
    <w:rsid w:val="001979AD"/>
    <w:rsid w:val="00197F4F"/>
    <w:rsid w:val="001A0529"/>
    <w:rsid w:val="001A155B"/>
    <w:rsid w:val="001A229B"/>
    <w:rsid w:val="001A22C4"/>
    <w:rsid w:val="001A2C0A"/>
    <w:rsid w:val="001A32B6"/>
    <w:rsid w:val="001A3397"/>
    <w:rsid w:val="001A33D1"/>
    <w:rsid w:val="001A39A7"/>
    <w:rsid w:val="001A3BD9"/>
    <w:rsid w:val="001A4C75"/>
    <w:rsid w:val="001A558B"/>
    <w:rsid w:val="001A5BF9"/>
    <w:rsid w:val="001A66E4"/>
    <w:rsid w:val="001B1530"/>
    <w:rsid w:val="001B2040"/>
    <w:rsid w:val="001B3295"/>
    <w:rsid w:val="001B3F95"/>
    <w:rsid w:val="001B41D8"/>
    <w:rsid w:val="001B59CF"/>
    <w:rsid w:val="001B5BFF"/>
    <w:rsid w:val="001B62EB"/>
    <w:rsid w:val="001B65A2"/>
    <w:rsid w:val="001B7B16"/>
    <w:rsid w:val="001C01F1"/>
    <w:rsid w:val="001C4811"/>
    <w:rsid w:val="001C4A23"/>
    <w:rsid w:val="001C6B80"/>
    <w:rsid w:val="001C6D6E"/>
    <w:rsid w:val="001D0173"/>
    <w:rsid w:val="001D04EB"/>
    <w:rsid w:val="001D05A3"/>
    <w:rsid w:val="001D0D60"/>
    <w:rsid w:val="001D27CA"/>
    <w:rsid w:val="001D292A"/>
    <w:rsid w:val="001D3CEC"/>
    <w:rsid w:val="001D409A"/>
    <w:rsid w:val="001D45CB"/>
    <w:rsid w:val="001D4B53"/>
    <w:rsid w:val="001D4D99"/>
    <w:rsid w:val="001D5BAD"/>
    <w:rsid w:val="001D5D04"/>
    <w:rsid w:val="001D6560"/>
    <w:rsid w:val="001D665C"/>
    <w:rsid w:val="001D6EC5"/>
    <w:rsid w:val="001E05A5"/>
    <w:rsid w:val="001E0877"/>
    <w:rsid w:val="001E0CCF"/>
    <w:rsid w:val="001E142E"/>
    <w:rsid w:val="001E148F"/>
    <w:rsid w:val="001E1628"/>
    <w:rsid w:val="001E1741"/>
    <w:rsid w:val="001E17B8"/>
    <w:rsid w:val="001E1C7B"/>
    <w:rsid w:val="001E2C6D"/>
    <w:rsid w:val="001E3026"/>
    <w:rsid w:val="001E3B91"/>
    <w:rsid w:val="001E3BEB"/>
    <w:rsid w:val="001E5161"/>
    <w:rsid w:val="001E575C"/>
    <w:rsid w:val="001E5EA5"/>
    <w:rsid w:val="001E610E"/>
    <w:rsid w:val="001E6309"/>
    <w:rsid w:val="001E679D"/>
    <w:rsid w:val="001E7C57"/>
    <w:rsid w:val="001F073A"/>
    <w:rsid w:val="001F0D56"/>
    <w:rsid w:val="001F2988"/>
    <w:rsid w:val="001F2F3B"/>
    <w:rsid w:val="001F3231"/>
    <w:rsid w:val="001F5342"/>
    <w:rsid w:val="001F59E3"/>
    <w:rsid w:val="001F5B3D"/>
    <w:rsid w:val="001F5C67"/>
    <w:rsid w:val="001F5EC5"/>
    <w:rsid w:val="001F5F30"/>
    <w:rsid w:val="001F60C8"/>
    <w:rsid w:val="001F674E"/>
    <w:rsid w:val="001F679E"/>
    <w:rsid w:val="001F68D5"/>
    <w:rsid w:val="001F7478"/>
    <w:rsid w:val="0020024A"/>
    <w:rsid w:val="00200739"/>
    <w:rsid w:val="002007CD"/>
    <w:rsid w:val="0020119E"/>
    <w:rsid w:val="0020124D"/>
    <w:rsid w:val="00201A88"/>
    <w:rsid w:val="0020262A"/>
    <w:rsid w:val="00203229"/>
    <w:rsid w:val="00203604"/>
    <w:rsid w:val="0020390B"/>
    <w:rsid w:val="002039DB"/>
    <w:rsid w:val="00205A62"/>
    <w:rsid w:val="00205CBB"/>
    <w:rsid w:val="00205E1F"/>
    <w:rsid w:val="002069B2"/>
    <w:rsid w:val="00206ACD"/>
    <w:rsid w:val="00206B6C"/>
    <w:rsid w:val="002103C0"/>
    <w:rsid w:val="00211871"/>
    <w:rsid w:val="0021235E"/>
    <w:rsid w:val="002127A9"/>
    <w:rsid w:val="00212955"/>
    <w:rsid w:val="00213850"/>
    <w:rsid w:val="002138F9"/>
    <w:rsid w:val="00213937"/>
    <w:rsid w:val="00213B82"/>
    <w:rsid w:val="00213F2A"/>
    <w:rsid w:val="0021447C"/>
    <w:rsid w:val="00214A2A"/>
    <w:rsid w:val="00214EE3"/>
    <w:rsid w:val="00215154"/>
    <w:rsid w:val="002158B9"/>
    <w:rsid w:val="00215C74"/>
    <w:rsid w:val="00215FA4"/>
    <w:rsid w:val="00216180"/>
    <w:rsid w:val="00216BC9"/>
    <w:rsid w:val="00216EFE"/>
    <w:rsid w:val="002170F7"/>
    <w:rsid w:val="00217719"/>
    <w:rsid w:val="00217AA1"/>
    <w:rsid w:val="002200D6"/>
    <w:rsid w:val="00220392"/>
    <w:rsid w:val="002207A4"/>
    <w:rsid w:val="00221E8A"/>
    <w:rsid w:val="002221D6"/>
    <w:rsid w:val="00222FBE"/>
    <w:rsid w:val="00223CE5"/>
    <w:rsid w:val="00223F23"/>
    <w:rsid w:val="0022490F"/>
    <w:rsid w:val="00224B09"/>
    <w:rsid w:val="00224D8E"/>
    <w:rsid w:val="00225C5A"/>
    <w:rsid w:val="00225FBC"/>
    <w:rsid w:val="002267AC"/>
    <w:rsid w:val="00227794"/>
    <w:rsid w:val="00230271"/>
    <w:rsid w:val="00231241"/>
    <w:rsid w:val="00231C2A"/>
    <w:rsid w:val="00235BC0"/>
    <w:rsid w:val="00235C3D"/>
    <w:rsid w:val="0024012D"/>
    <w:rsid w:val="00240695"/>
    <w:rsid w:val="00240986"/>
    <w:rsid w:val="00240A09"/>
    <w:rsid w:val="00240C41"/>
    <w:rsid w:val="00240D2E"/>
    <w:rsid w:val="00241BE7"/>
    <w:rsid w:val="00241F65"/>
    <w:rsid w:val="0024207C"/>
    <w:rsid w:val="00242478"/>
    <w:rsid w:val="00242D9F"/>
    <w:rsid w:val="00244564"/>
    <w:rsid w:val="00244613"/>
    <w:rsid w:val="0024492E"/>
    <w:rsid w:val="00244AD9"/>
    <w:rsid w:val="00244B10"/>
    <w:rsid w:val="0024542F"/>
    <w:rsid w:val="00245D5D"/>
    <w:rsid w:val="00246173"/>
    <w:rsid w:val="002465A5"/>
    <w:rsid w:val="0024751C"/>
    <w:rsid w:val="00250243"/>
    <w:rsid w:val="00250446"/>
    <w:rsid w:val="002510E9"/>
    <w:rsid w:val="00252A45"/>
    <w:rsid w:val="00253073"/>
    <w:rsid w:val="002532C0"/>
    <w:rsid w:val="002535DF"/>
    <w:rsid w:val="00253E83"/>
    <w:rsid w:val="00254C2F"/>
    <w:rsid w:val="00254CFA"/>
    <w:rsid w:val="00255184"/>
    <w:rsid w:val="002554D0"/>
    <w:rsid w:val="00256409"/>
    <w:rsid w:val="002566F2"/>
    <w:rsid w:val="00256BDB"/>
    <w:rsid w:val="00257578"/>
    <w:rsid w:val="0026002A"/>
    <w:rsid w:val="002601E9"/>
    <w:rsid w:val="002624F9"/>
    <w:rsid w:val="00262567"/>
    <w:rsid w:val="00262C7D"/>
    <w:rsid w:val="00262E8C"/>
    <w:rsid w:val="002633C0"/>
    <w:rsid w:val="002636A2"/>
    <w:rsid w:val="0026399F"/>
    <w:rsid w:val="002646E4"/>
    <w:rsid w:val="00265C2D"/>
    <w:rsid w:val="00265C6D"/>
    <w:rsid w:val="002662B1"/>
    <w:rsid w:val="00267D9E"/>
    <w:rsid w:val="00271C9B"/>
    <w:rsid w:val="0027215A"/>
    <w:rsid w:val="002733C3"/>
    <w:rsid w:val="002734C8"/>
    <w:rsid w:val="00273EBF"/>
    <w:rsid w:val="002746BF"/>
    <w:rsid w:val="002748A1"/>
    <w:rsid w:val="00274DFF"/>
    <w:rsid w:val="00274E0A"/>
    <w:rsid w:val="00275374"/>
    <w:rsid w:val="00275CD7"/>
    <w:rsid w:val="00275E53"/>
    <w:rsid w:val="002765D8"/>
    <w:rsid w:val="0027679D"/>
    <w:rsid w:val="002768D0"/>
    <w:rsid w:val="00277123"/>
    <w:rsid w:val="002774D4"/>
    <w:rsid w:val="00280729"/>
    <w:rsid w:val="002812FD"/>
    <w:rsid w:val="00281318"/>
    <w:rsid w:val="002817B6"/>
    <w:rsid w:val="0028197E"/>
    <w:rsid w:val="002821C2"/>
    <w:rsid w:val="0028291B"/>
    <w:rsid w:val="00283040"/>
    <w:rsid w:val="00283D39"/>
    <w:rsid w:val="00284A05"/>
    <w:rsid w:val="002856BA"/>
    <w:rsid w:val="0028672D"/>
    <w:rsid w:val="00286D0B"/>
    <w:rsid w:val="0029042C"/>
    <w:rsid w:val="002920E7"/>
    <w:rsid w:val="00293B59"/>
    <w:rsid w:val="00293E23"/>
    <w:rsid w:val="00294459"/>
    <w:rsid w:val="00294657"/>
    <w:rsid w:val="00296962"/>
    <w:rsid w:val="00296B88"/>
    <w:rsid w:val="002A0C22"/>
    <w:rsid w:val="002A27A4"/>
    <w:rsid w:val="002A38C2"/>
    <w:rsid w:val="002A46BC"/>
    <w:rsid w:val="002A606A"/>
    <w:rsid w:val="002A6C74"/>
    <w:rsid w:val="002A7BDB"/>
    <w:rsid w:val="002A7FBF"/>
    <w:rsid w:val="002B0634"/>
    <w:rsid w:val="002B0EB1"/>
    <w:rsid w:val="002B10F7"/>
    <w:rsid w:val="002B1461"/>
    <w:rsid w:val="002B25F8"/>
    <w:rsid w:val="002B4111"/>
    <w:rsid w:val="002B4ED2"/>
    <w:rsid w:val="002B5171"/>
    <w:rsid w:val="002B5418"/>
    <w:rsid w:val="002B56E7"/>
    <w:rsid w:val="002B6EB2"/>
    <w:rsid w:val="002B6FA3"/>
    <w:rsid w:val="002B7182"/>
    <w:rsid w:val="002B7AAE"/>
    <w:rsid w:val="002C065D"/>
    <w:rsid w:val="002C1EC2"/>
    <w:rsid w:val="002C2BE2"/>
    <w:rsid w:val="002C2C3D"/>
    <w:rsid w:val="002C4437"/>
    <w:rsid w:val="002C5739"/>
    <w:rsid w:val="002C63FC"/>
    <w:rsid w:val="002C68C3"/>
    <w:rsid w:val="002C69E7"/>
    <w:rsid w:val="002C7281"/>
    <w:rsid w:val="002C7D77"/>
    <w:rsid w:val="002D0F81"/>
    <w:rsid w:val="002D1202"/>
    <w:rsid w:val="002D1482"/>
    <w:rsid w:val="002D2608"/>
    <w:rsid w:val="002D2DE7"/>
    <w:rsid w:val="002D3995"/>
    <w:rsid w:val="002D51E0"/>
    <w:rsid w:val="002D6232"/>
    <w:rsid w:val="002D6EBA"/>
    <w:rsid w:val="002D7CA9"/>
    <w:rsid w:val="002E02A9"/>
    <w:rsid w:val="002E02CA"/>
    <w:rsid w:val="002E0905"/>
    <w:rsid w:val="002E12D2"/>
    <w:rsid w:val="002E22F1"/>
    <w:rsid w:val="002E40DD"/>
    <w:rsid w:val="002E48D4"/>
    <w:rsid w:val="002E5902"/>
    <w:rsid w:val="002E64F4"/>
    <w:rsid w:val="002E6A2B"/>
    <w:rsid w:val="002E7901"/>
    <w:rsid w:val="002E7CD2"/>
    <w:rsid w:val="002F036A"/>
    <w:rsid w:val="002F0CF9"/>
    <w:rsid w:val="002F1345"/>
    <w:rsid w:val="002F1607"/>
    <w:rsid w:val="002F1753"/>
    <w:rsid w:val="002F176A"/>
    <w:rsid w:val="002F22F6"/>
    <w:rsid w:val="002F281A"/>
    <w:rsid w:val="002F2973"/>
    <w:rsid w:val="002F2B02"/>
    <w:rsid w:val="002F2C20"/>
    <w:rsid w:val="002F2EFF"/>
    <w:rsid w:val="002F31C0"/>
    <w:rsid w:val="002F7222"/>
    <w:rsid w:val="003005F4"/>
    <w:rsid w:val="0030093B"/>
    <w:rsid w:val="003014C9"/>
    <w:rsid w:val="00301A4F"/>
    <w:rsid w:val="00302637"/>
    <w:rsid w:val="00302E4D"/>
    <w:rsid w:val="003032EA"/>
    <w:rsid w:val="00304343"/>
    <w:rsid w:val="00304853"/>
    <w:rsid w:val="00305011"/>
    <w:rsid w:val="00305657"/>
    <w:rsid w:val="003057F3"/>
    <w:rsid w:val="00306463"/>
    <w:rsid w:val="00306808"/>
    <w:rsid w:val="00307BE5"/>
    <w:rsid w:val="0031104A"/>
    <w:rsid w:val="003112E4"/>
    <w:rsid w:val="00312C7B"/>
    <w:rsid w:val="00313132"/>
    <w:rsid w:val="00313A06"/>
    <w:rsid w:val="00313EDC"/>
    <w:rsid w:val="003145CC"/>
    <w:rsid w:val="00314753"/>
    <w:rsid w:val="00314D33"/>
    <w:rsid w:val="00314E38"/>
    <w:rsid w:val="003157EE"/>
    <w:rsid w:val="00315B43"/>
    <w:rsid w:val="00315E8B"/>
    <w:rsid w:val="0031629B"/>
    <w:rsid w:val="00317A74"/>
    <w:rsid w:val="00317CF0"/>
    <w:rsid w:val="003204F3"/>
    <w:rsid w:val="00320837"/>
    <w:rsid w:val="00320A08"/>
    <w:rsid w:val="0032278D"/>
    <w:rsid w:val="0032306C"/>
    <w:rsid w:val="003237DA"/>
    <w:rsid w:val="00323B97"/>
    <w:rsid w:val="00324868"/>
    <w:rsid w:val="003249CA"/>
    <w:rsid w:val="0032572B"/>
    <w:rsid w:val="00325828"/>
    <w:rsid w:val="00325B56"/>
    <w:rsid w:val="00325D4A"/>
    <w:rsid w:val="00326266"/>
    <w:rsid w:val="0032635A"/>
    <w:rsid w:val="00326681"/>
    <w:rsid w:val="00326F72"/>
    <w:rsid w:val="00327085"/>
    <w:rsid w:val="0032791B"/>
    <w:rsid w:val="00327FA7"/>
    <w:rsid w:val="0032C069"/>
    <w:rsid w:val="00330376"/>
    <w:rsid w:val="003307A9"/>
    <w:rsid w:val="00332133"/>
    <w:rsid w:val="003331B0"/>
    <w:rsid w:val="00335184"/>
    <w:rsid w:val="00335D45"/>
    <w:rsid w:val="00335F9E"/>
    <w:rsid w:val="0033692C"/>
    <w:rsid w:val="00337219"/>
    <w:rsid w:val="003376AD"/>
    <w:rsid w:val="0033780B"/>
    <w:rsid w:val="00340363"/>
    <w:rsid w:val="0034073D"/>
    <w:rsid w:val="00340DE8"/>
    <w:rsid w:val="00341076"/>
    <w:rsid w:val="003414F7"/>
    <w:rsid w:val="00342838"/>
    <w:rsid w:val="0034384D"/>
    <w:rsid w:val="00343DAD"/>
    <w:rsid w:val="0034414C"/>
    <w:rsid w:val="0034571E"/>
    <w:rsid w:val="00345F1D"/>
    <w:rsid w:val="0034613A"/>
    <w:rsid w:val="00346B67"/>
    <w:rsid w:val="00346E2E"/>
    <w:rsid w:val="00347EBE"/>
    <w:rsid w:val="00350525"/>
    <w:rsid w:val="00350A51"/>
    <w:rsid w:val="00350BAA"/>
    <w:rsid w:val="00350C5C"/>
    <w:rsid w:val="00350C5F"/>
    <w:rsid w:val="00350F1D"/>
    <w:rsid w:val="00350F63"/>
    <w:rsid w:val="003516D2"/>
    <w:rsid w:val="00352CE0"/>
    <w:rsid w:val="00353700"/>
    <w:rsid w:val="00353955"/>
    <w:rsid w:val="00353E2B"/>
    <w:rsid w:val="00354359"/>
    <w:rsid w:val="003556C0"/>
    <w:rsid w:val="003558ED"/>
    <w:rsid w:val="003574F9"/>
    <w:rsid w:val="003578B7"/>
    <w:rsid w:val="00361B5C"/>
    <w:rsid w:val="00361E76"/>
    <w:rsid w:val="00361F08"/>
    <w:rsid w:val="00362EE6"/>
    <w:rsid w:val="00363F35"/>
    <w:rsid w:val="003668C2"/>
    <w:rsid w:val="00366C07"/>
    <w:rsid w:val="00367752"/>
    <w:rsid w:val="00367941"/>
    <w:rsid w:val="00367BE9"/>
    <w:rsid w:val="00367F45"/>
    <w:rsid w:val="003700C0"/>
    <w:rsid w:val="003703ED"/>
    <w:rsid w:val="0037040E"/>
    <w:rsid w:val="00370D28"/>
    <w:rsid w:val="00371831"/>
    <w:rsid w:val="00371FD7"/>
    <w:rsid w:val="00372B1E"/>
    <w:rsid w:val="00373011"/>
    <w:rsid w:val="003736D8"/>
    <w:rsid w:val="00373DC9"/>
    <w:rsid w:val="003749C9"/>
    <w:rsid w:val="0037630B"/>
    <w:rsid w:val="00376A84"/>
    <w:rsid w:val="00376F29"/>
    <w:rsid w:val="00376FCA"/>
    <w:rsid w:val="003810EE"/>
    <w:rsid w:val="00381152"/>
    <w:rsid w:val="00381620"/>
    <w:rsid w:val="00381632"/>
    <w:rsid w:val="00381ACF"/>
    <w:rsid w:val="00381C45"/>
    <w:rsid w:val="00381DC0"/>
    <w:rsid w:val="00382DF1"/>
    <w:rsid w:val="0038576D"/>
    <w:rsid w:val="00385B1D"/>
    <w:rsid w:val="00387FEA"/>
    <w:rsid w:val="00390E0C"/>
    <w:rsid w:val="00391345"/>
    <w:rsid w:val="003914C1"/>
    <w:rsid w:val="00391F16"/>
    <w:rsid w:val="00391F7B"/>
    <w:rsid w:val="00392950"/>
    <w:rsid w:val="00392BC9"/>
    <w:rsid w:val="00392DEB"/>
    <w:rsid w:val="00393136"/>
    <w:rsid w:val="00395176"/>
    <w:rsid w:val="003959BF"/>
    <w:rsid w:val="003977B2"/>
    <w:rsid w:val="00397F7E"/>
    <w:rsid w:val="003A1AE9"/>
    <w:rsid w:val="003A208E"/>
    <w:rsid w:val="003A2842"/>
    <w:rsid w:val="003A2A0E"/>
    <w:rsid w:val="003A30B4"/>
    <w:rsid w:val="003A3588"/>
    <w:rsid w:val="003A5172"/>
    <w:rsid w:val="003A5E51"/>
    <w:rsid w:val="003A6042"/>
    <w:rsid w:val="003A66B3"/>
    <w:rsid w:val="003B08A0"/>
    <w:rsid w:val="003B0F6E"/>
    <w:rsid w:val="003B10EC"/>
    <w:rsid w:val="003B118D"/>
    <w:rsid w:val="003B1545"/>
    <w:rsid w:val="003B2AFB"/>
    <w:rsid w:val="003B2C54"/>
    <w:rsid w:val="003B3A47"/>
    <w:rsid w:val="003B3FE7"/>
    <w:rsid w:val="003B5170"/>
    <w:rsid w:val="003B7AE9"/>
    <w:rsid w:val="003C0F3E"/>
    <w:rsid w:val="003C18AB"/>
    <w:rsid w:val="003C1A9B"/>
    <w:rsid w:val="003C20BC"/>
    <w:rsid w:val="003C3048"/>
    <w:rsid w:val="003C44C6"/>
    <w:rsid w:val="003C4AF8"/>
    <w:rsid w:val="003C520A"/>
    <w:rsid w:val="003C5850"/>
    <w:rsid w:val="003C7002"/>
    <w:rsid w:val="003C71BD"/>
    <w:rsid w:val="003C7293"/>
    <w:rsid w:val="003C72B6"/>
    <w:rsid w:val="003C7B0E"/>
    <w:rsid w:val="003D06BC"/>
    <w:rsid w:val="003D17C9"/>
    <w:rsid w:val="003D1DE4"/>
    <w:rsid w:val="003D25B5"/>
    <w:rsid w:val="003D2BC9"/>
    <w:rsid w:val="003D33E5"/>
    <w:rsid w:val="003D4AF6"/>
    <w:rsid w:val="003D4E17"/>
    <w:rsid w:val="003D5C55"/>
    <w:rsid w:val="003D6BAF"/>
    <w:rsid w:val="003D6D62"/>
    <w:rsid w:val="003D70D1"/>
    <w:rsid w:val="003D71C8"/>
    <w:rsid w:val="003D7E60"/>
    <w:rsid w:val="003D7E61"/>
    <w:rsid w:val="003D7F3C"/>
    <w:rsid w:val="003E07FC"/>
    <w:rsid w:val="003E1A56"/>
    <w:rsid w:val="003E24D0"/>
    <w:rsid w:val="003E25A3"/>
    <w:rsid w:val="003E27CB"/>
    <w:rsid w:val="003E2900"/>
    <w:rsid w:val="003E2FA0"/>
    <w:rsid w:val="003E471D"/>
    <w:rsid w:val="003E4822"/>
    <w:rsid w:val="003E6E73"/>
    <w:rsid w:val="003E72D8"/>
    <w:rsid w:val="003E7ED5"/>
    <w:rsid w:val="003F064D"/>
    <w:rsid w:val="003F0CE2"/>
    <w:rsid w:val="003F1427"/>
    <w:rsid w:val="003F1FF6"/>
    <w:rsid w:val="003F22F6"/>
    <w:rsid w:val="003F3C1E"/>
    <w:rsid w:val="003F45E3"/>
    <w:rsid w:val="003F4961"/>
    <w:rsid w:val="003F4977"/>
    <w:rsid w:val="003F4A8E"/>
    <w:rsid w:val="003F561C"/>
    <w:rsid w:val="003F6868"/>
    <w:rsid w:val="003F69C9"/>
    <w:rsid w:val="003F6B3F"/>
    <w:rsid w:val="003F6CCA"/>
    <w:rsid w:val="003F762E"/>
    <w:rsid w:val="0040032C"/>
    <w:rsid w:val="00402511"/>
    <w:rsid w:val="00403BBC"/>
    <w:rsid w:val="004040A5"/>
    <w:rsid w:val="00404F8C"/>
    <w:rsid w:val="00405625"/>
    <w:rsid w:val="004058BF"/>
    <w:rsid w:val="004059CE"/>
    <w:rsid w:val="004065DE"/>
    <w:rsid w:val="00406E4A"/>
    <w:rsid w:val="00406E77"/>
    <w:rsid w:val="00406F38"/>
    <w:rsid w:val="004073A9"/>
    <w:rsid w:val="00407FB3"/>
    <w:rsid w:val="004106DF"/>
    <w:rsid w:val="00410AE4"/>
    <w:rsid w:val="0041131B"/>
    <w:rsid w:val="00412256"/>
    <w:rsid w:val="004124BA"/>
    <w:rsid w:val="0041250A"/>
    <w:rsid w:val="00412797"/>
    <w:rsid w:val="004133DC"/>
    <w:rsid w:val="0041368D"/>
    <w:rsid w:val="00414323"/>
    <w:rsid w:val="004152CA"/>
    <w:rsid w:val="00415774"/>
    <w:rsid w:val="00415892"/>
    <w:rsid w:val="004159E1"/>
    <w:rsid w:val="00415A25"/>
    <w:rsid w:val="004166AF"/>
    <w:rsid w:val="004167BD"/>
    <w:rsid w:val="004168F6"/>
    <w:rsid w:val="00416B76"/>
    <w:rsid w:val="00417ABB"/>
    <w:rsid w:val="00417B3C"/>
    <w:rsid w:val="004206FC"/>
    <w:rsid w:val="0042099E"/>
    <w:rsid w:val="00423100"/>
    <w:rsid w:val="00425397"/>
    <w:rsid w:val="00425A15"/>
    <w:rsid w:val="00425EA6"/>
    <w:rsid w:val="00425F91"/>
    <w:rsid w:val="00426904"/>
    <w:rsid w:val="0042690C"/>
    <w:rsid w:val="004279A1"/>
    <w:rsid w:val="00430EB6"/>
    <w:rsid w:val="00430F8B"/>
    <w:rsid w:val="004325C1"/>
    <w:rsid w:val="00432666"/>
    <w:rsid w:val="00433FCE"/>
    <w:rsid w:val="00434324"/>
    <w:rsid w:val="0043593D"/>
    <w:rsid w:val="00435C6C"/>
    <w:rsid w:val="00437F7F"/>
    <w:rsid w:val="00440D5A"/>
    <w:rsid w:val="00441E44"/>
    <w:rsid w:val="004422DF"/>
    <w:rsid w:val="00443507"/>
    <w:rsid w:val="004447C4"/>
    <w:rsid w:val="00445C97"/>
    <w:rsid w:val="0045064B"/>
    <w:rsid w:val="0045227B"/>
    <w:rsid w:val="0045243C"/>
    <w:rsid w:val="00453232"/>
    <w:rsid w:val="004532FA"/>
    <w:rsid w:val="0045373D"/>
    <w:rsid w:val="00453F71"/>
    <w:rsid w:val="00454133"/>
    <w:rsid w:val="00454553"/>
    <w:rsid w:val="00454576"/>
    <w:rsid w:val="0045510F"/>
    <w:rsid w:val="0045517C"/>
    <w:rsid w:val="00455885"/>
    <w:rsid w:val="0045620B"/>
    <w:rsid w:val="00456B95"/>
    <w:rsid w:val="00457049"/>
    <w:rsid w:val="00457607"/>
    <w:rsid w:val="004576C5"/>
    <w:rsid w:val="00457B75"/>
    <w:rsid w:val="00457BCB"/>
    <w:rsid w:val="00457C14"/>
    <w:rsid w:val="00457C8B"/>
    <w:rsid w:val="004611FE"/>
    <w:rsid w:val="004612A3"/>
    <w:rsid w:val="004614BC"/>
    <w:rsid w:val="004619EF"/>
    <w:rsid w:val="0046203D"/>
    <w:rsid w:val="004623D2"/>
    <w:rsid w:val="00462501"/>
    <w:rsid w:val="00462BCA"/>
    <w:rsid w:val="004631E7"/>
    <w:rsid w:val="00463585"/>
    <w:rsid w:val="00463AA1"/>
    <w:rsid w:val="00463D5B"/>
    <w:rsid w:val="004640B1"/>
    <w:rsid w:val="00464AEE"/>
    <w:rsid w:val="00466F0A"/>
    <w:rsid w:val="00466F8B"/>
    <w:rsid w:val="00467A93"/>
    <w:rsid w:val="00470478"/>
    <w:rsid w:val="00470A3B"/>
    <w:rsid w:val="00470BE5"/>
    <w:rsid w:val="0047260B"/>
    <w:rsid w:val="00472CCC"/>
    <w:rsid w:val="004735FA"/>
    <w:rsid w:val="00473A1B"/>
    <w:rsid w:val="00473E50"/>
    <w:rsid w:val="00474494"/>
    <w:rsid w:val="004745FD"/>
    <w:rsid w:val="00474A44"/>
    <w:rsid w:val="00474D3D"/>
    <w:rsid w:val="00477E6B"/>
    <w:rsid w:val="00480FEF"/>
    <w:rsid w:val="004825A0"/>
    <w:rsid w:val="00482F1D"/>
    <w:rsid w:val="00483F9F"/>
    <w:rsid w:val="004847E0"/>
    <w:rsid w:val="00485B66"/>
    <w:rsid w:val="00485FD0"/>
    <w:rsid w:val="004876E7"/>
    <w:rsid w:val="004879C1"/>
    <w:rsid w:val="00487C9E"/>
    <w:rsid w:val="00491408"/>
    <w:rsid w:val="004916C7"/>
    <w:rsid w:val="004917F7"/>
    <w:rsid w:val="004930CD"/>
    <w:rsid w:val="004931A2"/>
    <w:rsid w:val="0049359B"/>
    <w:rsid w:val="00493F53"/>
    <w:rsid w:val="004948A8"/>
    <w:rsid w:val="00495174"/>
    <w:rsid w:val="004959ED"/>
    <w:rsid w:val="00495B46"/>
    <w:rsid w:val="004965BC"/>
    <w:rsid w:val="00496E1D"/>
    <w:rsid w:val="00497914"/>
    <w:rsid w:val="00497A98"/>
    <w:rsid w:val="004A0097"/>
    <w:rsid w:val="004A0580"/>
    <w:rsid w:val="004A107E"/>
    <w:rsid w:val="004A1184"/>
    <w:rsid w:val="004A13C2"/>
    <w:rsid w:val="004A1F81"/>
    <w:rsid w:val="004A2064"/>
    <w:rsid w:val="004A2470"/>
    <w:rsid w:val="004A2650"/>
    <w:rsid w:val="004A4940"/>
    <w:rsid w:val="004A4F60"/>
    <w:rsid w:val="004A53DF"/>
    <w:rsid w:val="004A5654"/>
    <w:rsid w:val="004A5908"/>
    <w:rsid w:val="004A5B1A"/>
    <w:rsid w:val="004A6326"/>
    <w:rsid w:val="004A6710"/>
    <w:rsid w:val="004A67A4"/>
    <w:rsid w:val="004A7506"/>
    <w:rsid w:val="004B0CE2"/>
    <w:rsid w:val="004B2326"/>
    <w:rsid w:val="004B2ED0"/>
    <w:rsid w:val="004B3176"/>
    <w:rsid w:val="004B3451"/>
    <w:rsid w:val="004B3EC9"/>
    <w:rsid w:val="004B4A77"/>
    <w:rsid w:val="004B4CF9"/>
    <w:rsid w:val="004B5A23"/>
    <w:rsid w:val="004B5B7A"/>
    <w:rsid w:val="004B5CF5"/>
    <w:rsid w:val="004B5DE6"/>
    <w:rsid w:val="004B6075"/>
    <w:rsid w:val="004B6408"/>
    <w:rsid w:val="004B64BB"/>
    <w:rsid w:val="004B7CA0"/>
    <w:rsid w:val="004C0069"/>
    <w:rsid w:val="004C0D68"/>
    <w:rsid w:val="004C10A0"/>
    <w:rsid w:val="004C1241"/>
    <w:rsid w:val="004C1518"/>
    <w:rsid w:val="004C34DA"/>
    <w:rsid w:val="004C3839"/>
    <w:rsid w:val="004C3AC7"/>
    <w:rsid w:val="004C3B3C"/>
    <w:rsid w:val="004C3BFD"/>
    <w:rsid w:val="004C4AE6"/>
    <w:rsid w:val="004C4FE7"/>
    <w:rsid w:val="004C50A3"/>
    <w:rsid w:val="004C5D3E"/>
    <w:rsid w:val="004C6727"/>
    <w:rsid w:val="004C6AA9"/>
    <w:rsid w:val="004C7D79"/>
    <w:rsid w:val="004D0ABB"/>
    <w:rsid w:val="004D230D"/>
    <w:rsid w:val="004D27F7"/>
    <w:rsid w:val="004D4712"/>
    <w:rsid w:val="004D6201"/>
    <w:rsid w:val="004D79FB"/>
    <w:rsid w:val="004E09C7"/>
    <w:rsid w:val="004E130B"/>
    <w:rsid w:val="004E152E"/>
    <w:rsid w:val="004E1819"/>
    <w:rsid w:val="004E18E7"/>
    <w:rsid w:val="004E20C9"/>
    <w:rsid w:val="004E22AC"/>
    <w:rsid w:val="004E25DF"/>
    <w:rsid w:val="004E4164"/>
    <w:rsid w:val="004E4AFA"/>
    <w:rsid w:val="004E51D3"/>
    <w:rsid w:val="004E5B53"/>
    <w:rsid w:val="004E5F58"/>
    <w:rsid w:val="004E65FD"/>
    <w:rsid w:val="004E6636"/>
    <w:rsid w:val="004E6BCF"/>
    <w:rsid w:val="004E7356"/>
    <w:rsid w:val="004E741D"/>
    <w:rsid w:val="004E78FF"/>
    <w:rsid w:val="004F2050"/>
    <w:rsid w:val="004F37BC"/>
    <w:rsid w:val="004F3B9C"/>
    <w:rsid w:val="004F3FEE"/>
    <w:rsid w:val="004F5115"/>
    <w:rsid w:val="004F538D"/>
    <w:rsid w:val="004F608C"/>
    <w:rsid w:val="004F6592"/>
    <w:rsid w:val="004F6E9B"/>
    <w:rsid w:val="004F7A5D"/>
    <w:rsid w:val="005002DA"/>
    <w:rsid w:val="005006C7"/>
    <w:rsid w:val="00500917"/>
    <w:rsid w:val="00501BAC"/>
    <w:rsid w:val="005033F8"/>
    <w:rsid w:val="0050340F"/>
    <w:rsid w:val="00503E31"/>
    <w:rsid w:val="0050452B"/>
    <w:rsid w:val="00504E5A"/>
    <w:rsid w:val="00505022"/>
    <w:rsid w:val="00505219"/>
    <w:rsid w:val="00506A83"/>
    <w:rsid w:val="00506AF5"/>
    <w:rsid w:val="00506DDE"/>
    <w:rsid w:val="00507809"/>
    <w:rsid w:val="00507E9A"/>
    <w:rsid w:val="00507F89"/>
    <w:rsid w:val="00510A4E"/>
    <w:rsid w:val="00511F96"/>
    <w:rsid w:val="00512579"/>
    <w:rsid w:val="00512819"/>
    <w:rsid w:val="00512CC5"/>
    <w:rsid w:val="00514C66"/>
    <w:rsid w:val="00515027"/>
    <w:rsid w:val="00515212"/>
    <w:rsid w:val="0051528D"/>
    <w:rsid w:val="00515650"/>
    <w:rsid w:val="00515B79"/>
    <w:rsid w:val="00515EA8"/>
    <w:rsid w:val="00516BCE"/>
    <w:rsid w:val="00517159"/>
    <w:rsid w:val="00517C6D"/>
    <w:rsid w:val="00517EE3"/>
    <w:rsid w:val="00521AA2"/>
    <w:rsid w:val="00522808"/>
    <w:rsid w:val="00522AAA"/>
    <w:rsid w:val="00522FD2"/>
    <w:rsid w:val="00523949"/>
    <w:rsid w:val="00523B1A"/>
    <w:rsid w:val="00524732"/>
    <w:rsid w:val="005265B6"/>
    <w:rsid w:val="00526C4A"/>
    <w:rsid w:val="00530612"/>
    <w:rsid w:val="00530CDA"/>
    <w:rsid w:val="00530D16"/>
    <w:rsid w:val="005315C8"/>
    <w:rsid w:val="00531754"/>
    <w:rsid w:val="00532892"/>
    <w:rsid w:val="00532A54"/>
    <w:rsid w:val="00533118"/>
    <w:rsid w:val="005335BE"/>
    <w:rsid w:val="0053384E"/>
    <w:rsid w:val="00533957"/>
    <w:rsid w:val="00533A4D"/>
    <w:rsid w:val="00534286"/>
    <w:rsid w:val="00534455"/>
    <w:rsid w:val="00534961"/>
    <w:rsid w:val="00534EA1"/>
    <w:rsid w:val="005354D5"/>
    <w:rsid w:val="00536700"/>
    <w:rsid w:val="00536D05"/>
    <w:rsid w:val="00536E0A"/>
    <w:rsid w:val="0054005D"/>
    <w:rsid w:val="00540A12"/>
    <w:rsid w:val="00541448"/>
    <w:rsid w:val="0054146B"/>
    <w:rsid w:val="00541D22"/>
    <w:rsid w:val="0054282E"/>
    <w:rsid w:val="00543028"/>
    <w:rsid w:val="00543DAC"/>
    <w:rsid w:val="00544AA5"/>
    <w:rsid w:val="005453C7"/>
    <w:rsid w:val="00545A1B"/>
    <w:rsid w:val="005462FF"/>
    <w:rsid w:val="00546896"/>
    <w:rsid w:val="00546CE0"/>
    <w:rsid w:val="00547194"/>
    <w:rsid w:val="00547606"/>
    <w:rsid w:val="00550ACC"/>
    <w:rsid w:val="00550EA9"/>
    <w:rsid w:val="00551EE2"/>
    <w:rsid w:val="00554F6D"/>
    <w:rsid w:val="00555273"/>
    <w:rsid w:val="005563F6"/>
    <w:rsid w:val="0055708E"/>
    <w:rsid w:val="00557090"/>
    <w:rsid w:val="00557434"/>
    <w:rsid w:val="00560015"/>
    <w:rsid w:val="00561792"/>
    <w:rsid w:val="00562BCB"/>
    <w:rsid w:val="00562C52"/>
    <w:rsid w:val="0056304E"/>
    <w:rsid w:val="00565191"/>
    <w:rsid w:val="005651BB"/>
    <w:rsid w:val="00565852"/>
    <w:rsid w:val="00565C8A"/>
    <w:rsid w:val="005666D6"/>
    <w:rsid w:val="00566A44"/>
    <w:rsid w:val="00567784"/>
    <w:rsid w:val="00571957"/>
    <w:rsid w:val="00571E94"/>
    <w:rsid w:val="00572C87"/>
    <w:rsid w:val="00575942"/>
    <w:rsid w:val="00575EB2"/>
    <w:rsid w:val="00576302"/>
    <w:rsid w:val="005779F3"/>
    <w:rsid w:val="00580860"/>
    <w:rsid w:val="005809E5"/>
    <w:rsid w:val="00581078"/>
    <w:rsid w:val="005810EE"/>
    <w:rsid w:val="0058130E"/>
    <w:rsid w:val="00581D58"/>
    <w:rsid w:val="005823B8"/>
    <w:rsid w:val="0058272E"/>
    <w:rsid w:val="0058327D"/>
    <w:rsid w:val="00583A20"/>
    <w:rsid w:val="005841EB"/>
    <w:rsid w:val="005847C6"/>
    <w:rsid w:val="005858A3"/>
    <w:rsid w:val="0058614A"/>
    <w:rsid w:val="00586D67"/>
    <w:rsid w:val="00587175"/>
    <w:rsid w:val="005874F4"/>
    <w:rsid w:val="0059081F"/>
    <w:rsid w:val="00591995"/>
    <w:rsid w:val="00591AAA"/>
    <w:rsid w:val="00592F07"/>
    <w:rsid w:val="00593C6C"/>
    <w:rsid w:val="00594090"/>
    <w:rsid w:val="005944BF"/>
    <w:rsid w:val="0059656A"/>
    <w:rsid w:val="00596AE6"/>
    <w:rsid w:val="00596C02"/>
    <w:rsid w:val="00597A8F"/>
    <w:rsid w:val="00597DED"/>
    <w:rsid w:val="005A13FA"/>
    <w:rsid w:val="005A182C"/>
    <w:rsid w:val="005A1E99"/>
    <w:rsid w:val="005A1F14"/>
    <w:rsid w:val="005A5C29"/>
    <w:rsid w:val="005A683A"/>
    <w:rsid w:val="005A6C22"/>
    <w:rsid w:val="005A6F15"/>
    <w:rsid w:val="005A7223"/>
    <w:rsid w:val="005A7A92"/>
    <w:rsid w:val="005A7E59"/>
    <w:rsid w:val="005B0CC4"/>
    <w:rsid w:val="005B144C"/>
    <w:rsid w:val="005B22DA"/>
    <w:rsid w:val="005B3123"/>
    <w:rsid w:val="005B3BD9"/>
    <w:rsid w:val="005B3D58"/>
    <w:rsid w:val="005B4E45"/>
    <w:rsid w:val="005B5AFE"/>
    <w:rsid w:val="005B63CB"/>
    <w:rsid w:val="005B6AA8"/>
    <w:rsid w:val="005B7D77"/>
    <w:rsid w:val="005C14CB"/>
    <w:rsid w:val="005C2D24"/>
    <w:rsid w:val="005C2D4F"/>
    <w:rsid w:val="005C30E8"/>
    <w:rsid w:val="005C3F55"/>
    <w:rsid w:val="005C413D"/>
    <w:rsid w:val="005C4B1B"/>
    <w:rsid w:val="005C5CF8"/>
    <w:rsid w:val="005C659A"/>
    <w:rsid w:val="005C6680"/>
    <w:rsid w:val="005C6CCD"/>
    <w:rsid w:val="005C7141"/>
    <w:rsid w:val="005D0703"/>
    <w:rsid w:val="005D0ED5"/>
    <w:rsid w:val="005D133A"/>
    <w:rsid w:val="005D1676"/>
    <w:rsid w:val="005D19DC"/>
    <w:rsid w:val="005D1BF9"/>
    <w:rsid w:val="005D2257"/>
    <w:rsid w:val="005D270D"/>
    <w:rsid w:val="005D2D96"/>
    <w:rsid w:val="005D2DD7"/>
    <w:rsid w:val="005D3F3C"/>
    <w:rsid w:val="005D43D2"/>
    <w:rsid w:val="005D48D4"/>
    <w:rsid w:val="005D529A"/>
    <w:rsid w:val="005D6FA8"/>
    <w:rsid w:val="005D7045"/>
    <w:rsid w:val="005D76D3"/>
    <w:rsid w:val="005E0318"/>
    <w:rsid w:val="005E0F45"/>
    <w:rsid w:val="005E1C8B"/>
    <w:rsid w:val="005E1D40"/>
    <w:rsid w:val="005E1F4D"/>
    <w:rsid w:val="005E2266"/>
    <w:rsid w:val="005E23BD"/>
    <w:rsid w:val="005E38D8"/>
    <w:rsid w:val="005E4CCE"/>
    <w:rsid w:val="005E5766"/>
    <w:rsid w:val="005E6780"/>
    <w:rsid w:val="005E79B0"/>
    <w:rsid w:val="005E7F72"/>
    <w:rsid w:val="005F0095"/>
    <w:rsid w:val="005F03B8"/>
    <w:rsid w:val="005F0407"/>
    <w:rsid w:val="005F1243"/>
    <w:rsid w:val="005F288E"/>
    <w:rsid w:val="005F2D27"/>
    <w:rsid w:val="005F34D0"/>
    <w:rsid w:val="005F368C"/>
    <w:rsid w:val="005F3DCE"/>
    <w:rsid w:val="005F4AFA"/>
    <w:rsid w:val="005F4FAF"/>
    <w:rsid w:val="005F5581"/>
    <w:rsid w:val="005F6834"/>
    <w:rsid w:val="005F70EB"/>
    <w:rsid w:val="005F7F96"/>
    <w:rsid w:val="00600965"/>
    <w:rsid w:val="00600B0E"/>
    <w:rsid w:val="00601494"/>
    <w:rsid w:val="00601A84"/>
    <w:rsid w:val="006021B1"/>
    <w:rsid w:val="00603595"/>
    <w:rsid w:val="00603815"/>
    <w:rsid w:val="00603EA0"/>
    <w:rsid w:val="00603F93"/>
    <w:rsid w:val="00604022"/>
    <w:rsid w:val="006058EC"/>
    <w:rsid w:val="00606998"/>
    <w:rsid w:val="00612101"/>
    <w:rsid w:val="00613160"/>
    <w:rsid w:val="0061335F"/>
    <w:rsid w:val="0061465A"/>
    <w:rsid w:val="006148F0"/>
    <w:rsid w:val="00615125"/>
    <w:rsid w:val="00615790"/>
    <w:rsid w:val="00615840"/>
    <w:rsid w:val="00615EBF"/>
    <w:rsid w:val="006161D2"/>
    <w:rsid w:val="0061671C"/>
    <w:rsid w:val="006172E4"/>
    <w:rsid w:val="006210BF"/>
    <w:rsid w:val="00621BEE"/>
    <w:rsid w:val="00621E0B"/>
    <w:rsid w:val="00621F7F"/>
    <w:rsid w:val="006225CE"/>
    <w:rsid w:val="006228B7"/>
    <w:rsid w:val="00622C1F"/>
    <w:rsid w:val="00623A38"/>
    <w:rsid w:val="00623FA2"/>
    <w:rsid w:val="00624546"/>
    <w:rsid w:val="00624DC3"/>
    <w:rsid w:val="00624E9A"/>
    <w:rsid w:val="00625413"/>
    <w:rsid w:val="00626B01"/>
    <w:rsid w:val="00627A84"/>
    <w:rsid w:val="00627B48"/>
    <w:rsid w:val="0063003A"/>
    <w:rsid w:val="00630CDB"/>
    <w:rsid w:val="00630DA6"/>
    <w:rsid w:val="006316E3"/>
    <w:rsid w:val="00631C09"/>
    <w:rsid w:val="00631D4D"/>
    <w:rsid w:val="00631DF6"/>
    <w:rsid w:val="006332A6"/>
    <w:rsid w:val="00633B4B"/>
    <w:rsid w:val="00633F7B"/>
    <w:rsid w:val="00634F97"/>
    <w:rsid w:val="00635862"/>
    <w:rsid w:val="00636525"/>
    <w:rsid w:val="0063774C"/>
    <w:rsid w:val="00637EF0"/>
    <w:rsid w:val="00640221"/>
    <w:rsid w:val="00641247"/>
    <w:rsid w:val="0064180B"/>
    <w:rsid w:val="00642920"/>
    <w:rsid w:val="006439A2"/>
    <w:rsid w:val="00643E0D"/>
    <w:rsid w:val="00643F98"/>
    <w:rsid w:val="00644525"/>
    <w:rsid w:val="00644A2D"/>
    <w:rsid w:val="006451FF"/>
    <w:rsid w:val="0064659F"/>
    <w:rsid w:val="006466DE"/>
    <w:rsid w:val="00646800"/>
    <w:rsid w:val="006502D7"/>
    <w:rsid w:val="006508E6"/>
    <w:rsid w:val="00650D46"/>
    <w:rsid w:val="00651DF8"/>
    <w:rsid w:val="00651DFA"/>
    <w:rsid w:val="0065234E"/>
    <w:rsid w:val="00652661"/>
    <w:rsid w:val="00653F51"/>
    <w:rsid w:val="00654931"/>
    <w:rsid w:val="006551AA"/>
    <w:rsid w:val="0065579D"/>
    <w:rsid w:val="00657CA7"/>
    <w:rsid w:val="00657F84"/>
    <w:rsid w:val="00660D64"/>
    <w:rsid w:val="0066159C"/>
    <w:rsid w:val="006633F2"/>
    <w:rsid w:val="00665744"/>
    <w:rsid w:val="00665FDE"/>
    <w:rsid w:val="0066663C"/>
    <w:rsid w:val="006668EE"/>
    <w:rsid w:val="00667B60"/>
    <w:rsid w:val="006718D2"/>
    <w:rsid w:val="006727DD"/>
    <w:rsid w:val="006729B9"/>
    <w:rsid w:val="00673224"/>
    <w:rsid w:val="006737C9"/>
    <w:rsid w:val="006747B5"/>
    <w:rsid w:val="00674F22"/>
    <w:rsid w:val="00675125"/>
    <w:rsid w:val="0067584A"/>
    <w:rsid w:val="00675A3C"/>
    <w:rsid w:val="0067623E"/>
    <w:rsid w:val="0067649A"/>
    <w:rsid w:val="00677645"/>
    <w:rsid w:val="00680288"/>
    <w:rsid w:val="006809EF"/>
    <w:rsid w:val="00680A15"/>
    <w:rsid w:val="00680CD3"/>
    <w:rsid w:val="006822EB"/>
    <w:rsid w:val="006826BD"/>
    <w:rsid w:val="00682889"/>
    <w:rsid w:val="00682A6A"/>
    <w:rsid w:val="00682ECB"/>
    <w:rsid w:val="00683712"/>
    <w:rsid w:val="00683BB2"/>
    <w:rsid w:val="006847A4"/>
    <w:rsid w:val="00684C0B"/>
    <w:rsid w:val="00685795"/>
    <w:rsid w:val="00685ADF"/>
    <w:rsid w:val="006867A6"/>
    <w:rsid w:val="006867DB"/>
    <w:rsid w:val="00687997"/>
    <w:rsid w:val="006901D1"/>
    <w:rsid w:val="0069042D"/>
    <w:rsid w:val="006928CB"/>
    <w:rsid w:val="00692A6C"/>
    <w:rsid w:val="006937A9"/>
    <w:rsid w:val="00694003"/>
    <w:rsid w:val="00694448"/>
    <w:rsid w:val="00695115"/>
    <w:rsid w:val="0069540D"/>
    <w:rsid w:val="00696017"/>
    <w:rsid w:val="006968BC"/>
    <w:rsid w:val="00696B44"/>
    <w:rsid w:val="006A0804"/>
    <w:rsid w:val="006A1059"/>
    <w:rsid w:val="006A211E"/>
    <w:rsid w:val="006A29BC"/>
    <w:rsid w:val="006A368D"/>
    <w:rsid w:val="006A42E1"/>
    <w:rsid w:val="006A46AF"/>
    <w:rsid w:val="006A52B6"/>
    <w:rsid w:val="006A6A80"/>
    <w:rsid w:val="006A6B1F"/>
    <w:rsid w:val="006A6B3E"/>
    <w:rsid w:val="006A7828"/>
    <w:rsid w:val="006B04BF"/>
    <w:rsid w:val="006B1A05"/>
    <w:rsid w:val="006B2CE5"/>
    <w:rsid w:val="006B3A13"/>
    <w:rsid w:val="006B3A74"/>
    <w:rsid w:val="006B447E"/>
    <w:rsid w:val="006B4499"/>
    <w:rsid w:val="006B556E"/>
    <w:rsid w:val="006B5F7A"/>
    <w:rsid w:val="006B69AF"/>
    <w:rsid w:val="006B71F2"/>
    <w:rsid w:val="006B735D"/>
    <w:rsid w:val="006B7C92"/>
    <w:rsid w:val="006C0026"/>
    <w:rsid w:val="006C018E"/>
    <w:rsid w:val="006C06B9"/>
    <w:rsid w:val="006C1671"/>
    <w:rsid w:val="006C1D9A"/>
    <w:rsid w:val="006C27CD"/>
    <w:rsid w:val="006C2A56"/>
    <w:rsid w:val="006C3579"/>
    <w:rsid w:val="006C3931"/>
    <w:rsid w:val="006C516A"/>
    <w:rsid w:val="006C530E"/>
    <w:rsid w:val="006C562E"/>
    <w:rsid w:val="006C5B64"/>
    <w:rsid w:val="006C5E9A"/>
    <w:rsid w:val="006C5FB3"/>
    <w:rsid w:val="006C684B"/>
    <w:rsid w:val="006C718F"/>
    <w:rsid w:val="006D0124"/>
    <w:rsid w:val="006D1315"/>
    <w:rsid w:val="006D15E6"/>
    <w:rsid w:val="006D1ECA"/>
    <w:rsid w:val="006D2447"/>
    <w:rsid w:val="006D2EC3"/>
    <w:rsid w:val="006D4321"/>
    <w:rsid w:val="006D44A7"/>
    <w:rsid w:val="006D4DB0"/>
    <w:rsid w:val="006D55E2"/>
    <w:rsid w:val="006D5BFD"/>
    <w:rsid w:val="006D5D81"/>
    <w:rsid w:val="006D5D93"/>
    <w:rsid w:val="006D6474"/>
    <w:rsid w:val="006D6FDA"/>
    <w:rsid w:val="006D7048"/>
    <w:rsid w:val="006E0638"/>
    <w:rsid w:val="006E09DA"/>
    <w:rsid w:val="006E0E67"/>
    <w:rsid w:val="006E170A"/>
    <w:rsid w:val="006E1D2B"/>
    <w:rsid w:val="006E210F"/>
    <w:rsid w:val="006E2ECA"/>
    <w:rsid w:val="006E34F7"/>
    <w:rsid w:val="006E4F93"/>
    <w:rsid w:val="006E5514"/>
    <w:rsid w:val="006F0271"/>
    <w:rsid w:val="006F0347"/>
    <w:rsid w:val="006F0953"/>
    <w:rsid w:val="006F307E"/>
    <w:rsid w:val="006F31A9"/>
    <w:rsid w:val="006F402C"/>
    <w:rsid w:val="006F4554"/>
    <w:rsid w:val="006F5406"/>
    <w:rsid w:val="006F5D53"/>
    <w:rsid w:val="006F78F3"/>
    <w:rsid w:val="006F7A77"/>
    <w:rsid w:val="006F7AA9"/>
    <w:rsid w:val="007000D4"/>
    <w:rsid w:val="00700146"/>
    <w:rsid w:val="00701047"/>
    <w:rsid w:val="00701E11"/>
    <w:rsid w:val="00702E38"/>
    <w:rsid w:val="007032A4"/>
    <w:rsid w:val="0070442C"/>
    <w:rsid w:val="00704435"/>
    <w:rsid w:val="007051E4"/>
    <w:rsid w:val="007052D0"/>
    <w:rsid w:val="007055B5"/>
    <w:rsid w:val="00705769"/>
    <w:rsid w:val="00707078"/>
    <w:rsid w:val="0070764E"/>
    <w:rsid w:val="0070776C"/>
    <w:rsid w:val="00707BDE"/>
    <w:rsid w:val="00707E7D"/>
    <w:rsid w:val="00711199"/>
    <w:rsid w:val="0071152D"/>
    <w:rsid w:val="00711633"/>
    <w:rsid w:val="00711A2C"/>
    <w:rsid w:val="00713E77"/>
    <w:rsid w:val="00714BB5"/>
    <w:rsid w:val="00715161"/>
    <w:rsid w:val="007155F8"/>
    <w:rsid w:val="0071581F"/>
    <w:rsid w:val="0071597F"/>
    <w:rsid w:val="0071602D"/>
    <w:rsid w:val="00716180"/>
    <w:rsid w:val="00716E57"/>
    <w:rsid w:val="00717306"/>
    <w:rsid w:val="00717E74"/>
    <w:rsid w:val="00717FBE"/>
    <w:rsid w:val="0072059E"/>
    <w:rsid w:val="00720D04"/>
    <w:rsid w:val="0072106E"/>
    <w:rsid w:val="00721083"/>
    <w:rsid w:val="00721554"/>
    <w:rsid w:val="0072195E"/>
    <w:rsid w:val="00722268"/>
    <w:rsid w:val="00722A9E"/>
    <w:rsid w:val="00722D10"/>
    <w:rsid w:val="007234AD"/>
    <w:rsid w:val="00723595"/>
    <w:rsid w:val="00723A72"/>
    <w:rsid w:val="00723E64"/>
    <w:rsid w:val="00724DDA"/>
    <w:rsid w:val="00725452"/>
    <w:rsid w:val="007260F4"/>
    <w:rsid w:val="00726453"/>
    <w:rsid w:val="00726C89"/>
    <w:rsid w:val="00727422"/>
    <w:rsid w:val="00727620"/>
    <w:rsid w:val="007276C6"/>
    <w:rsid w:val="00727B87"/>
    <w:rsid w:val="00727DF8"/>
    <w:rsid w:val="007308FF"/>
    <w:rsid w:val="00730A99"/>
    <w:rsid w:val="007315A7"/>
    <w:rsid w:val="007315E3"/>
    <w:rsid w:val="00732088"/>
    <w:rsid w:val="00732287"/>
    <w:rsid w:val="00732386"/>
    <w:rsid w:val="0073250A"/>
    <w:rsid w:val="00732DFF"/>
    <w:rsid w:val="00732E11"/>
    <w:rsid w:val="007331D5"/>
    <w:rsid w:val="00735010"/>
    <w:rsid w:val="00735D3A"/>
    <w:rsid w:val="00735F58"/>
    <w:rsid w:val="00736098"/>
    <w:rsid w:val="0073790C"/>
    <w:rsid w:val="0074145C"/>
    <w:rsid w:val="00741471"/>
    <w:rsid w:val="00742047"/>
    <w:rsid w:val="007428B4"/>
    <w:rsid w:val="00742C7A"/>
    <w:rsid w:val="00742E2E"/>
    <w:rsid w:val="00743002"/>
    <w:rsid w:val="00743983"/>
    <w:rsid w:val="0074497B"/>
    <w:rsid w:val="00745410"/>
    <w:rsid w:val="00745611"/>
    <w:rsid w:val="00745927"/>
    <w:rsid w:val="00745959"/>
    <w:rsid w:val="00745A5E"/>
    <w:rsid w:val="00745F5A"/>
    <w:rsid w:val="0074666D"/>
    <w:rsid w:val="00746801"/>
    <w:rsid w:val="0074681E"/>
    <w:rsid w:val="00746BA6"/>
    <w:rsid w:val="00747711"/>
    <w:rsid w:val="00751647"/>
    <w:rsid w:val="007516DD"/>
    <w:rsid w:val="00752EFC"/>
    <w:rsid w:val="00753650"/>
    <w:rsid w:val="00753E1E"/>
    <w:rsid w:val="007540E6"/>
    <w:rsid w:val="007540F5"/>
    <w:rsid w:val="0075459D"/>
    <w:rsid w:val="00756610"/>
    <w:rsid w:val="00760D3D"/>
    <w:rsid w:val="00761B7E"/>
    <w:rsid w:val="00762E60"/>
    <w:rsid w:val="007640E6"/>
    <w:rsid w:val="00764D8C"/>
    <w:rsid w:val="00765128"/>
    <w:rsid w:val="00765CCA"/>
    <w:rsid w:val="00767151"/>
    <w:rsid w:val="00767886"/>
    <w:rsid w:val="00767956"/>
    <w:rsid w:val="00767F05"/>
    <w:rsid w:val="00770144"/>
    <w:rsid w:val="0077101A"/>
    <w:rsid w:val="00771A98"/>
    <w:rsid w:val="007728B4"/>
    <w:rsid w:val="00772A63"/>
    <w:rsid w:val="00772C5F"/>
    <w:rsid w:val="00772D7A"/>
    <w:rsid w:val="00773DCB"/>
    <w:rsid w:val="007742FA"/>
    <w:rsid w:val="0077501D"/>
    <w:rsid w:val="0077536C"/>
    <w:rsid w:val="00775C13"/>
    <w:rsid w:val="00776FD6"/>
    <w:rsid w:val="00780F53"/>
    <w:rsid w:val="00780FC9"/>
    <w:rsid w:val="0078134C"/>
    <w:rsid w:val="007815BB"/>
    <w:rsid w:val="007822F2"/>
    <w:rsid w:val="0078280E"/>
    <w:rsid w:val="0078392C"/>
    <w:rsid w:val="007839CB"/>
    <w:rsid w:val="00783D15"/>
    <w:rsid w:val="00785123"/>
    <w:rsid w:val="00785C15"/>
    <w:rsid w:val="00786336"/>
    <w:rsid w:val="0078720B"/>
    <w:rsid w:val="007875DD"/>
    <w:rsid w:val="007876EE"/>
    <w:rsid w:val="00790210"/>
    <w:rsid w:val="007907E8"/>
    <w:rsid w:val="00790877"/>
    <w:rsid w:val="007910AE"/>
    <w:rsid w:val="00791F55"/>
    <w:rsid w:val="00792CDC"/>
    <w:rsid w:val="0079436E"/>
    <w:rsid w:val="00794457"/>
    <w:rsid w:val="0079494E"/>
    <w:rsid w:val="00795115"/>
    <w:rsid w:val="00795EC7"/>
    <w:rsid w:val="00796D17"/>
    <w:rsid w:val="00796E7B"/>
    <w:rsid w:val="00797121"/>
    <w:rsid w:val="00797F30"/>
    <w:rsid w:val="007A0380"/>
    <w:rsid w:val="007A0A77"/>
    <w:rsid w:val="007A38EA"/>
    <w:rsid w:val="007A3BF7"/>
    <w:rsid w:val="007A3C8D"/>
    <w:rsid w:val="007A3DED"/>
    <w:rsid w:val="007A4228"/>
    <w:rsid w:val="007A43A4"/>
    <w:rsid w:val="007A45A0"/>
    <w:rsid w:val="007A5EA1"/>
    <w:rsid w:val="007A71B7"/>
    <w:rsid w:val="007A739E"/>
    <w:rsid w:val="007B06B0"/>
    <w:rsid w:val="007B092B"/>
    <w:rsid w:val="007B1314"/>
    <w:rsid w:val="007B1CEE"/>
    <w:rsid w:val="007B293B"/>
    <w:rsid w:val="007B2F77"/>
    <w:rsid w:val="007B3B20"/>
    <w:rsid w:val="007B4121"/>
    <w:rsid w:val="007B4306"/>
    <w:rsid w:val="007B5CC6"/>
    <w:rsid w:val="007B66AD"/>
    <w:rsid w:val="007B722A"/>
    <w:rsid w:val="007B7723"/>
    <w:rsid w:val="007B7D36"/>
    <w:rsid w:val="007C0397"/>
    <w:rsid w:val="007C10E7"/>
    <w:rsid w:val="007C153C"/>
    <w:rsid w:val="007C2A7D"/>
    <w:rsid w:val="007C39E8"/>
    <w:rsid w:val="007C3C01"/>
    <w:rsid w:val="007C4645"/>
    <w:rsid w:val="007C59D0"/>
    <w:rsid w:val="007C6518"/>
    <w:rsid w:val="007C6D61"/>
    <w:rsid w:val="007C768C"/>
    <w:rsid w:val="007C7E75"/>
    <w:rsid w:val="007D0823"/>
    <w:rsid w:val="007D0A1D"/>
    <w:rsid w:val="007D0FDA"/>
    <w:rsid w:val="007D1527"/>
    <w:rsid w:val="007D1945"/>
    <w:rsid w:val="007D1A3C"/>
    <w:rsid w:val="007D20C9"/>
    <w:rsid w:val="007D4552"/>
    <w:rsid w:val="007D4D1A"/>
    <w:rsid w:val="007D5C06"/>
    <w:rsid w:val="007D6409"/>
    <w:rsid w:val="007D6747"/>
    <w:rsid w:val="007D6C36"/>
    <w:rsid w:val="007D6DD5"/>
    <w:rsid w:val="007D6E3D"/>
    <w:rsid w:val="007D7768"/>
    <w:rsid w:val="007D7A05"/>
    <w:rsid w:val="007D7B85"/>
    <w:rsid w:val="007E106E"/>
    <w:rsid w:val="007E1D98"/>
    <w:rsid w:val="007E23B8"/>
    <w:rsid w:val="007E2742"/>
    <w:rsid w:val="007E291C"/>
    <w:rsid w:val="007E38A4"/>
    <w:rsid w:val="007E3905"/>
    <w:rsid w:val="007E3C36"/>
    <w:rsid w:val="007E4969"/>
    <w:rsid w:val="007E590C"/>
    <w:rsid w:val="007E5E5E"/>
    <w:rsid w:val="007E5E83"/>
    <w:rsid w:val="007E60FE"/>
    <w:rsid w:val="007E62E6"/>
    <w:rsid w:val="007E6B9E"/>
    <w:rsid w:val="007E6D8F"/>
    <w:rsid w:val="007E73F5"/>
    <w:rsid w:val="007E75A1"/>
    <w:rsid w:val="007E7FAE"/>
    <w:rsid w:val="007F0447"/>
    <w:rsid w:val="007F2630"/>
    <w:rsid w:val="007F3A60"/>
    <w:rsid w:val="007F42E4"/>
    <w:rsid w:val="007F45B6"/>
    <w:rsid w:val="007F4CA3"/>
    <w:rsid w:val="007F4E11"/>
    <w:rsid w:val="007F4F84"/>
    <w:rsid w:val="007F50FD"/>
    <w:rsid w:val="007F5FE5"/>
    <w:rsid w:val="007F6750"/>
    <w:rsid w:val="007F6835"/>
    <w:rsid w:val="007F6ABD"/>
    <w:rsid w:val="007F75A0"/>
    <w:rsid w:val="008004D7"/>
    <w:rsid w:val="0080142B"/>
    <w:rsid w:val="00801D73"/>
    <w:rsid w:val="00804048"/>
    <w:rsid w:val="0080424C"/>
    <w:rsid w:val="008044BC"/>
    <w:rsid w:val="00804D58"/>
    <w:rsid w:val="00804F33"/>
    <w:rsid w:val="00806110"/>
    <w:rsid w:val="00806D5A"/>
    <w:rsid w:val="008073E4"/>
    <w:rsid w:val="008077AA"/>
    <w:rsid w:val="00807C3B"/>
    <w:rsid w:val="00810432"/>
    <w:rsid w:val="008111DB"/>
    <w:rsid w:val="0081122F"/>
    <w:rsid w:val="0081132F"/>
    <w:rsid w:val="008118E1"/>
    <w:rsid w:val="00811C6B"/>
    <w:rsid w:val="00811CAF"/>
    <w:rsid w:val="00812331"/>
    <w:rsid w:val="008131A0"/>
    <w:rsid w:val="0081359A"/>
    <w:rsid w:val="00813CAE"/>
    <w:rsid w:val="008150DB"/>
    <w:rsid w:val="008171FC"/>
    <w:rsid w:val="0081789E"/>
    <w:rsid w:val="00817E81"/>
    <w:rsid w:val="00820412"/>
    <w:rsid w:val="0082166B"/>
    <w:rsid w:val="008224F6"/>
    <w:rsid w:val="008235CF"/>
    <w:rsid w:val="0082402A"/>
    <w:rsid w:val="0082500A"/>
    <w:rsid w:val="00825349"/>
    <w:rsid w:val="00825358"/>
    <w:rsid w:val="0082553B"/>
    <w:rsid w:val="008266B9"/>
    <w:rsid w:val="0082686A"/>
    <w:rsid w:val="00827AF2"/>
    <w:rsid w:val="008308B7"/>
    <w:rsid w:val="00830F25"/>
    <w:rsid w:val="00830F8E"/>
    <w:rsid w:val="008316F5"/>
    <w:rsid w:val="00831902"/>
    <w:rsid w:val="00832E25"/>
    <w:rsid w:val="0083347F"/>
    <w:rsid w:val="00833FDD"/>
    <w:rsid w:val="00834449"/>
    <w:rsid w:val="00834FDD"/>
    <w:rsid w:val="0083571C"/>
    <w:rsid w:val="0083590A"/>
    <w:rsid w:val="00836A27"/>
    <w:rsid w:val="00836E5F"/>
    <w:rsid w:val="00837364"/>
    <w:rsid w:val="00840509"/>
    <w:rsid w:val="00840BB0"/>
    <w:rsid w:val="0084127B"/>
    <w:rsid w:val="00841BC7"/>
    <w:rsid w:val="00841CE3"/>
    <w:rsid w:val="00841F2A"/>
    <w:rsid w:val="008422B3"/>
    <w:rsid w:val="0084257C"/>
    <w:rsid w:val="00842655"/>
    <w:rsid w:val="00842A83"/>
    <w:rsid w:val="00842C02"/>
    <w:rsid w:val="00842E4E"/>
    <w:rsid w:val="008430DF"/>
    <w:rsid w:val="00844016"/>
    <w:rsid w:val="00844286"/>
    <w:rsid w:val="00844363"/>
    <w:rsid w:val="00844814"/>
    <w:rsid w:val="00845D1D"/>
    <w:rsid w:val="00847528"/>
    <w:rsid w:val="00850353"/>
    <w:rsid w:val="008503FA"/>
    <w:rsid w:val="008508DF"/>
    <w:rsid w:val="00850990"/>
    <w:rsid w:val="00850B88"/>
    <w:rsid w:val="00850C31"/>
    <w:rsid w:val="00851623"/>
    <w:rsid w:val="00851E6A"/>
    <w:rsid w:val="008525CD"/>
    <w:rsid w:val="00852676"/>
    <w:rsid w:val="0085279B"/>
    <w:rsid w:val="00852A74"/>
    <w:rsid w:val="008532E2"/>
    <w:rsid w:val="008570D2"/>
    <w:rsid w:val="008575D1"/>
    <w:rsid w:val="00860F01"/>
    <w:rsid w:val="00862676"/>
    <w:rsid w:val="0086381E"/>
    <w:rsid w:val="00864374"/>
    <w:rsid w:val="008647EA"/>
    <w:rsid w:val="008649AB"/>
    <w:rsid w:val="00864A65"/>
    <w:rsid w:val="008658E3"/>
    <w:rsid w:val="00866D95"/>
    <w:rsid w:val="00867616"/>
    <w:rsid w:val="008705BC"/>
    <w:rsid w:val="00870AC2"/>
    <w:rsid w:val="00871726"/>
    <w:rsid w:val="008728A8"/>
    <w:rsid w:val="00872E50"/>
    <w:rsid w:val="00873DEE"/>
    <w:rsid w:val="00874E15"/>
    <w:rsid w:val="00875679"/>
    <w:rsid w:val="008768FB"/>
    <w:rsid w:val="00877DCD"/>
    <w:rsid w:val="00880F69"/>
    <w:rsid w:val="008810BA"/>
    <w:rsid w:val="008811F4"/>
    <w:rsid w:val="0088168D"/>
    <w:rsid w:val="00881830"/>
    <w:rsid w:val="00882579"/>
    <w:rsid w:val="00882598"/>
    <w:rsid w:val="00882E6B"/>
    <w:rsid w:val="0088353C"/>
    <w:rsid w:val="00883589"/>
    <w:rsid w:val="00883848"/>
    <w:rsid w:val="00883DD4"/>
    <w:rsid w:val="008841F5"/>
    <w:rsid w:val="008843EA"/>
    <w:rsid w:val="00885F4F"/>
    <w:rsid w:val="00885FF3"/>
    <w:rsid w:val="0088601F"/>
    <w:rsid w:val="00886B7E"/>
    <w:rsid w:val="00886C94"/>
    <w:rsid w:val="0088713A"/>
    <w:rsid w:val="00887317"/>
    <w:rsid w:val="00887F6A"/>
    <w:rsid w:val="008902C9"/>
    <w:rsid w:val="0089050C"/>
    <w:rsid w:val="008905B4"/>
    <w:rsid w:val="0089199A"/>
    <w:rsid w:val="008927F5"/>
    <w:rsid w:val="008947AA"/>
    <w:rsid w:val="00894B6C"/>
    <w:rsid w:val="00895E4B"/>
    <w:rsid w:val="00896026"/>
    <w:rsid w:val="008971BA"/>
    <w:rsid w:val="00897440"/>
    <w:rsid w:val="00897778"/>
    <w:rsid w:val="008978B1"/>
    <w:rsid w:val="00897DB2"/>
    <w:rsid w:val="008A09BB"/>
    <w:rsid w:val="008A24DD"/>
    <w:rsid w:val="008A2B38"/>
    <w:rsid w:val="008A327A"/>
    <w:rsid w:val="008A3643"/>
    <w:rsid w:val="008A3F5D"/>
    <w:rsid w:val="008A4591"/>
    <w:rsid w:val="008A5487"/>
    <w:rsid w:val="008A5541"/>
    <w:rsid w:val="008A5B43"/>
    <w:rsid w:val="008A5B68"/>
    <w:rsid w:val="008A5FFD"/>
    <w:rsid w:val="008A760F"/>
    <w:rsid w:val="008A7688"/>
    <w:rsid w:val="008B0107"/>
    <w:rsid w:val="008B09B7"/>
    <w:rsid w:val="008B0EB4"/>
    <w:rsid w:val="008B1056"/>
    <w:rsid w:val="008B1588"/>
    <w:rsid w:val="008B217F"/>
    <w:rsid w:val="008B235F"/>
    <w:rsid w:val="008B2F46"/>
    <w:rsid w:val="008B4338"/>
    <w:rsid w:val="008B4AAF"/>
    <w:rsid w:val="008B507C"/>
    <w:rsid w:val="008B5343"/>
    <w:rsid w:val="008B5A50"/>
    <w:rsid w:val="008B5DA1"/>
    <w:rsid w:val="008B69CB"/>
    <w:rsid w:val="008B6CBC"/>
    <w:rsid w:val="008B7034"/>
    <w:rsid w:val="008B7855"/>
    <w:rsid w:val="008C11C3"/>
    <w:rsid w:val="008C1CA3"/>
    <w:rsid w:val="008C37DB"/>
    <w:rsid w:val="008C381F"/>
    <w:rsid w:val="008C5932"/>
    <w:rsid w:val="008C6181"/>
    <w:rsid w:val="008C61E9"/>
    <w:rsid w:val="008C6BEA"/>
    <w:rsid w:val="008C6F54"/>
    <w:rsid w:val="008C702F"/>
    <w:rsid w:val="008C71F7"/>
    <w:rsid w:val="008C7DB6"/>
    <w:rsid w:val="008D0BBB"/>
    <w:rsid w:val="008D0EE3"/>
    <w:rsid w:val="008D1C2F"/>
    <w:rsid w:val="008D2854"/>
    <w:rsid w:val="008D34BA"/>
    <w:rsid w:val="008D4645"/>
    <w:rsid w:val="008D5155"/>
    <w:rsid w:val="008D56B2"/>
    <w:rsid w:val="008D56FA"/>
    <w:rsid w:val="008D58D0"/>
    <w:rsid w:val="008D5984"/>
    <w:rsid w:val="008D6F9A"/>
    <w:rsid w:val="008D755D"/>
    <w:rsid w:val="008D7808"/>
    <w:rsid w:val="008D7FA1"/>
    <w:rsid w:val="008E04D1"/>
    <w:rsid w:val="008E1525"/>
    <w:rsid w:val="008E187A"/>
    <w:rsid w:val="008E30D0"/>
    <w:rsid w:val="008E3144"/>
    <w:rsid w:val="008E31E0"/>
    <w:rsid w:val="008E41CE"/>
    <w:rsid w:val="008E4296"/>
    <w:rsid w:val="008E4B8A"/>
    <w:rsid w:val="008E53B5"/>
    <w:rsid w:val="008E5A9B"/>
    <w:rsid w:val="008E65F1"/>
    <w:rsid w:val="008E6C97"/>
    <w:rsid w:val="008E6D54"/>
    <w:rsid w:val="008E71B1"/>
    <w:rsid w:val="008E7529"/>
    <w:rsid w:val="008F03F4"/>
    <w:rsid w:val="008F0A56"/>
    <w:rsid w:val="008F0DA8"/>
    <w:rsid w:val="008F0E35"/>
    <w:rsid w:val="008F1403"/>
    <w:rsid w:val="008F1B46"/>
    <w:rsid w:val="008F24EC"/>
    <w:rsid w:val="008F266C"/>
    <w:rsid w:val="008F28FA"/>
    <w:rsid w:val="008F35F8"/>
    <w:rsid w:val="008F389D"/>
    <w:rsid w:val="008F39F7"/>
    <w:rsid w:val="008F550B"/>
    <w:rsid w:val="008F61AD"/>
    <w:rsid w:val="008F76C5"/>
    <w:rsid w:val="008F7704"/>
    <w:rsid w:val="008F7978"/>
    <w:rsid w:val="009001FD"/>
    <w:rsid w:val="00900560"/>
    <w:rsid w:val="00900980"/>
    <w:rsid w:val="00900A5A"/>
    <w:rsid w:val="00901BD1"/>
    <w:rsid w:val="00902611"/>
    <w:rsid w:val="00902712"/>
    <w:rsid w:val="0090457D"/>
    <w:rsid w:val="00904617"/>
    <w:rsid w:val="0090482F"/>
    <w:rsid w:val="009049AC"/>
    <w:rsid w:val="00904F67"/>
    <w:rsid w:val="00907E9A"/>
    <w:rsid w:val="00910FFB"/>
    <w:rsid w:val="00912860"/>
    <w:rsid w:val="00912AFC"/>
    <w:rsid w:val="00912BAC"/>
    <w:rsid w:val="00914496"/>
    <w:rsid w:val="0091465E"/>
    <w:rsid w:val="00915E3F"/>
    <w:rsid w:val="00916133"/>
    <w:rsid w:val="00917B6F"/>
    <w:rsid w:val="009202C0"/>
    <w:rsid w:val="00920F31"/>
    <w:rsid w:val="00921E9C"/>
    <w:rsid w:val="00922732"/>
    <w:rsid w:val="00922DF9"/>
    <w:rsid w:val="00923383"/>
    <w:rsid w:val="00923A14"/>
    <w:rsid w:val="00924BFC"/>
    <w:rsid w:val="0092513D"/>
    <w:rsid w:val="0092576A"/>
    <w:rsid w:val="00925F94"/>
    <w:rsid w:val="00926A60"/>
    <w:rsid w:val="009270DF"/>
    <w:rsid w:val="0092741B"/>
    <w:rsid w:val="00927676"/>
    <w:rsid w:val="0092788A"/>
    <w:rsid w:val="009279A3"/>
    <w:rsid w:val="00927D8D"/>
    <w:rsid w:val="00930622"/>
    <w:rsid w:val="00930D72"/>
    <w:rsid w:val="0093169A"/>
    <w:rsid w:val="00932085"/>
    <w:rsid w:val="009332A1"/>
    <w:rsid w:val="00933891"/>
    <w:rsid w:val="00933907"/>
    <w:rsid w:val="00934763"/>
    <w:rsid w:val="00934C4E"/>
    <w:rsid w:val="0093526C"/>
    <w:rsid w:val="00935998"/>
    <w:rsid w:val="00935B61"/>
    <w:rsid w:val="009364AA"/>
    <w:rsid w:val="009371F3"/>
    <w:rsid w:val="00937499"/>
    <w:rsid w:val="00940B03"/>
    <w:rsid w:val="00941035"/>
    <w:rsid w:val="00941DA6"/>
    <w:rsid w:val="00942689"/>
    <w:rsid w:val="00942DC5"/>
    <w:rsid w:val="00943617"/>
    <w:rsid w:val="00943736"/>
    <w:rsid w:val="009446ED"/>
    <w:rsid w:val="0094711A"/>
    <w:rsid w:val="00947391"/>
    <w:rsid w:val="009474EC"/>
    <w:rsid w:val="009503BE"/>
    <w:rsid w:val="00951A59"/>
    <w:rsid w:val="00953668"/>
    <w:rsid w:val="00953B32"/>
    <w:rsid w:val="00953C10"/>
    <w:rsid w:val="00953E98"/>
    <w:rsid w:val="0095489F"/>
    <w:rsid w:val="00955010"/>
    <w:rsid w:val="00955180"/>
    <w:rsid w:val="00955270"/>
    <w:rsid w:val="0095708A"/>
    <w:rsid w:val="00960597"/>
    <w:rsid w:val="00960BFB"/>
    <w:rsid w:val="00960E43"/>
    <w:rsid w:val="00961269"/>
    <w:rsid w:val="0096192B"/>
    <w:rsid w:val="00961CD6"/>
    <w:rsid w:val="0096216C"/>
    <w:rsid w:val="009629C4"/>
    <w:rsid w:val="0096301C"/>
    <w:rsid w:val="0096331E"/>
    <w:rsid w:val="00963870"/>
    <w:rsid w:val="00963A61"/>
    <w:rsid w:val="00963B01"/>
    <w:rsid w:val="00963E71"/>
    <w:rsid w:val="00963F42"/>
    <w:rsid w:val="00964790"/>
    <w:rsid w:val="0096508B"/>
    <w:rsid w:val="00966A08"/>
    <w:rsid w:val="00967560"/>
    <w:rsid w:val="00967B22"/>
    <w:rsid w:val="0097005D"/>
    <w:rsid w:val="0097112F"/>
    <w:rsid w:val="00971150"/>
    <w:rsid w:val="009711D9"/>
    <w:rsid w:val="00971EB3"/>
    <w:rsid w:val="00972919"/>
    <w:rsid w:val="00972CB3"/>
    <w:rsid w:val="0097325B"/>
    <w:rsid w:val="00973481"/>
    <w:rsid w:val="00973E8D"/>
    <w:rsid w:val="009762C8"/>
    <w:rsid w:val="009769B2"/>
    <w:rsid w:val="009769FE"/>
    <w:rsid w:val="00976A34"/>
    <w:rsid w:val="009774C9"/>
    <w:rsid w:val="00980BAE"/>
    <w:rsid w:val="00980C3D"/>
    <w:rsid w:val="0098225C"/>
    <w:rsid w:val="00982A87"/>
    <w:rsid w:val="00982E58"/>
    <w:rsid w:val="00982E99"/>
    <w:rsid w:val="00983023"/>
    <w:rsid w:val="00983D45"/>
    <w:rsid w:val="00983E9A"/>
    <w:rsid w:val="00984435"/>
    <w:rsid w:val="0098627B"/>
    <w:rsid w:val="009869E3"/>
    <w:rsid w:val="009876BA"/>
    <w:rsid w:val="00990779"/>
    <w:rsid w:val="009909E7"/>
    <w:rsid w:val="00992206"/>
    <w:rsid w:val="00992487"/>
    <w:rsid w:val="009926A0"/>
    <w:rsid w:val="0099452C"/>
    <w:rsid w:val="00995563"/>
    <w:rsid w:val="009956A8"/>
    <w:rsid w:val="00995E97"/>
    <w:rsid w:val="0099616A"/>
    <w:rsid w:val="009966CC"/>
    <w:rsid w:val="009A0476"/>
    <w:rsid w:val="009A1697"/>
    <w:rsid w:val="009A1F8C"/>
    <w:rsid w:val="009A2392"/>
    <w:rsid w:val="009A3BD3"/>
    <w:rsid w:val="009A3F3A"/>
    <w:rsid w:val="009A49FF"/>
    <w:rsid w:val="009A4CD1"/>
    <w:rsid w:val="009A50FD"/>
    <w:rsid w:val="009A5C2F"/>
    <w:rsid w:val="009A6C04"/>
    <w:rsid w:val="009A7167"/>
    <w:rsid w:val="009A7595"/>
    <w:rsid w:val="009A7B87"/>
    <w:rsid w:val="009A7DB9"/>
    <w:rsid w:val="009B0432"/>
    <w:rsid w:val="009B04DC"/>
    <w:rsid w:val="009B05DA"/>
    <w:rsid w:val="009B155B"/>
    <w:rsid w:val="009B15EE"/>
    <w:rsid w:val="009B1942"/>
    <w:rsid w:val="009B24E7"/>
    <w:rsid w:val="009B25E6"/>
    <w:rsid w:val="009B2E28"/>
    <w:rsid w:val="009B3347"/>
    <w:rsid w:val="009B3A5D"/>
    <w:rsid w:val="009B4486"/>
    <w:rsid w:val="009B5775"/>
    <w:rsid w:val="009B6180"/>
    <w:rsid w:val="009B6696"/>
    <w:rsid w:val="009B6A77"/>
    <w:rsid w:val="009B6E1A"/>
    <w:rsid w:val="009B70F1"/>
    <w:rsid w:val="009B7126"/>
    <w:rsid w:val="009B7FDB"/>
    <w:rsid w:val="009C14E6"/>
    <w:rsid w:val="009C1903"/>
    <w:rsid w:val="009C1B16"/>
    <w:rsid w:val="009C2CEF"/>
    <w:rsid w:val="009C30C5"/>
    <w:rsid w:val="009C3874"/>
    <w:rsid w:val="009C398B"/>
    <w:rsid w:val="009C3C5F"/>
    <w:rsid w:val="009C4421"/>
    <w:rsid w:val="009C448E"/>
    <w:rsid w:val="009C5129"/>
    <w:rsid w:val="009C5815"/>
    <w:rsid w:val="009C7018"/>
    <w:rsid w:val="009C71FF"/>
    <w:rsid w:val="009C7C6A"/>
    <w:rsid w:val="009C7EED"/>
    <w:rsid w:val="009D06C5"/>
    <w:rsid w:val="009D1085"/>
    <w:rsid w:val="009D2385"/>
    <w:rsid w:val="009D25D3"/>
    <w:rsid w:val="009D2709"/>
    <w:rsid w:val="009D2A50"/>
    <w:rsid w:val="009D2F67"/>
    <w:rsid w:val="009D302D"/>
    <w:rsid w:val="009D33D6"/>
    <w:rsid w:val="009D3C12"/>
    <w:rsid w:val="009D4A1A"/>
    <w:rsid w:val="009D501C"/>
    <w:rsid w:val="009D647F"/>
    <w:rsid w:val="009D7263"/>
    <w:rsid w:val="009D7285"/>
    <w:rsid w:val="009E1948"/>
    <w:rsid w:val="009E1A07"/>
    <w:rsid w:val="009E2468"/>
    <w:rsid w:val="009E32AC"/>
    <w:rsid w:val="009E39CA"/>
    <w:rsid w:val="009E3A57"/>
    <w:rsid w:val="009E40F4"/>
    <w:rsid w:val="009E4C2E"/>
    <w:rsid w:val="009E604F"/>
    <w:rsid w:val="009E7888"/>
    <w:rsid w:val="009E794D"/>
    <w:rsid w:val="009E7B5E"/>
    <w:rsid w:val="009E7D12"/>
    <w:rsid w:val="009E7DC9"/>
    <w:rsid w:val="009F0149"/>
    <w:rsid w:val="009F0BCC"/>
    <w:rsid w:val="009F0F6E"/>
    <w:rsid w:val="009F1132"/>
    <w:rsid w:val="009F14AE"/>
    <w:rsid w:val="009F17DC"/>
    <w:rsid w:val="009F23B8"/>
    <w:rsid w:val="009F3388"/>
    <w:rsid w:val="009F40D4"/>
    <w:rsid w:val="009F4434"/>
    <w:rsid w:val="009F4E24"/>
    <w:rsid w:val="009F4E43"/>
    <w:rsid w:val="009F5286"/>
    <w:rsid w:val="009F6927"/>
    <w:rsid w:val="009F7230"/>
    <w:rsid w:val="00A0025F"/>
    <w:rsid w:val="00A003D0"/>
    <w:rsid w:val="00A01152"/>
    <w:rsid w:val="00A03127"/>
    <w:rsid w:val="00A04145"/>
    <w:rsid w:val="00A05321"/>
    <w:rsid w:val="00A06E81"/>
    <w:rsid w:val="00A074A1"/>
    <w:rsid w:val="00A10791"/>
    <w:rsid w:val="00A10BAB"/>
    <w:rsid w:val="00A11354"/>
    <w:rsid w:val="00A11412"/>
    <w:rsid w:val="00A11E3C"/>
    <w:rsid w:val="00A129DC"/>
    <w:rsid w:val="00A14A95"/>
    <w:rsid w:val="00A151CE"/>
    <w:rsid w:val="00A1560A"/>
    <w:rsid w:val="00A161C3"/>
    <w:rsid w:val="00A163B4"/>
    <w:rsid w:val="00A16BD6"/>
    <w:rsid w:val="00A16E61"/>
    <w:rsid w:val="00A16EAF"/>
    <w:rsid w:val="00A17A12"/>
    <w:rsid w:val="00A208F8"/>
    <w:rsid w:val="00A21500"/>
    <w:rsid w:val="00A21C19"/>
    <w:rsid w:val="00A21C2D"/>
    <w:rsid w:val="00A22326"/>
    <w:rsid w:val="00A240F3"/>
    <w:rsid w:val="00A242D8"/>
    <w:rsid w:val="00A245CA"/>
    <w:rsid w:val="00A24862"/>
    <w:rsid w:val="00A26397"/>
    <w:rsid w:val="00A264D5"/>
    <w:rsid w:val="00A26B51"/>
    <w:rsid w:val="00A2713D"/>
    <w:rsid w:val="00A303B4"/>
    <w:rsid w:val="00A317AC"/>
    <w:rsid w:val="00A3230C"/>
    <w:rsid w:val="00A32B16"/>
    <w:rsid w:val="00A3327B"/>
    <w:rsid w:val="00A334B2"/>
    <w:rsid w:val="00A335C6"/>
    <w:rsid w:val="00A3363A"/>
    <w:rsid w:val="00A33ABD"/>
    <w:rsid w:val="00A34017"/>
    <w:rsid w:val="00A35397"/>
    <w:rsid w:val="00A3684C"/>
    <w:rsid w:val="00A36941"/>
    <w:rsid w:val="00A36FAB"/>
    <w:rsid w:val="00A37224"/>
    <w:rsid w:val="00A37AAA"/>
    <w:rsid w:val="00A407E7"/>
    <w:rsid w:val="00A40A78"/>
    <w:rsid w:val="00A421FC"/>
    <w:rsid w:val="00A4316F"/>
    <w:rsid w:val="00A44E22"/>
    <w:rsid w:val="00A451A4"/>
    <w:rsid w:val="00A46105"/>
    <w:rsid w:val="00A461F2"/>
    <w:rsid w:val="00A4626F"/>
    <w:rsid w:val="00A4658C"/>
    <w:rsid w:val="00A465D0"/>
    <w:rsid w:val="00A46C70"/>
    <w:rsid w:val="00A477C7"/>
    <w:rsid w:val="00A502EE"/>
    <w:rsid w:val="00A50F93"/>
    <w:rsid w:val="00A51D57"/>
    <w:rsid w:val="00A5415D"/>
    <w:rsid w:val="00A544D1"/>
    <w:rsid w:val="00A54876"/>
    <w:rsid w:val="00A54D77"/>
    <w:rsid w:val="00A5533D"/>
    <w:rsid w:val="00A553DB"/>
    <w:rsid w:val="00A55B79"/>
    <w:rsid w:val="00A56DC4"/>
    <w:rsid w:val="00A5744A"/>
    <w:rsid w:val="00A6026F"/>
    <w:rsid w:val="00A605F6"/>
    <w:rsid w:val="00A60E15"/>
    <w:rsid w:val="00A6180F"/>
    <w:rsid w:val="00A6218A"/>
    <w:rsid w:val="00A62889"/>
    <w:rsid w:val="00A6379A"/>
    <w:rsid w:val="00A63928"/>
    <w:rsid w:val="00A63C77"/>
    <w:rsid w:val="00A63C9B"/>
    <w:rsid w:val="00A648BE"/>
    <w:rsid w:val="00A64D1C"/>
    <w:rsid w:val="00A65520"/>
    <w:rsid w:val="00A65D46"/>
    <w:rsid w:val="00A66BB0"/>
    <w:rsid w:val="00A66ED7"/>
    <w:rsid w:val="00A672FC"/>
    <w:rsid w:val="00A677F7"/>
    <w:rsid w:val="00A678C7"/>
    <w:rsid w:val="00A71D71"/>
    <w:rsid w:val="00A7251C"/>
    <w:rsid w:val="00A72843"/>
    <w:rsid w:val="00A72C9D"/>
    <w:rsid w:val="00A72DD9"/>
    <w:rsid w:val="00A73497"/>
    <w:rsid w:val="00A73A60"/>
    <w:rsid w:val="00A7491D"/>
    <w:rsid w:val="00A7493F"/>
    <w:rsid w:val="00A74A5B"/>
    <w:rsid w:val="00A74D8D"/>
    <w:rsid w:val="00A760EA"/>
    <w:rsid w:val="00A766E3"/>
    <w:rsid w:val="00A80B09"/>
    <w:rsid w:val="00A8111E"/>
    <w:rsid w:val="00A8210B"/>
    <w:rsid w:val="00A82257"/>
    <w:rsid w:val="00A826BF"/>
    <w:rsid w:val="00A82EB2"/>
    <w:rsid w:val="00A8370A"/>
    <w:rsid w:val="00A84808"/>
    <w:rsid w:val="00A848B0"/>
    <w:rsid w:val="00A84AE9"/>
    <w:rsid w:val="00A84FFA"/>
    <w:rsid w:val="00A85342"/>
    <w:rsid w:val="00A8739A"/>
    <w:rsid w:val="00A87931"/>
    <w:rsid w:val="00A87CDF"/>
    <w:rsid w:val="00A90C2F"/>
    <w:rsid w:val="00A90D47"/>
    <w:rsid w:val="00A916B4"/>
    <w:rsid w:val="00A91CA2"/>
    <w:rsid w:val="00A92234"/>
    <w:rsid w:val="00A92470"/>
    <w:rsid w:val="00A93907"/>
    <w:rsid w:val="00A9524A"/>
    <w:rsid w:val="00A95470"/>
    <w:rsid w:val="00A9607B"/>
    <w:rsid w:val="00A9660E"/>
    <w:rsid w:val="00A97727"/>
    <w:rsid w:val="00AA0072"/>
    <w:rsid w:val="00AA031D"/>
    <w:rsid w:val="00AA0826"/>
    <w:rsid w:val="00AA24B8"/>
    <w:rsid w:val="00AA34E3"/>
    <w:rsid w:val="00AA39B3"/>
    <w:rsid w:val="00AA4191"/>
    <w:rsid w:val="00AA4F92"/>
    <w:rsid w:val="00AA566F"/>
    <w:rsid w:val="00AA5BD7"/>
    <w:rsid w:val="00AA628D"/>
    <w:rsid w:val="00AA6A0D"/>
    <w:rsid w:val="00AA6CBA"/>
    <w:rsid w:val="00AA71E1"/>
    <w:rsid w:val="00AB0727"/>
    <w:rsid w:val="00AB111B"/>
    <w:rsid w:val="00AB12D2"/>
    <w:rsid w:val="00AB1420"/>
    <w:rsid w:val="00AB2A5D"/>
    <w:rsid w:val="00AB2F09"/>
    <w:rsid w:val="00AB30D0"/>
    <w:rsid w:val="00AB3176"/>
    <w:rsid w:val="00AB4139"/>
    <w:rsid w:val="00AB496B"/>
    <w:rsid w:val="00AB4D82"/>
    <w:rsid w:val="00AB4E2F"/>
    <w:rsid w:val="00AB57CD"/>
    <w:rsid w:val="00AB599F"/>
    <w:rsid w:val="00AB6E39"/>
    <w:rsid w:val="00AB7481"/>
    <w:rsid w:val="00AB783C"/>
    <w:rsid w:val="00AC0545"/>
    <w:rsid w:val="00AC0A2A"/>
    <w:rsid w:val="00AC109B"/>
    <w:rsid w:val="00AC1186"/>
    <w:rsid w:val="00AC11EF"/>
    <w:rsid w:val="00AC25F5"/>
    <w:rsid w:val="00AC2858"/>
    <w:rsid w:val="00AC3050"/>
    <w:rsid w:val="00AC37B5"/>
    <w:rsid w:val="00AC397A"/>
    <w:rsid w:val="00AC3D1C"/>
    <w:rsid w:val="00AC4269"/>
    <w:rsid w:val="00AC4968"/>
    <w:rsid w:val="00AC49A9"/>
    <w:rsid w:val="00AC4CAE"/>
    <w:rsid w:val="00AC6443"/>
    <w:rsid w:val="00AC66FE"/>
    <w:rsid w:val="00AC6A4F"/>
    <w:rsid w:val="00AC7450"/>
    <w:rsid w:val="00AC7A23"/>
    <w:rsid w:val="00AC7D8D"/>
    <w:rsid w:val="00AD0774"/>
    <w:rsid w:val="00AD1A89"/>
    <w:rsid w:val="00AD460C"/>
    <w:rsid w:val="00AD4634"/>
    <w:rsid w:val="00AD4B71"/>
    <w:rsid w:val="00AD6F90"/>
    <w:rsid w:val="00AD71DA"/>
    <w:rsid w:val="00AD76EA"/>
    <w:rsid w:val="00AD7F78"/>
    <w:rsid w:val="00AE0B6E"/>
    <w:rsid w:val="00AE0DD6"/>
    <w:rsid w:val="00AE1448"/>
    <w:rsid w:val="00AE206D"/>
    <w:rsid w:val="00AE2D70"/>
    <w:rsid w:val="00AE3F77"/>
    <w:rsid w:val="00AE4402"/>
    <w:rsid w:val="00AE56CB"/>
    <w:rsid w:val="00AE5982"/>
    <w:rsid w:val="00AE604A"/>
    <w:rsid w:val="00AE62F1"/>
    <w:rsid w:val="00AE6C1A"/>
    <w:rsid w:val="00AE6CE4"/>
    <w:rsid w:val="00AE712D"/>
    <w:rsid w:val="00AE7A8B"/>
    <w:rsid w:val="00AE7F0A"/>
    <w:rsid w:val="00AF01E0"/>
    <w:rsid w:val="00AF0A8E"/>
    <w:rsid w:val="00AF0F87"/>
    <w:rsid w:val="00AF1945"/>
    <w:rsid w:val="00AF1A8E"/>
    <w:rsid w:val="00AF1C0B"/>
    <w:rsid w:val="00AF2BDC"/>
    <w:rsid w:val="00AF335D"/>
    <w:rsid w:val="00AF3515"/>
    <w:rsid w:val="00AF36A1"/>
    <w:rsid w:val="00AF37F4"/>
    <w:rsid w:val="00AF3A6C"/>
    <w:rsid w:val="00AF5706"/>
    <w:rsid w:val="00AF57BB"/>
    <w:rsid w:val="00AF5B70"/>
    <w:rsid w:val="00AF5BB8"/>
    <w:rsid w:val="00AF5C53"/>
    <w:rsid w:val="00AF5E11"/>
    <w:rsid w:val="00AF62B9"/>
    <w:rsid w:val="00AF716E"/>
    <w:rsid w:val="00AF780B"/>
    <w:rsid w:val="00B01D5A"/>
    <w:rsid w:val="00B0208E"/>
    <w:rsid w:val="00B02879"/>
    <w:rsid w:val="00B02B79"/>
    <w:rsid w:val="00B02E03"/>
    <w:rsid w:val="00B03372"/>
    <w:rsid w:val="00B0441D"/>
    <w:rsid w:val="00B04BDE"/>
    <w:rsid w:val="00B04DB7"/>
    <w:rsid w:val="00B058DD"/>
    <w:rsid w:val="00B0718D"/>
    <w:rsid w:val="00B07501"/>
    <w:rsid w:val="00B07647"/>
    <w:rsid w:val="00B07C6E"/>
    <w:rsid w:val="00B07FD6"/>
    <w:rsid w:val="00B07FF1"/>
    <w:rsid w:val="00B10804"/>
    <w:rsid w:val="00B11148"/>
    <w:rsid w:val="00B11481"/>
    <w:rsid w:val="00B1295B"/>
    <w:rsid w:val="00B132C8"/>
    <w:rsid w:val="00B1384F"/>
    <w:rsid w:val="00B13FD0"/>
    <w:rsid w:val="00B143B3"/>
    <w:rsid w:val="00B14BC9"/>
    <w:rsid w:val="00B15B16"/>
    <w:rsid w:val="00B15F5C"/>
    <w:rsid w:val="00B16E25"/>
    <w:rsid w:val="00B170D6"/>
    <w:rsid w:val="00B17BFD"/>
    <w:rsid w:val="00B20240"/>
    <w:rsid w:val="00B211A6"/>
    <w:rsid w:val="00B21474"/>
    <w:rsid w:val="00B222AE"/>
    <w:rsid w:val="00B22428"/>
    <w:rsid w:val="00B22E82"/>
    <w:rsid w:val="00B231F9"/>
    <w:rsid w:val="00B235A1"/>
    <w:rsid w:val="00B23EAB"/>
    <w:rsid w:val="00B24056"/>
    <w:rsid w:val="00B24A48"/>
    <w:rsid w:val="00B2502D"/>
    <w:rsid w:val="00B25112"/>
    <w:rsid w:val="00B25579"/>
    <w:rsid w:val="00B25E85"/>
    <w:rsid w:val="00B2645B"/>
    <w:rsid w:val="00B265EF"/>
    <w:rsid w:val="00B26BB7"/>
    <w:rsid w:val="00B26F9D"/>
    <w:rsid w:val="00B27FB7"/>
    <w:rsid w:val="00B30FA5"/>
    <w:rsid w:val="00B3277D"/>
    <w:rsid w:val="00B33944"/>
    <w:rsid w:val="00B33FDE"/>
    <w:rsid w:val="00B34296"/>
    <w:rsid w:val="00B34641"/>
    <w:rsid w:val="00B34894"/>
    <w:rsid w:val="00B352EC"/>
    <w:rsid w:val="00B35B8C"/>
    <w:rsid w:val="00B365E8"/>
    <w:rsid w:val="00B4003C"/>
    <w:rsid w:val="00B40C34"/>
    <w:rsid w:val="00B415B2"/>
    <w:rsid w:val="00B422B4"/>
    <w:rsid w:val="00B424C3"/>
    <w:rsid w:val="00B42A3A"/>
    <w:rsid w:val="00B43458"/>
    <w:rsid w:val="00B43FDA"/>
    <w:rsid w:val="00B448AC"/>
    <w:rsid w:val="00B455F8"/>
    <w:rsid w:val="00B45878"/>
    <w:rsid w:val="00B45925"/>
    <w:rsid w:val="00B46B68"/>
    <w:rsid w:val="00B46F5D"/>
    <w:rsid w:val="00B47256"/>
    <w:rsid w:val="00B474F3"/>
    <w:rsid w:val="00B50C34"/>
    <w:rsid w:val="00B50CB2"/>
    <w:rsid w:val="00B51303"/>
    <w:rsid w:val="00B51439"/>
    <w:rsid w:val="00B51500"/>
    <w:rsid w:val="00B5174F"/>
    <w:rsid w:val="00B5182F"/>
    <w:rsid w:val="00B533AE"/>
    <w:rsid w:val="00B53B8B"/>
    <w:rsid w:val="00B53BFA"/>
    <w:rsid w:val="00B54419"/>
    <w:rsid w:val="00B54440"/>
    <w:rsid w:val="00B5541C"/>
    <w:rsid w:val="00B559AD"/>
    <w:rsid w:val="00B56E13"/>
    <w:rsid w:val="00B57036"/>
    <w:rsid w:val="00B57287"/>
    <w:rsid w:val="00B578C0"/>
    <w:rsid w:val="00B579D9"/>
    <w:rsid w:val="00B60004"/>
    <w:rsid w:val="00B60109"/>
    <w:rsid w:val="00B60BF8"/>
    <w:rsid w:val="00B61D2C"/>
    <w:rsid w:val="00B63DA1"/>
    <w:rsid w:val="00B65148"/>
    <w:rsid w:val="00B67854"/>
    <w:rsid w:val="00B67A70"/>
    <w:rsid w:val="00B701E0"/>
    <w:rsid w:val="00B719E8"/>
    <w:rsid w:val="00B7233A"/>
    <w:rsid w:val="00B72D42"/>
    <w:rsid w:val="00B741FD"/>
    <w:rsid w:val="00B75987"/>
    <w:rsid w:val="00B768AC"/>
    <w:rsid w:val="00B770BA"/>
    <w:rsid w:val="00B777CB"/>
    <w:rsid w:val="00B77910"/>
    <w:rsid w:val="00B800D5"/>
    <w:rsid w:val="00B80735"/>
    <w:rsid w:val="00B807BB"/>
    <w:rsid w:val="00B808FB"/>
    <w:rsid w:val="00B8099C"/>
    <w:rsid w:val="00B80E6A"/>
    <w:rsid w:val="00B812E2"/>
    <w:rsid w:val="00B82174"/>
    <w:rsid w:val="00B827E9"/>
    <w:rsid w:val="00B83B6B"/>
    <w:rsid w:val="00B8420F"/>
    <w:rsid w:val="00B842DD"/>
    <w:rsid w:val="00B849C6"/>
    <w:rsid w:val="00B85424"/>
    <w:rsid w:val="00B858BF"/>
    <w:rsid w:val="00B85D19"/>
    <w:rsid w:val="00B85D3E"/>
    <w:rsid w:val="00B85D60"/>
    <w:rsid w:val="00B86A1D"/>
    <w:rsid w:val="00B86DD5"/>
    <w:rsid w:val="00B86E41"/>
    <w:rsid w:val="00B870F5"/>
    <w:rsid w:val="00B8736D"/>
    <w:rsid w:val="00B90970"/>
    <w:rsid w:val="00B916A4"/>
    <w:rsid w:val="00B9195B"/>
    <w:rsid w:val="00B91BDF"/>
    <w:rsid w:val="00B93317"/>
    <w:rsid w:val="00B9430D"/>
    <w:rsid w:val="00B950D5"/>
    <w:rsid w:val="00B9522D"/>
    <w:rsid w:val="00B963FE"/>
    <w:rsid w:val="00B9641A"/>
    <w:rsid w:val="00B96ADD"/>
    <w:rsid w:val="00B96D75"/>
    <w:rsid w:val="00B97167"/>
    <w:rsid w:val="00B972F5"/>
    <w:rsid w:val="00B97441"/>
    <w:rsid w:val="00BA06AF"/>
    <w:rsid w:val="00BA0CCF"/>
    <w:rsid w:val="00BA1FC6"/>
    <w:rsid w:val="00BA2EAA"/>
    <w:rsid w:val="00BA31DF"/>
    <w:rsid w:val="00BA3339"/>
    <w:rsid w:val="00BA3431"/>
    <w:rsid w:val="00BA3D5C"/>
    <w:rsid w:val="00BA7737"/>
    <w:rsid w:val="00BA7DB8"/>
    <w:rsid w:val="00BA7EB7"/>
    <w:rsid w:val="00BB0334"/>
    <w:rsid w:val="00BB05E2"/>
    <w:rsid w:val="00BB1592"/>
    <w:rsid w:val="00BB1F23"/>
    <w:rsid w:val="00BB235D"/>
    <w:rsid w:val="00BB2877"/>
    <w:rsid w:val="00BB324E"/>
    <w:rsid w:val="00BB3AEA"/>
    <w:rsid w:val="00BB4CCB"/>
    <w:rsid w:val="00BB64B1"/>
    <w:rsid w:val="00BB69C4"/>
    <w:rsid w:val="00BB7053"/>
    <w:rsid w:val="00BB727A"/>
    <w:rsid w:val="00BB7371"/>
    <w:rsid w:val="00BB74F6"/>
    <w:rsid w:val="00BC0528"/>
    <w:rsid w:val="00BC0EF3"/>
    <w:rsid w:val="00BC0F86"/>
    <w:rsid w:val="00BC3B04"/>
    <w:rsid w:val="00BC48BE"/>
    <w:rsid w:val="00BC53D8"/>
    <w:rsid w:val="00BC5BA2"/>
    <w:rsid w:val="00BC5BEA"/>
    <w:rsid w:val="00BC6647"/>
    <w:rsid w:val="00BD053F"/>
    <w:rsid w:val="00BD05FA"/>
    <w:rsid w:val="00BD0FDA"/>
    <w:rsid w:val="00BD21E3"/>
    <w:rsid w:val="00BD23F4"/>
    <w:rsid w:val="00BD34E7"/>
    <w:rsid w:val="00BD3AA5"/>
    <w:rsid w:val="00BD3AD1"/>
    <w:rsid w:val="00BD40A4"/>
    <w:rsid w:val="00BD47DC"/>
    <w:rsid w:val="00BD4B27"/>
    <w:rsid w:val="00BD4C22"/>
    <w:rsid w:val="00BD4D17"/>
    <w:rsid w:val="00BD4EF5"/>
    <w:rsid w:val="00BD50A3"/>
    <w:rsid w:val="00BD5740"/>
    <w:rsid w:val="00BD61D0"/>
    <w:rsid w:val="00BD635F"/>
    <w:rsid w:val="00BE0217"/>
    <w:rsid w:val="00BE08B8"/>
    <w:rsid w:val="00BE0D71"/>
    <w:rsid w:val="00BE13CB"/>
    <w:rsid w:val="00BE164F"/>
    <w:rsid w:val="00BE20B7"/>
    <w:rsid w:val="00BE22FE"/>
    <w:rsid w:val="00BE239F"/>
    <w:rsid w:val="00BE2F12"/>
    <w:rsid w:val="00BE34A7"/>
    <w:rsid w:val="00BE3B1F"/>
    <w:rsid w:val="00BE45C1"/>
    <w:rsid w:val="00BE5F9F"/>
    <w:rsid w:val="00BE694E"/>
    <w:rsid w:val="00BE72DD"/>
    <w:rsid w:val="00BE7521"/>
    <w:rsid w:val="00BF04E2"/>
    <w:rsid w:val="00BF0E0B"/>
    <w:rsid w:val="00BF1078"/>
    <w:rsid w:val="00BF1236"/>
    <w:rsid w:val="00BF1406"/>
    <w:rsid w:val="00BF1C8C"/>
    <w:rsid w:val="00BF2714"/>
    <w:rsid w:val="00BF29C6"/>
    <w:rsid w:val="00BF2D2A"/>
    <w:rsid w:val="00BF373F"/>
    <w:rsid w:val="00BF4AC9"/>
    <w:rsid w:val="00BF4F6F"/>
    <w:rsid w:val="00BF55F0"/>
    <w:rsid w:val="00BF6C3E"/>
    <w:rsid w:val="00BF7020"/>
    <w:rsid w:val="00BF73DB"/>
    <w:rsid w:val="00BF78EB"/>
    <w:rsid w:val="00BF7E36"/>
    <w:rsid w:val="00C019A9"/>
    <w:rsid w:val="00C01BBC"/>
    <w:rsid w:val="00C01CC1"/>
    <w:rsid w:val="00C02027"/>
    <w:rsid w:val="00C03541"/>
    <w:rsid w:val="00C060E7"/>
    <w:rsid w:val="00C06840"/>
    <w:rsid w:val="00C07A6C"/>
    <w:rsid w:val="00C07C31"/>
    <w:rsid w:val="00C101F5"/>
    <w:rsid w:val="00C10B43"/>
    <w:rsid w:val="00C1117B"/>
    <w:rsid w:val="00C116DD"/>
    <w:rsid w:val="00C126E5"/>
    <w:rsid w:val="00C12EB7"/>
    <w:rsid w:val="00C13548"/>
    <w:rsid w:val="00C13EF2"/>
    <w:rsid w:val="00C1450A"/>
    <w:rsid w:val="00C15290"/>
    <w:rsid w:val="00C157B7"/>
    <w:rsid w:val="00C15CCE"/>
    <w:rsid w:val="00C162CC"/>
    <w:rsid w:val="00C17138"/>
    <w:rsid w:val="00C175A0"/>
    <w:rsid w:val="00C17772"/>
    <w:rsid w:val="00C217B3"/>
    <w:rsid w:val="00C21D1A"/>
    <w:rsid w:val="00C21E3A"/>
    <w:rsid w:val="00C23CFA"/>
    <w:rsid w:val="00C243C8"/>
    <w:rsid w:val="00C2466F"/>
    <w:rsid w:val="00C246A7"/>
    <w:rsid w:val="00C25249"/>
    <w:rsid w:val="00C264A6"/>
    <w:rsid w:val="00C26B75"/>
    <w:rsid w:val="00C26F77"/>
    <w:rsid w:val="00C271BA"/>
    <w:rsid w:val="00C275AC"/>
    <w:rsid w:val="00C27C87"/>
    <w:rsid w:val="00C27C93"/>
    <w:rsid w:val="00C3029C"/>
    <w:rsid w:val="00C30E62"/>
    <w:rsid w:val="00C30EE3"/>
    <w:rsid w:val="00C31F84"/>
    <w:rsid w:val="00C32C44"/>
    <w:rsid w:val="00C35EC4"/>
    <w:rsid w:val="00C36DF9"/>
    <w:rsid w:val="00C37AF9"/>
    <w:rsid w:val="00C37F8E"/>
    <w:rsid w:val="00C40AD1"/>
    <w:rsid w:val="00C40F82"/>
    <w:rsid w:val="00C417A9"/>
    <w:rsid w:val="00C417FD"/>
    <w:rsid w:val="00C421E9"/>
    <w:rsid w:val="00C42210"/>
    <w:rsid w:val="00C43CF3"/>
    <w:rsid w:val="00C4453F"/>
    <w:rsid w:val="00C44C92"/>
    <w:rsid w:val="00C46192"/>
    <w:rsid w:val="00C46594"/>
    <w:rsid w:val="00C46803"/>
    <w:rsid w:val="00C47772"/>
    <w:rsid w:val="00C477D5"/>
    <w:rsid w:val="00C521EE"/>
    <w:rsid w:val="00C528F4"/>
    <w:rsid w:val="00C54A37"/>
    <w:rsid w:val="00C55E8D"/>
    <w:rsid w:val="00C5660D"/>
    <w:rsid w:val="00C56BBA"/>
    <w:rsid w:val="00C56E83"/>
    <w:rsid w:val="00C572DB"/>
    <w:rsid w:val="00C575E9"/>
    <w:rsid w:val="00C618BF"/>
    <w:rsid w:val="00C62483"/>
    <w:rsid w:val="00C6403F"/>
    <w:rsid w:val="00C646C0"/>
    <w:rsid w:val="00C64BEC"/>
    <w:rsid w:val="00C653ED"/>
    <w:rsid w:val="00C663B3"/>
    <w:rsid w:val="00C668AF"/>
    <w:rsid w:val="00C6730B"/>
    <w:rsid w:val="00C70722"/>
    <w:rsid w:val="00C70A56"/>
    <w:rsid w:val="00C70E78"/>
    <w:rsid w:val="00C70FF6"/>
    <w:rsid w:val="00C731D4"/>
    <w:rsid w:val="00C73664"/>
    <w:rsid w:val="00C742E2"/>
    <w:rsid w:val="00C7445C"/>
    <w:rsid w:val="00C74BA7"/>
    <w:rsid w:val="00C76799"/>
    <w:rsid w:val="00C76EE6"/>
    <w:rsid w:val="00C77A83"/>
    <w:rsid w:val="00C80C51"/>
    <w:rsid w:val="00C8267F"/>
    <w:rsid w:val="00C82A31"/>
    <w:rsid w:val="00C8374F"/>
    <w:rsid w:val="00C8478C"/>
    <w:rsid w:val="00C847D0"/>
    <w:rsid w:val="00C847D6"/>
    <w:rsid w:val="00C84954"/>
    <w:rsid w:val="00C849E4"/>
    <w:rsid w:val="00C8553A"/>
    <w:rsid w:val="00C85696"/>
    <w:rsid w:val="00C8573B"/>
    <w:rsid w:val="00C869C7"/>
    <w:rsid w:val="00C90766"/>
    <w:rsid w:val="00C90888"/>
    <w:rsid w:val="00C923E1"/>
    <w:rsid w:val="00C93267"/>
    <w:rsid w:val="00C9376E"/>
    <w:rsid w:val="00C942A0"/>
    <w:rsid w:val="00C94DDD"/>
    <w:rsid w:val="00C951D9"/>
    <w:rsid w:val="00C95477"/>
    <w:rsid w:val="00C956EE"/>
    <w:rsid w:val="00C95B98"/>
    <w:rsid w:val="00C95EFA"/>
    <w:rsid w:val="00C96643"/>
    <w:rsid w:val="00C96C5A"/>
    <w:rsid w:val="00C971AE"/>
    <w:rsid w:val="00C97252"/>
    <w:rsid w:val="00CA03F6"/>
    <w:rsid w:val="00CA0755"/>
    <w:rsid w:val="00CA0CE3"/>
    <w:rsid w:val="00CA0EAB"/>
    <w:rsid w:val="00CA1DAE"/>
    <w:rsid w:val="00CA32BF"/>
    <w:rsid w:val="00CA331C"/>
    <w:rsid w:val="00CA38DB"/>
    <w:rsid w:val="00CA3F07"/>
    <w:rsid w:val="00CA4A4E"/>
    <w:rsid w:val="00CA4C0B"/>
    <w:rsid w:val="00CA555E"/>
    <w:rsid w:val="00CA5C17"/>
    <w:rsid w:val="00CA6033"/>
    <w:rsid w:val="00CA6248"/>
    <w:rsid w:val="00CA6BD9"/>
    <w:rsid w:val="00CA74F0"/>
    <w:rsid w:val="00CB0C92"/>
    <w:rsid w:val="00CB0E2A"/>
    <w:rsid w:val="00CB1AA5"/>
    <w:rsid w:val="00CB2626"/>
    <w:rsid w:val="00CB34AD"/>
    <w:rsid w:val="00CB3971"/>
    <w:rsid w:val="00CB3AA8"/>
    <w:rsid w:val="00CB3AAC"/>
    <w:rsid w:val="00CB3E4D"/>
    <w:rsid w:val="00CB3FCC"/>
    <w:rsid w:val="00CB5E2F"/>
    <w:rsid w:val="00CB6189"/>
    <w:rsid w:val="00CB64D8"/>
    <w:rsid w:val="00CB6580"/>
    <w:rsid w:val="00CB66B1"/>
    <w:rsid w:val="00CB6748"/>
    <w:rsid w:val="00CB6818"/>
    <w:rsid w:val="00CB6A0D"/>
    <w:rsid w:val="00CB7A56"/>
    <w:rsid w:val="00CB7C79"/>
    <w:rsid w:val="00CB7EE7"/>
    <w:rsid w:val="00CC044C"/>
    <w:rsid w:val="00CC05D4"/>
    <w:rsid w:val="00CC0C8F"/>
    <w:rsid w:val="00CC0F82"/>
    <w:rsid w:val="00CC1D04"/>
    <w:rsid w:val="00CC24D7"/>
    <w:rsid w:val="00CC307C"/>
    <w:rsid w:val="00CC3616"/>
    <w:rsid w:val="00CC3935"/>
    <w:rsid w:val="00CC44DE"/>
    <w:rsid w:val="00CC44F6"/>
    <w:rsid w:val="00CC47E4"/>
    <w:rsid w:val="00CC49A9"/>
    <w:rsid w:val="00CC5531"/>
    <w:rsid w:val="00CC59FC"/>
    <w:rsid w:val="00CC5D60"/>
    <w:rsid w:val="00CC7761"/>
    <w:rsid w:val="00CD04AA"/>
    <w:rsid w:val="00CD1772"/>
    <w:rsid w:val="00CD25C3"/>
    <w:rsid w:val="00CD2A15"/>
    <w:rsid w:val="00CD2F9D"/>
    <w:rsid w:val="00CD3205"/>
    <w:rsid w:val="00CD39A6"/>
    <w:rsid w:val="00CD3B8F"/>
    <w:rsid w:val="00CD4139"/>
    <w:rsid w:val="00CD50FC"/>
    <w:rsid w:val="00CD6001"/>
    <w:rsid w:val="00CD61BA"/>
    <w:rsid w:val="00CD635D"/>
    <w:rsid w:val="00CD797C"/>
    <w:rsid w:val="00CE100C"/>
    <w:rsid w:val="00CE13E8"/>
    <w:rsid w:val="00CE149B"/>
    <w:rsid w:val="00CE2B94"/>
    <w:rsid w:val="00CE2DAC"/>
    <w:rsid w:val="00CE35C5"/>
    <w:rsid w:val="00CE37D5"/>
    <w:rsid w:val="00CE3988"/>
    <w:rsid w:val="00CE480F"/>
    <w:rsid w:val="00CE5566"/>
    <w:rsid w:val="00CE56F5"/>
    <w:rsid w:val="00CE57EA"/>
    <w:rsid w:val="00CF018D"/>
    <w:rsid w:val="00CF095C"/>
    <w:rsid w:val="00CF1412"/>
    <w:rsid w:val="00CF1E17"/>
    <w:rsid w:val="00CF23E6"/>
    <w:rsid w:val="00CF2723"/>
    <w:rsid w:val="00CF3891"/>
    <w:rsid w:val="00CF40AE"/>
    <w:rsid w:val="00CF4994"/>
    <w:rsid w:val="00CF4AE0"/>
    <w:rsid w:val="00CF4BB7"/>
    <w:rsid w:val="00CF4BF1"/>
    <w:rsid w:val="00CF5081"/>
    <w:rsid w:val="00CF6355"/>
    <w:rsid w:val="00CF6488"/>
    <w:rsid w:val="00CF77A6"/>
    <w:rsid w:val="00D001CB"/>
    <w:rsid w:val="00D008C4"/>
    <w:rsid w:val="00D02176"/>
    <w:rsid w:val="00D027A7"/>
    <w:rsid w:val="00D02970"/>
    <w:rsid w:val="00D0298C"/>
    <w:rsid w:val="00D02D54"/>
    <w:rsid w:val="00D02DD5"/>
    <w:rsid w:val="00D035F4"/>
    <w:rsid w:val="00D048EA"/>
    <w:rsid w:val="00D05100"/>
    <w:rsid w:val="00D0629E"/>
    <w:rsid w:val="00D06489"/>
    <w:rsid w:val="00D06F5B"/>
    <w:rsid w:val="00D07509"/>
    <w:rsid w:val="00D075CF"/>
    <w:rsid w:val="00D107C0"/>
    <w:rsid w:val="00D124C6"/>
    <w:rsid w:val="00D12716"/>
    <w:rsid w:val="00D12D16"/>
    <w:rsid w:val="00D12E01"/>
    <w:rsid w:val="00D13468"/>
    <w:rsid w:val="00D13D8E"/>
    <w:rsid w:val="00D144BD"/>
    <w:rsid w:val="00D151A4"/>
    <w:rsid w:val="00D15474"/>
    <w:rsid w:val="00D160D0"/>
    <w:rsid w:val="00D16176"/>
    <w:rsid w:val="00D16E65"/>
    <w:rsid w:val="00D17BCF"/>
    <w:rsid w:val="00D2048A"/>
    <w:rsid w:val="00D21113"/>
    <w:rsid w:val="00D21668"/>
    <w:rsid w:val="00D2242C"/>
    <w:rsid w:val="00D225CD"/>
    <w:rsid w:val="00D22D78"/>
    <w:rsid w:val="00D2362D"/>
    <w:rsid w:val="00D237D0"/>
    <w:rsid w:val="00D243E0"/>
    <w:rsid w:val="00D25F33"/>
    <w:rsid w:val="00D2649C"/>
    <w:rsid w:val="00D26AB2"/>
    <w:rsid w:val="00D26B39"/>
    <w:rsid w:val="00D272C3"/>
    <w:rsid w:val="00D27335"/>
    <w:rsid w:val="00D27A51"/>
    <w:rsid w:val="00D30E4F"/>
    <w:rsid w:val="00D3129F"/>
    <w:rsid w:val="00D31331"/>
    <w:rsid w:val="00D32066"/>
    <w:rsid w:val="00D32B89"/>
    <w:rsid w:val="00D34BA3"/>
    <w:rsid w:val="00D34CFB"/>
    <w:rsid w:val="00D354E0"/>
    <w:rsid w:val="00D361C5"/>
    <w:rsid w:val="00D36345"/>
    <w:rsid w:val="00D3713A"/>
    <w:rsid w:val="00D37708"/>
    <w:rsid w:val="00D37942"/>
    <w:rsid w:val="00D37D09"/>
    <w:rsid w:val="00D40B9A"/>
    <w:rsid w:val="00D40DF2"/>
    <w:rsid w:val="00D410AE"/>
    <w:rsid w:val="00D4142A"/>
    <w:rsid w:val="00D42B91"/>
    <w:rsid w:val="00D42C15"/>
    <w:rsid w:val="00D42E55"/>
    <w:rsid w:val="00D4337A"/>
    <w:rsid w:val="00D43512"/>
    <w:rsid w:val="00D44851"/>
    <w:rsid w:val="00D44B7F"/>
    <w:rsid w:val="00D45042"/>
    <w:rsid w:val="00D45CF0"/>
    <w:rsid w:val="00D46250"/>
    <w:rsid w:val="00D46B1E"/>
    <w:rsid w:val="00D47CD6"/>
    <w:rsid w:val="00D51459"/>
    <w:rsid w:val="00D534A9"/>
    <w:rsid w:val="00D544FF"/>
    <w:rsid w:val="00D545A1"/>
    <w:rsid w:val="00D54899"/>
    <w:rsid w:val="00D54960"/>
    <w:rsid w:val="00D550A6"/>
    <w:rsid w:val="00D554D9"/>
    <w:rsid w:val="00D5582B"/>
    <w:rsid w:val="00D55889"/>
    <w:rsid w:val="00D5611A"/>
    <w:rsid w:val="00D56C86"/>
    <w:rsid w:val="00D56D90"/>
    <w:rsid w:val="00D56E84"/>
    <w:rsid w:val="00D5715C"/>
    <w:rsid w:val="00D5785F"/>
    <w:rsid w:val="00D578DC"/>
    <w:rsid w:val="00D608A7"/>
    <w:rsid w:val="00D60BD4"/>
    <w:rsid w:val="00D610EF"/>
    <w:rsid w:val="00D61134"/>
    <w:rsid w:val="00D61221"/>
    <w:rsid w:val="00D61624"/>
    <w:rsid w:val="00D61D8A"/>
    <w:rsid w:val="00D620F4"/>
    <w:rsid w:val="00D622EB"/>
    <w:rsid w:val="00D62B9E"/>
    <w:rsid w:val="00D62ECB"/>
    <w:rsid w:val="00D63118"/>
    <w:rsid w:val="00D64965"/>
    <w:rsid w:val="00D64B72"/>
    <w:rsid w:val="00D65DDA"/>
    <w:rsid w:val="00D66761"/>
    <w:rsid w:val="00D67210"/>
    <w:rsid w:val="00D7143F"/>
    <w:rsid w:val="00D715BF"/>
    <w:rsid w:val="00D71CE3"/>
    <w:rsid w:val="00D724C1"/>
    <w:rsid w:val="00D729FF"/>
    <w:rsid w:val="00D7410F"/>
    <w:rsid w:val="00D74730"/>
    <w:rsid w:val="00D75FAC"/>
    <w:rsid w:val="00D77B8D"/>
    <w:rsid w:val="00D80EEF"/>
    <w:rsid w:val="00D82DE9"/>
    <w:rsid w:val="00D83BB1"/>
    <w:rsid w:val="00D83E80"/>
    <w:rsid w:val="00D84AF0"/>
    <w:rsid w:val="00D84CC3"/>
    <w:rsid w:val="00D85B85"/>
    <w:rsid w:val="00D8728F"/>
    <w:rsid w:val="00D87715"/>
    <w:rsid w:val="00D87DE6"/>
    <w:rsid w:val="00D90865"/>
    <w:rsid w:val="00D909E4"/>
    <w:rsid w:val="00D90D39"/>
    <w:rsid w:val="00D90E5F"/>
    <w:rsid w:val="00D91157"/>
    <w:rsid w:val="00D91A45"/>
    <w:rsid w:val="00D9283A"/>
    <w:rsid w:val="00D92944"/>
    <w:rsid w:val="00D92BB7"/>
    <w:rsid w:val="00D93564"/>
    <w:rsid w:val="00D949DC"/>
    <w:rsid w:val="00D94CBA"/>
    <w:rsid w:val="00D950EB"/>
    <w:rsid w:val="00D953B7"/>
    <w:rsid w:val="00D957E1"/>
    <w:rsid w:val="00D97467"/>
    <w:rsid w:val="00D9773C"/>
    <w:rsid w:val="00D97D76"/>
    <w:rsid w:val="00DA02AC"/>
    <w:rsid w:val="00DA0779"/>
    <w:rsid w:val="00DA0B11"/>
    <w:rsid w:val="00DA1726"/>
    <w:rsid w:val="00DA1824"/>
    <w:rsid w:val="00DA1ABD"/>
    <w:rsid w:val="00DA30FC"/>
    <w:rsid w:val="00DA3D63"/>
    <w:rsid w:val="00DA3D9A"/>
    <w:rsid w:val="00DA422A"/>
    <w:rsid w:val="00DA4867"/>
    <w:rsid w:val="00DA4C33"/>
    <w:rsid w:val="00DA6087"/>
    <w:rsid w:val="00DA6853"/>
    <w:rsid w:val="00DA72F3"/>
    <w:rsid w:val="00DB02CD"/>
    <w:rsid w:val="00DB16F9"/>
    <w:rsid w:val="00DB1E11"/>
    <w:rsid w:val="00DB1FB9"/>
    <w:rsid w:val="00DB2577"/>
    <w:rsid w:val="00DB264B"/>
    <w:rsid w:val="00DB33D3"/>
    <w:rsid w:val="00DB39A7"/>
    <w:rsid w:val="00DB3A00"/>
    <w:rsid w:val="00DB4B00"/>
    <w:rsid w:val="00DB4E58"/>
    <w:rsid w:val="00DB5462"/>
    <w:rsid w:val="00DB779B"/>
    <w:rsid w:val="00DB7CF4"/>
    <w:rsid w:val="00DC015F"/>
    <w:rsid w:val="00DC0730"/>
    <w:rsid w:val="00DC0859"/>
    <w:rsid w:val="00DC175C"/>
    <w:rsid w:val="00DC256B"/>
    <w:rsid w:val="00DC2AFF"/>
    <w:rsid w:val="00DC537E"/>
    <w:rsid w:val="00DC6101"/>
    <w:rsid w:val="00DC6397"/>
    <w:rsid w:val="00DC6E1F"/>
    <w:rsid w:val="00DC78B7"/>
    <w:rsid w:val="00DD0C0D"/>
    <w:rsid w:val="00DD2B7A"/>
    <w:rsid w:val="00DD30B2"/>
    <w:rsid w:val="00DD3926"/>
    <w:rsid w:val="00DD3A84"/>
    <w:rsid w:val="00DD4336"/>
    <w:rsid w:val="00DD4830"/>
    <w:rsid w:val="00DD48F4"/>
    <w:rsid w:val="00DD4B85"/>
    <w:rsid w:val="00DD50BB"/>
    <w:rsid w:val="00DD51F8"/>
    <w:rsid w:val="00DD5E18"/>
    <w:rsid w:val="00DD5FA1"/>
    <w:rsid w:val="00DD6268"/>
    <w:rsid w:val="00DD73DC"/>
    <w:rsid w:val="00DD76A1"/>
    <w:rsid w:val="00DD7C1C"/>
    <w:rsid w:val="00DE0014"/>
    <w:rsid w:val="00DE0DC3"/>
    <w:rsid w:val="00DE138D"/>
    <w:rsid w:val="00DE1E3B"/>
    <w:rsid w:val="00DE21F9"/>
    <w:rsid w:val="00DE2221"/>
    <w:rsid w:val="00DE29AE"/>
    <w:rsid w:val="00DE4377"/>
    <w:rsid w:val="00DE494A"/>
    <w:rsid w:val="00DE4CC3"/>
    <w:rsid w:val="00DE524D"/>
    <w:rsid w:val="00DE570F"/>
    <w:rsid w:val="00DE5775"/>
    <w:rsid w:val="00DE582F"/>
    <w:rsid w:val="00DE5C35"/>
    <w:rsid w:val="00DE6B57"/>
    <w:rsid w:val="00DE75F6"/>
    <w:rsid w:val="00DE763D"/>
    <w:rsid w:val="00DE7FFB"/>
    <w:rsid w:val="00DF118C"/>
    <w:rsid w:val="00DF348D"/>
    <w:rsid w:val="00DF383A"/>
    <w:rsid w:val="00DF44A4"/>
    <w:rsid w:val="00DF4914"/>
    <w:rsid w:val="00DF5B06"/>
    <w:rsid w:val="00DF7801"/>
    <w:rsid w:val="00E002E6"/>
    <w:rsid w:val="00E00488"/>
    <w:rsid w:val="00E005BB"/>
    <w:rsid w:val="00E006F7"/>
    <w:rsid w:val="00E00891"/>
    <w:rsid w:val="00E00C0B"/>
    <w:rsid w:val="00E0121F"/>
    <w:rsid w:val="00E01655"/>
    <w:rsid w:val="00E02802"/>
    <w:rsid w:val="00E02D57"/>
    <w:rsid w:val="00E02F4E"/>
    <w:rsid w:val="00E02F8D"/>
    <w:rsid w:val="00E0356F"/>
    <w:rsid w:val="00E038FA"/>
    <w:rsid w:val="00E03A99"/>
    <w:rsid w:val="00E04A1A"/>
    <w:rsid w:val="00E05486"/>
    <w:rsid w:val="00E05C70"/>
    <w:rsid w:val="00E060E6"/>
    <w:rsid w:val="00E06A36"/>
    <w:rsid w:val="00E07274"/>
    <w:rsid w:val="00E0727E"/>
    <w:rsid w:val="00E073BA"/>
    <w:rsid w:val="00E0743A"/>
    <w:rsid w:val="00E07A67"/>
    <w:rsid w:val="00E07CF3"/>
    <w:rsid w:val="00E07EA2"/>
    <w:rsid w:val="00E07ECB"/>
    <w:rsid w:val="00E1030E"/>
    <w:rsid w:val="00E10746"/>
    <w:rsid w:val="00E10874"/>
    <w:rsid w:val="00E12F5D"/>
    <w:rsid w:val="00E1438D"/>
    <w:rsid w:val="00E1579D"/>
    <w:rsid w:val="00E16730"/>
    <w:rsid w:val="00E16E9A"/>
    <w:rsid w:val="00E17765"/>
    <w:rsid w:val="00E207BE"/>
    <w:rsid w:val="00E21E69"/>
    <w:rsid w:val="00E21F5D"/>
    <w:rsid w:val="00E222FD"/>
    <w:rsid w:val="00E23DEE"/>
    <w:rsid w:val="00E2424F"/>
    <w:rsid w:val="00E25D78"/>
    <w:rsid w:val="00E26127"/>
    <w:rsid w:val="00E262E1"/>
    <w:rsid w:val="00E26F3E"/>
    <w:rsid w:val="00E27282"/>
    <w:rsid w:val="00E2742D"/>
    <w:rsid w:val="00E27A05"/>
    <w:rsid w:val="00E3001C"/>
    <w:rsid w:val="00E3058D"/>
    <w:rsid w:val="00E30EE7"/>
    <w:rsid w:val="00E315E2"/>
    <w:rsid w:val="00E3233F"/>
    <w:rsid w:val="00E32C6E"/>
    <w:rsid w:val="00E34532"/>
    <w:rsid w:val="00E34635"/>
    <w:rsid w:val="00E34AF6"/>
    <w:rsid w:val="00E34B6A"/>
    <w:rsid w:val="00E35152"/>
    <w:rsid w:val="00E36B9B"/>
    <w:rsid w:val="00E371DB"/>
    <w:rsid w:val="00E37406"/>
    <w:rsid w:val="00E37A9B"/>
    <w:rsid w:val="00E40831"/>
    <w:rsid w:val="00E41115"/>
    <w:rsid w:val="00E41263"/>
    <w:rsid w:val="00E42561"/>
    <w:rsid w:val="00E42649"/>
    <w:rsid w:val="00E42781"/>
    <w:rsid w:val="00E427C2"/>
    <w:rsid w:val="00E444A9"/>
    <w:rsid w:val="00E45288"/>
    <w:rsid w:val="00E45405"/>
    <w:rsid w:val="00E46A88"/>
    <w:rsid w:val="00E46C37"/>
    <w:rsid w:val="00E47413"/>
    <w:rsid w:val="00E50C4A"/>
    <w:rsid w:val="00E50C5F"/>
    <w:rsid w:val="00E5110F"/>
    <w:rsid w:val="00E51D3A"/>
    <w:rsid w:val="00E5218E"/>
    <w:rsid w:val="00E52463"/>
    <w:rsid w:val="00E526B9"/>
    <w:rsid w:val="00E530C5"/>
    <w:rsid w:val="00E53581"/>
    <w:rsid w:val="00E544A2"/>
    <w:rsid w:val="00E5500F"/>
    <w:rsid w:val="00E55CFD"/>
    <w:rsid w:val="00E55F05"/>
    <w:rsid w:val="00E5701B"/>
    <w:rsid w:val="00E5720F"/>
    <w:rsid w:val="00E604CD"/>
    <w:rsid w:val="00E60ADE"/>
    <w:rsid w:val="00E60CE2"/>
    <w:rsid w:val="00E611CC"/>
    <w:rsid w:val="00E619E8"/>
    <w:rsid w:val="00E6209F"/>
    <w:rsid w:val="00E624C4"/>
    <w:rsid w:val="00E6566D"/>
    <w:rsid w:val="00E65AAB"/>
    <w:rsid w:val="00E65BE7"/>
    <w:rsid w:val="00E6648D"/>
    <w:rsid w:val="00E66D51"/>
    <w:rsid w:val="00E676B3"/>
    <w:rsid w:val="00E7212D"/>
    <w:rsid w:val="00E72201"/>
    <w:rsid w:val="00E72479"/>
    <w:rsid w:val="00E7248A"/>
    <w:rsid w:val="00E72C3D"/>
    <w:rsid w:val="00E7301D"/>
    <w:rsid w:val="00E73CEA"/>
    <w:rsid w:val="00E742C6"/>
    <w:rsid w:val="00E7467E"/>
    <w:rsid w:val="00E74CF3"/>
    <w:rsid w:val="00E74D61"/>
    <w:rsid w:val="00E75A0E"/>
    <w:rsid w:val="00E77F99"/>
    <w:rsid w:val="00E80765"/>
    <w:rsid w:val="00E81060"/>
    <w:rsid w:val="00E825BF"/>
    <w:rsid w:val="00E833F7"/>
    <w:rsid w:val="00E83FFC"/>
    <w:rsid w:val="00E845F5"/>
    <w:rsid w:val="00E85DA7"/>
    <w:rsid w:val="00E85E53"/>
    <w:rsid w:val="00E87349"/>
    <w:rsid w:val="00E87A84"/>
    <w:rsid w:val="00E912AD"/>
    <w:rsid w:val="00E91328"/>
    <w:rsid w:val="00E91DED"/>
    <w:rsid w:val="00E92E7C"/>
    <w:rsid w:val="00E94F8F"/>
    <w:rsid w:val="00E94FCD"/>
    <w:rsid w:val="00E967C6"/>
    <w:rsid w:val="00E97A64"/>
    <w:rsid w:val="00EA03C3"/>
    <w:rsid w:val="00EA0FE5"/>
    <w:rsid w:val="00EA2083"/>
    <w:rsid w:val="00EA236F"/>
    <w:rsid w:val="00EA3542"/>
    <w:rsid w:val="00EA3F56"/>
    <w:rsid w:val="00EA4F15"/>
    <w:rsid w:val="00EA4F2F"/>
    <w:rsid w:val="00EA5244"/>
    <w:rsid w:val="00EA59A1"/>
    <w:rsid w:val="00EA63B5"/>
    <w:rsid w:val="00EA6A06"/>
    <w:rsid w:val="00EA6D68"/>
    <w:rsid w:val="00EB03CD"/>
    <w:rsid w:val="00EB0483"/>
    <w:rsid w:val="00EB06AE"/>
    <w:rsid w:val="00EB0EEF"/>
    <w:rsid w:val="00EB297F"/>
    <w:rsid w:val="00EB2EFA"/>
    <w:rsid w:val="00EB3BAD"/>
    <w:rsid w:val="00EB456E"/>
    <w:rsid w:val="00EB5912"/>
    <w:rsid w:val="00EB5A98"/>
    <w:rsid w:val="00EB5ADC"/>
    <w:rsid w:val="00EB5BA6"/>
    <w:rsid w:val="00EB6C7A"/>
    <w:rsid w:val="00EC0BCD"/>
    <w:rsid w:val="00EC1A73"/>
    <w:rsid w:val="00EC223A"/>
    <w:rsid w:val="00EC279E"/>
    <w:rsid w:val="00EC31C3"/>
    <w:rsid w:val="00EC3504"/>
    <w:rsid w:val="00EC3B2D"/>
    <w:rsid w:val="00EC5370"/>
    <w:rsid w:val="00EC6386"/>
    <w:rsid w:val="00EC69E5"/>
    <w:rsid w:val="00EC6A8E"/>
    <w:rsid w:val="00EC7508"/>
    <w:rsid w:val="00EC7DFD"/>
    <w:rsid w:val="00ED0452"/>
    <w:rsid w:val="00ED18FB"/>
    <w:rsid w:val="00ED2CBA"/>
    <w:rsid w:val="00ED346A"/>
    <w:rsid w:val="00ED44B9"/>
    <w:rsid w:val="00ED465D"/>
    <w:rsid w:val="00ED588F"/>
    <w:rsid w:val="00ED59AF"/>
    <w:rsid w:val="00ED59E0"/>
    <w:rsid w:val="00ED67CC"/>
    <w:rsid w:val="00ED7053"/>
    <w:rsid w:val="00EE00E5"/>
    <w:rsid w:val="00EE0E98"/>
    <w:rsid w:val="00EE15EB"/>
    <w:rsid w:val="00EE179F"/>
    <w:rsid w:val="00EE2DAE"/>
    <w:rsid w:val="00EE3350"/>
    <w:rsid w:val="00EE3536"/>
    <w:rsid w:val="00EE362C"/>
    <w:rsid w:val="00EE3F5C"/>
    <w:rsid w:val="00EE4397"/>
    <w:rsid w:val="00EE5920"/>
    <w:rsid w:val="00EE5D04"/>
    <w:rsid w:val="00EE64FE"/>
    <w:rsid w:val="00EE6502"/>
    <w:rsid w:val="00EF05D9"/>
    <w:rsid w:val="00EF0C25"/>
    <w:rsid w:val="00EF14C1"/>
    <w:rsid w:val="00EF245A"/>
    <w:rsid w:val="00EF271F"/>
    <w:rsid w:val="00EF4102"/>
    <w:rsid w:val="00EF41CB"/>
    <w:rsid w:val="00EF499A"/>
    <w:rsid w:val="00EF63A1"/>
    <w:rsid w:val="00EF71E4"/>
    <w:rsid w:val="00EF7747"/>
    <w:rsid w:val="00EF7929"/>
    <w:rsid w:val="00F00E7E"/>
    <w:rsid w:val="00F016EB"/>
    <w:rsid w:val="00F018A6"/>
    <w:rsid w:val="00F01E2C"/>
    <w:rsid w:val="00F023EB"/>
    <w:rsid w:val="00F02512"/>
    <w:rsid w:val="00F02524"/>
    <w:rsid w:val="00F04358"/>
    <w:rsid w:val="00F0535A"/>
    <w:rsid w:val="00F05EFB"/>
    <w:rsid w:val="00F0662C"/>
    <w:rsid w:val="00F06657"/>
    <w:rsid w:val="00F066C4"/>
    <w:rsid w:val="00F06821"/>
    <w:rsid w:val="00F07336"/>
    <w:rsid w:val="00F07A78"/>
    <w:rsid w:val="00F10E95"/>
    <w:rsid w:val="00F11B30"/>
    <w:rsid w:val="00F11F69"/>
    <w:rsid w:val="00F121CF"/>
    <w:rsid w:val="00F133DF"/>
    <w:rsid w:val="00F13CD1"/>
    <w:rsid w:val="00F13F51"/>
    <w:rsid w:val="00F14160"/>
    <w:rsid w:val="00F14308"/>
    <w:rsid w:val="00F15E96"/>
    <w:rsid w:val="00F16F17"/>
    <w:rsid w:val="00F16F61"/>
    <w:rsid w:val="00F20202"/>
    <w:rsid w:val="00F20327"/>
    <w:rsid w:val="00F2040D"/>
    <w:rsid w:val="00F20D67"/>
    <w:rsid w:val="00F21A6A"/>
    <w:rsid w:val="00F221FF"/>
    <w:rsid w:val="00F225F4"/>
    <w:rsid w:val="00F22801"/>
    <w:rsid w:val="00F22D4D"/>
    <w:rsid w:val="00F2315F"/>
    <w:rsid w:val="00F233BD"/>
    <w:rsid w:val="00F23953"/>
    <w:rsid w:val="00F23EAD"/>
    <w:rsid w:val="00F23F48"/>
    <w:rsid w:val="00F24212"/>
    <w:rsid w:val="00F2669C"/>
    <w:rsid w:val="00F268B1"/>
    <w:rsid w:val="00F27276"/>
    <w:rsid w:val="00F2741D"/>
    <w:rsid w:val="00F27570"/>
    <w:rsid w:val="00F2790A"/>
    <w:rsid w:val="00F27CF2"/>
    <w:rsid w:val="00F304AA"/>
    <w:rsid w:val="00F31BE3"/>
    <w:rsid w:val="00F3203D"/>
    <w:rsid w:val="00F32B2B"/>
    <w:rsid w:val="00F33075"/>
    <w:rsid w:val="00F34180"/>
    <w:rsid w:val="00F35353"/>
    <w:rsid w:val="00F353DB"/>
    <w:rsid w:val="00F3675E"/>
    <w:rsid w:val="00F36950"/>
    <w:rsid w:val="00F369DD"/>
    <w:rsid w:val="00F36D73"/>
    <w:rsid w:val="00F36DCB"/>
    <w:rsid w:val="00F3755E"/>
    <w:rsid w:val="00F406CD"/>
    <w:rsid w:val="00F416B1"/>
    <w:rsid w:val="00F424D6"/>
    <w:rsid w:val="00F42DC1"/>
    <w:rsid w:val="00F4350C"/>
    <w:rsid w:val="00F4350D"/>
    <w:rsid w:val="00F43D6C"/>
    <w:rsid w:val="00F43EC5"/>
    <w:rsid w:val="00F44FFF"/>
    <w:rsid w:val="00F45A25"/>
    <w:rsid w:val="00F46431"/>
    <w:rsid w:val="00F46AE8"/>
    <w:rsid w:val="00F4760D"/>
    <w:rsid w:val="00F47C41"/>
    <w:rsid w:val="00F50AEE"/>
    <w:rsid w:val="00F51335"/>
    <w:rsid w:val="00F515FC"/>
    <w:rsid w:val="00F51807"/>
    <w:rsid w:val="00F52284"/>
    <w:rsid w:val="00F52495"/>
    <w:rsid w:val="00F52644"/>
    <w:rsid w:val="00F53B1E"/>
    <w:rsid w:val="00F54520"/>
    <w:rsid w:val="00F545EE"/>
    <w:rsid w:val="00F54905"/>
    <w:rsid w:val="00F54E62"/>
    <w:rsid w:val="00F5500C"/>
    <w:rsid w:val="00F55F66"/>
    <w:rsid w:val="00F569AE"/>
    <w:rsid w:val="00F56ED2"/>
    <w:rsid w:val="00F5794F"/>
    <w:rsid w:val="00F57BAB"/>
    <w:rsid w:val="00F57E4C"/>
    <w:rsid w:val="00F613D0"/>
    <w:rsid w:val="00F617A0"/>
    <w:rsid w:val="00F61948"/>
    <w:rsid w:val="00F6194A"/>
    <w:rsid w:val="00F62E78"/>
    <w:rsid w:val="00F635BF"/>
    <w:rsid w:val="00F63A20"/>
    <w:rsid w:val="00F63C4C"/>
    <w:rsid w:val="00F63D75"/>
    <w:rsid w:val="00F63E73"/>
    <w:rsid w:val="00F644EC"/>
    <w:rsid w:val="00F64ED1"/>
    <w:rsid w:val="00F66A06"/>
    <w:rsid w:val="00F678D1"/>
    <w:rsid w:val="00F705C5"/>
    <w:rsid w:val="00F70E28"/>
    <w:rsid w:val="00F71126"/>
    <w:rsid w:val="00F73C3A"/>
    <w:rsid w:val="00F74355"/>
    <w:rsid w:val="00F7487A"/>
    <w:rsid w:val="00F74B52"/>
    <w:rsid w:val="00F754A3"/>
    <w:rsid w:val="00F757C7"/>
    <w:rsid w:val="00F75867"/>
    <w:rsid w:val="00F77339"/>
    <w:rsid w:val="00F77888"/>
    <w:rsid w:val="00F812FA"/>
    <w:rsid w:val="00F8198D"/>
    <w:rsid w:val="00F8381E"/>
    <w:rsid w:val="00F8427F"/>
    <w:rsid w:val="00F84750"/>
    <w:rsid w:val="00F848C6"/>
    <w:rsid w:val="00F85067"/>
    <w:rsid w:val="00F85B25"/>
    <w:rsid w:val="00F86052"/>
    <w:rsid w:val="00F86BE5"/>
    <w:rsid w:val="00F86F45"/>
    <w:rsid w:val="00F900DC"/>
    <w:rsid w:val="00F91BD3"/>
    <w:rsid w:val="00F93119"/>
    <w:rsid w:val="00F956B2"/>
    <w:rsid w:val="00F960DC"/>
    <w:rsid w:val="00F961A0"/>
    <w:rsid w:val="00F96555"/>
    <w:rsid w:val="00F96C84"/>
    <w:rsid w:val="00F96D84"/>
    <w:rsid w:val="00F97852"/>
    <w:rsid w:val="00FA0091"/>
    <w:rsid w:val="00FA0185"/>
    <w:rsid w:val="00FA13B6"/>
    <w:rsid w:val="00FA168B"/>
    <w:rsid w:val="00FA1A58"/>
    <w:rsid w:val="00FA2532"/>
    <w:rsid w:val="00FA289D"/>
    <w:rsid w:val="00FA2A06"/>
    <w:rsid w:val="00FA2F23"/>
    <w:rsid w:val="00FA4477"/>
    <w:rsid w:val="00FA4A8D"/>
    <w:rsid w:val="00FA537B"/>
    <w:rsid w:val="00FA5602"/>
    <w:rsid w:val="00FA5B15"/>
    <w:rsid w:val="00FA5E59"/>
    <w:rsid w:val="00FA60BB"/>
    <w:rsid w:val="00FA7E27"/>
    <w:rsid w:val="00FB04DA"/>
    <w:rsid w:val="00FB061D"/>
    <w:rsid w:val="00FB19F5"/>
    <w:rsid w:val="00FB210F"/>
    <w:rsid w:val="00FB2C0C"/>
    <w:rsid w:val="00FB2D33"/>
    <w:rsid w:val="00FB4FB4"/>
    <w:rsid w:val="00FB607F"/>
    <w:rsid w:val="00FB614E"/>
    <w:rsid w:val="00FB65B9"/>
    <w:rsid w:val="00FB71AB"/>
    <w:rsid w:val="00FB7AC7"/>
    <w:rsid w:val="00FC0D6B"/>
    <w:rsid w:val="00FC2128"/>
    <w:rsid w:val="00FC2B09"/>
    <w:rsid w:val="00FC2BDC"/>
    <w:rsid w:val="00FC2BFB"/>
    <w:rsid w:val="00FC4193"/>
    <w:rsid w:val="00FC50D9"/>
    <w:rsid w:val="00FC5A3F"/>
    <w:rsid w:val="00FC5EB0"/>
    <w:rsid w:val="00FC6A7C"/>
    <w:rsid w:val="00FC7271"/>
    <w:rsid w:val="00FD035E"/>
    <w:rsid w:val="00FD0949"/>
    <w:rsid w:val="00FD0B7C"/>
    <w:rsid w:val="00FD1389"/>
    <w:rsid w:val="00FD4831"/>
    <w:rsid w:val="00FD48BB"/>
    <w:rsid w:val="00FD4B1D"/>
    <w:rsid w:val="00FD54D5"/>
    <w:rsid w:val="00FD6167"/>
    <w:rsid w:val="00FD6799"/>
    <w:rsid w:val="00FD67BC"/>
    <w:rsid w:val="00FD6A1C"/>
    <w:rsid w:val="00FD6C3A"/>
    <w:rsid w:val="00FD7E91"/>
    <w:rsid w:val="00FE0062"/>
    <w:rsid w:val="00FE0F6F"/>
    <w:rsid w:val="00FE1110"/>
    <w:rsid w:val="00FE11FA"/>
    <w:rsid w:val="00FE31BD"/>
    <w:rsid w:val="00FE36F0"/>
    <w:rsid w:val="00FE44AE"/>
    <w:rsid w:val="00FE4E7F"/>
    <w:rsid w:val="00FE5A55"/>
    <w:rsid w:val="00FE5C8E"/>
    <w:rsid w:val="00FE5F32"/>
    <w:rsid w:val="00FE6D53"/>
    <w:rsid w:val="00FE7360"/>
    <w:rsid w:val="00FE7B59"/>
    <w:rsid w:val="00FF0156"/>
    <w:rsid w:val="00FF0338"/>
    <w:rsid w:val="00FF121D"/>
    <w:rsid w:val="00FF1826"/>
    <w:rsid w:val="00FF1B0F"/>
    <w:rsid w:val="00FF29D2"/>
    <w:rsid w:val="00FF51F7"/>
    <w:rsid w:val="00FF65DA"/>
    <w:rsid w:val="0B617FE7"/>
    <w:rsid w:val="0B7326B2"/>
    <w:rsid w:val="0E4979C9"/>
    <w:rsid w:val="0F0715EA"/>
    <w:rsid w:val="0F54D902"/>
    <w:rsid w:val="1CD75AEA"/>
    <w:rsid w:val="1F6AE5D7"/>
    <w:rsid w:val="212A59DF"/>
    <w:rsid w:val="2249734A"/>
    <w:rsid w:val="279F66E5"/>
    <w:rsid w:val="291A6CB6"/>
    <w:rsid w:val="2DA4D4AB"/>
    <w:rsid w:val="36A90D1D"/>
    <w:rsid w:val="36C126C0"/>
    <w:rsid w:val="37C743D2"/>
    <w:rsid w:val="39E0FCA9"/>
    <w:rsid w:val="3B04F42A"/>
    <w:rsid w:val="3EF4600C"/>
    <w:rsid w:val="3F4589E5"/>
    <w:rsid w:val="41396A64"/>
    <w:rsid w:val="4201F4CE"/>
    <w:rsid w:val="43F76C25"/>
    <w:rsid w:val="49CE5ED6"/>
    <w:rsid w:val="4C7D6F8F"/>
    <w:rsid w:val="4D54595C"/>
    <w:rsid w:val="4D9A2882"/>
    <w:rsid w:val="511F01DA"/>
    <w:rsid w:val="56C6B6CD"/>
    <w:rsid w:val="5831B67B"/>
    <w:rsid w:val="5AFFBAF2"/>
    <w:rsid w:val="62F64503"/>
    <w:rsid w:val="697470D9"/>
    <w:rsid w:val="69A5905C"/>
    <w:rsid w:val="6BEF61C4"/>
    <w:rsid w:val="7022DD55"/>
    <w:rsid w:val="7615B6A2"/>
    <w:rsid w:val="76EB5EDE"/>
    <w:rsid w:val="7789EA91"/>
    <w:rsid w:val="77F6C118"/>
    <w:rsid w:val="78846E7A"/>
    <w:rsid w:val="7E8217D6"/>
  </w:rsids>
  <m:mathPr>
    <m:mathFont m:val="Cambria Math"/>
    <m:brkBin m:val="before"/>
    <m:brkBinSub m:val="--"/>
    <m:smallFrac m:val="0"/>
    <m:dispDef/>
    <m:lMargin m:val="0"/>
    <m:rMargin m:val="0"/>
    <m:defJc m:val="centerGroup"/>
    <m:wrapIndent m:val="1440"/>
    <m:intLim m:val="subSup"/>
    <m:naryLim m:val="undOvr"/>
  </m:mathPr>
  <w:themeFontLang w:val="sr-Latn-B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63BD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r-Latn-B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94E"/>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D302D"/>
    <w:pPr>
      <w:keepNext/>
      <w:keepLines/>
      <w:spacing w:before="360" w:after="80"/>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unhideWhenUsed/>
    <w:qFormat/>
    <w:rsid w:val="009D302D"/>
    <w:pPr>
      <w:keepNext/>
      <w:keepLines/>
      <w:spacing w:before="160" w:after="80"/>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9D302D"/>
    <w:pPr>
      <w:keepNext/>
      <w:keepLines/>
      <w:spacing w:before="160" w:after="80"/>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9D302D"/>
    <w:pPr>
      <w:keepNext/>
      <w:keepLines/>
      <w:spacing w:before="80" w:after="40"/>
      <w:outlineLvl w:val="3"/>
    </w:pPr>
    <w:rPr>
      <w:rFonts w:eastAsiaTheme="majorEastAsia" w:cstheme="majorBidi"/>
      <w:i/>
      <w:iCs/>
      <w:color w:val="0F4761" w:themeColor="accent1" w:themeShade="BF"/>
      <w:lang w:val="en-US"/>
    </w:rPr>
  </w:style>
  <w:style w:type="paragraph" w:styleId="Heading5">
    <w:name w:val="heading 5"/>
    <w:basedOn w:val="Normal"/>
    <w:next w:val="Normal"/>
    <w:link w:val="Heading5Char"/>
    <w:uiPriority w:val="9"/>
    <w:semiHidden/>
    <w:unhideWhenUsed/>
    <w:qFormat/>
    <w:rsid w:val="009D302D"/>
    <w:pPr>
      <w:keepNext/>
      <w:keepLines/>
      <w:spacing w:before="80" w:after="40"/>
      <w:outlineLvl w:val="4"/>
    </w:pPr>
    <w:rPr>
      <w:rFonts w:eastAsiaTheme="majorEastAsia" w:cstheme="majorBidi"/>
      <w:color w:val="0F4761" w:themeColor="accent1" w:themeShade="BF"/>
      <w:lang w:val="en-US"/>
    </w:rPr>
  </w:style>
  <w:style w:type="paragraph" w:styleId="Heading6">
    <w:name w:val="heading 6"/>
    <w:basedOn w:val="Normal"/>
    <w:next w:val="Normal"/>
    <w:link w:val="Heading6Char"/>
    <w:uiPriority w:val="9"/>
    <w:semiHidden/>
    <w:unhideWhenUsed/>
    <w:qFormat/>
    <w:rsid w:val="009D302D"/>
    <w:pPr>
      <w:keepNext/>
      <w:keepLines/>
      <w:spacing w:before="4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9D302D"/>
    <w:pPr>
      <w:keepNext/>
      <w:keepLines/>
      <w:spacing w:before="4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9D302D"/>
    <w:pPr>
      <w:keepNext/>
      <w:keepLines/>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9D302D"/>
    <w:pPr>
      <w:keepNext/>
      <w:keepLines/>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0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D30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30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30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30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30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0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0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02D"/>
    <w:rPr>
      <w:rFonts w:eastAsiaTheme="majorEastAsia" w:cstheme="majorBidi"/>
      <w:color w:val="272727" w:themeColor="text1" w:themeTint="D8"/>
    </w:rPr>
  </w:style>
  <w:style w:type="paragraph" w:styleId="Title">
    <w:name w:val="Title"/>
    <w:basedOn w:val="Normal"/>
    <w:next w:val="Normal"/>
    <w:link w:val="TitleChar"/>
    <w:uiPriority w:val="10"/>
    <w:qFormat/>
    <w:rsid w:val="009D302D"/>
    <w:pPr>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9D30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02D"/>
    <w:pPr>
      <w:numPr>
        <w:ilvl w:val="1"/>
      </w:numPr>
      <w:spacing w:after="160"/>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9D30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02D"/>
    <w:pPr>
      <w:spacing w:before="160" w:after="160"/>
      <w:jc w:val="center"/>
    </w:pPr>
    <w:rPr>
      <w:i/>
      <w:iCs/>
      <w:color w:val="404040" w:themeColor="text1" w:themeTint="BF"/>
      <w:lang w:val="en-US"/>
    </w:rPr>
  </w:style>
  <w:style w:type="character" w:customStyle="1" w:styleId="QuoteChar">
    <w:name w:val="Quote Char"/>
    <w:basedOn w:val="DefaultParagraphFont"/>
    <w:link w:val="Quote"/>
    <w:uiPriority w:val="29"/>
    <w:rsid w:val="009D302D"/>
    <w:rPr>
      <w:i/>
      <w:iCs/>
      <w:color w:val="404040" w:themeColor="text1" w:themeTint="BF"/>
    </w:rPr>
  </w:style>
  <w:style w:type="paragraph" w:styleId="ListParagraph">
    <w:name w:val="List Paragraph"/>
    <w:aliases w:val="List Paragraph (numbered (a)),Bullet Points,Liste Paragraf,Citation List,Lapis Bulleted List,List Paragraph 1,List Paragraph Aktis,Párrafo de lista,Recommendation,OBC Bullet,Recommendatio,Dot pt,F5 List Paragraph,List Paragraph1,Bullets"/>
    <w:basedOn w:val="Normal"/>
    <w:link w:val="ListParagraphChar"/>
    <w:uiPriority w:val="34"/>
    <w:qFormat/>
    <w:rsid w:val="009D302D"/>
    <w:pPr>
      <w:ind w:left="720"/>
      <w:contextualSpacing/>
    </w:pPr>
    <w:rPr>
      <w:lang w:val="en-US"/>
    </w:rPr>
  </w:style>
  <w:style w:type="character" w:styleId="IntenseEmphasis">
    <w:name w:val="Intense Emphasis"/>
    <w:basedOn w:val="DefaultParagraphFont"/>
    <w:uiPriority w:val="21"/>
    <w:qFormat/>
    <w:rsid w:val="009D302D"/>
    <w:rPr>
      <w:i/>
      <w:iCs/>
      <w:color w:val="0F4761" w:themeColor="accent1" w:themeShade="BF"/>
    </w:rPr>
  </w:style>
  <w:style w:type="paragraph" w:styleId="IntenseQuote">
    <w:name w:val="Intense Quote"/>
    <w:basedOn w:val="Normal"/>
    <w:next w:val="Normal"/>
    <w:link w:val="IntenseQuoteChar"/>
    <w:uiPriority w:val="30"/>
    <w:qFormat/>
    <w:rsid w:val="009D3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US"/>
    </w:rPr>
  </w:style>
  <w:style w:type="character" w:customStyle="1" w:styleId="IntenseQuoteChar">
    <w:name w:val="Intense Quote Char"/>
    <w:basedOn w:val="DefaultParagraphFont"/>
    <w:link w:val="IntenseQuote"/>
    <w:uiPriority w:val="30"/>
    <w:rsid w:val="009D302D"/>
    <w:rPr>
      <w:i/>
      <w:iCs/>
      <w:color w:val="0F4761" w:themeColor="accent1" w:themeShade="BF"/>
    </w:rPr>
  </w:style>
  <w:style w:type="character" w:styleId="IntenseReference">
    <w:name w:val="Intense Reference"/>
    <w:basedOn w:val="DefaultParagraphFont"/>
    <w:uiPriority w:val="32"/>
    <w:qFormat/>
    <w:rsid w:val="009D302D"/>
    <w:rPr>
      <w:b/>
      <w:bCs/>
      <w:smallCaps/>
      <w:color w:val="0F4761" w:themeColor="accent1" w:themeShade="BF"/>
      <w:spacing w:val="5"/>
    </w:rPr>
  </w:style>
  <w:style w:type="paragraph" w:styleId="Footer">
    <w:name w:val="footer"/>
    <w:basedOn w:val="Normal"/>
    <w:link w:val="FooterChar"/>
    <w:uiPriority w:val="99"/>
    <w:unhideWhenUsed/>
    <w:rsid w:val="009D302D"/>
    <w:pPr>
      <w:tabs>
        <w:tab w:val="center" w:pos="4513"/>
        <w:tab w:val="right" w:pos="9026"/>
      </w:tabs>
    </w:pPr>
    <w:rPr>
      <w:lang w:val="en-US"/>
    </w:rPr>
  </w:style>
  <w:style w:type="character" w:customStyle="1" w:styleId="FooterChar">
    <w:name w:val="Footer Char"/>
    <w:basedOn w:val="DefaultParagraphFont"/>
    <w:link w:val="Footer"/>
    <w:uiPriority w:val="99"/>
    <w:rsid w:val="009D302D"/>
  </w:style>
  <w:style w:type="character" w:styleId="PageNumber">
    <w:name w:val="page number"/>
    <w:basedOn w:val="DefaultParagraphFont"/>
    <w:uiPriority w:val="99"/>
    <w:semiHidden/>
    <w:unhideWhenUsed/>
    <w:rsid w:val="009D302D"/>
  </w:style>
  <w:style w:type="paragraph" w:styleId="TOC1">
    <w:name w:val="toc 1"/>
    <w:basedOn w:val="Normal"/>
    <w:next w:val="Normal"/>
    <w:autoRedefine/>
    <w:uiPriority w:val="39"/>
    <w:unhideWhenUsed/>
    <w:rsid w:val="00C95B98"/>
    <w:pPr>
      <w:spacing w:after="100"/>
    </w:pPr>
    <w:rPr>
      <w:lang w:val="en-US"/>
    </w:rPr>
  </w:style>
  <w:style w:type="paragraph" w:styleId="TOC2">
    <w:name w:val="toc 2"/>
    <w:basedOn w:val="Normal"/>
    <w:next w:val="Normal"/>
    <w:autoRedefine/>
    <w:uiPriority w:val="39"/>
    <w:unhideWhenUsed/>
    <w:rsid w:val="00C95B98"/>
    <w:pPr>
      <w:spacing w:after="100"/>
      <w:ind w:left="240"/>
    </w:pPr>
    <w:rPr>
      <w:lang w:val="en-US"/>
    </w:rPr>
  </w:style>
  <w:style w:type="character" w:styleId="Hyperlink">
    <w:name w:val="Hyperlink"/>
    <w:basedOn w:val="DefaultParagraphFont"/>
    <w:uiPriority w:val="99"/>
    <w:unhideWhenUsed/>
    <w:rsid w:val="00C95B98"/>
    <w:rPr>
      <w:color w:val="467886" w:themeColor="hyperlink"/>
      <w:u w:val="single"/>
    </w:rPr>
  </w:style>
  <w:style w:type="paragraph" w:styleId="NormalWeb">
    <w:name w:val="Normal (Web)"/>
    <w:basedOn w:val="Normal"/>
    <w:uiPriority w:val="99"/>
    <w:unhideWhenUsed/>
    <w:rsid w:val="00A90C2F"/>
    <w:pPr>
      <w:spacing w:before="100" w:beforeAutospacing="1" w:after="100" w:afterAutospacing="1"/>
    </w:pPr>
    <w:rPr>
      <w:lang w:val="en-US"/>
    </w:rPr>
  </w:style>
  <w:style w:type="table" w:styleId="TableGrid">
    <w:name w:val="Table Grid"/>
    <w:basedOn w:val="TableNormal"/>
    <w:uiPriority w:val="39"/>
    <w:rsid w:val="001C6B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Lábjegyzet-szöveg,Footnote Text Char1,Footnote Text Blue,Footnote Text1,Char,single space,ft,footnote text Char,Tegn1,Tegn1 Char,Char Char Char,Footnote Text Char2 Char Char,Footnote Text Char Char2 Char Char, Char,footnote text,Fußnote,fn"/>
    <w:basedOn w:val="Normal"/>
    <w:link w:val="FootnoteTextChar"/>
    <w:uiPriority w:val="99"/>
    <w:unhideWhenUsed/>
    <w:qFormat/>
    <w:rsid w:val="004E6636"/>
    <w:rPr>
      <w:sz w:val="20"/>
      <w:szCs w:val="20"/>
      <w:lang w:val="en-US"/>
    </w:rPr>
  </w:style>
  <w:style w:type="character" w:customStyle="1" w:styleId="FootnoteTextChar">
    <w:name w:val="Footnote Text Char"/>
    <w:aliases w:val="Lábjegyzet-szöveg Char,Footnote Text Char1 Char,Footnote Text Blue Char,Footnote Text1 Char,Char Char,single space Char,ft Char,footnote text Char Char,Tegn1 Char1,Tegn1 Char Char,Char Char Char Char,Footnote Text Char2 Char Char Char"/>
    <w:basedOn w:val="DefaultParagraphFont"/>
    <w:link w:val="FootnoteText"/>
    <w:uiPriority w:val="99"/>
    <w:qFormat/>
    <w:rsid w:val="004E6636"/>
    <w:rPr>
      <w:sz w:val="20"/>
      <w:szCs w:val="20"/>
    </w:rPr>
  </w:style>
  <w:style w:type="character" w:styleId="FootnoteReference">
    <w:name w:val="footnote reference"/>
    <w:aliases w:val="BVI fnr,BVI fnr Car Car,BVI fnr Car,BVI fnr Car Car Car Car,BVI fnr Car Car Car Car Char,BVI fnr Zchn Char Zchn Zchn,BVI fnr Car Car Zchn Char Zchn Zchn,BVI fnr Car Zchn Char Zchn Zchn, BVI fnr, BVI fnr Car Car,ftref,16 Point,times9,f"/>
    <w:basedOn w:val="DefaultParagraphFont"/>
    <w:link w:val="Char2"/>
    <w:uiPriority w:val="99"/>
    <w:unhideWhenUsed/>
    <w:qFormat/>
    <w:rsid w:val="004E6636"/>
    <w:rPr>
      <w:vertAlign w:val="superscript"/>
    </w:rPr>
  </w:style>
  <w:style w:type="character" w:styleId="UnresolvedMention">
    <w:name w:val="Unresolved Mention"/>
    <w:basedOn w:val="DefaultParagraphFont"/>
    <w:uiPriority w:val="99"/>
    <w:semiHidden/>
    <w:unhideWhenUsed/>
    <w:rsid w:val="004E6636"/>
    <w:rPr>
      <w:color w:val="605E5C"/>
      <w:shd w:val="clear" w:color="auto" w:fill="E1DFDD"/>
    </w:rPr>
  </w:style>
  <w:style w:type="paragraph" w:customStyle="1" w:styleId="Char2">
    <w:name w:val="Char2"/>
    <w:basedOn w:val="Normal"/>
    <w:link w:val="FootnoteReference"/>
    <w:uiPriority w:val="99"/>
    <w:rsid w:val="001E148F"/>
    <w:pPr>
      <w:spacing w:after="160" w:line="240" w:lineRule="exact"/>
      <w:jc w:val="both"/>
    </w:pPr>
    <w:rPr>
      <w:vertAlign w:val="superscript"/>
      <w:lang w:val="en-US"/>
    </w:rPr>
  </w:style>
  <w:style w:type="paragraph" w:customStyle="1" w:styleId="xmsonormal">
    <w:name w:val="x_msonormal"/>
    <w:basedOn w:val="Normal"/>
    <w:rsid w:val="0020024A"/>
    <w:rPr>
      <w:rFonts w:ascii="Calibri" w:eastAsiaTheme="minorEastAsia" w:hAnsi="Calibri" w:cs="Calibri"/>
      <w:sz w:val="22"/>
      <w:szCs w:val="22"/>
      <w:lang w:val="en-GB" w:eastAsia="zh-CN"/>
    </w:rPr>
  </w:style>
  <w:style w:type="character" w:customStyle="1" w:styleId="normaltextrun">
    <w:name w:val="normaltextrun"/>
    <w:basedOn w:val="DefaultParagraphFont"/>
    <w:rsid w:val="006A7828"/>
  </w:style>
  <w:style w:type="character" w:customStyle="1" w:styleId="ListParagraphChar">
    <w:name w:val="List Paragraph Char"/>
    <w:aliases w:val="List Paragraph (numbered (a)) Char,Bullet Points Char,Liste Paragraf Char,Citation List Char,Lapis Bulleted List Char,List Paragraph 1 Char,List Paragraph Aktis Char,Párrafo de lista Char,Recommendation Char,OBC Bullet Char"/>
    <w:link w:val="ListParagraph"/>
    <w:uiPriority w:val="34"/>
    <w:qFormat/>
    <w:rsid w:val="00596C02"/>
  </w:style>
  <w:style w:type="paragraph" w:styleId="TOC3">
    <w:name w:val="toc 3"/>
    <w:basedOn w:val="Normal"/>
    <w:next w:val="Normal"/>
    <w:autoRedefine/>
    <w:uiPriority w:val="39"/>
    <w:unhideWhenUsed/>
    <w:rsid w:val="000924AE"/>
    <w:pPr>
      <w:spacing w:after="100"/>
      <w:ind w:left="480"/>
    </w:pPr>
    <w:rPr>
      <w:lang w:val="en-US"/>
    </w:rPr>
  </w:style>
  <w:style w:type="paragraph" w:customStyle="1" w:styleId="p1">
    <w:name w:val="p1"/>
    <w:basedOn w:val="Normal"/>
    <w:rsid w:val="00900980"/>
    <w:rPr>
      <w:rFonts w:ascii="Helvetica" w:hAnsi="Helvetica"/>
      <w:color w:val="000000"/>
      <w:sz w:val="17"/>
      <w:szCs w:val="17"/>
      <w:lang w:val="en-US"/>
    </w:rPr>
  </w:style>
  <w:style w:type="character" w:customStyle="1" w:styleId="apple-converted-space">
    <w:name w:val="apple-converted-space"/>
    <w:basedOn w:val="DefaultParagraphFont"/>
    <w:rsid w:val="0013445A"/>
  </w:style>
  <w:style w:type="character" w:customStyle="1" w:styleId="UnresolvedMention1">
    <w:name w:val="Unresolved Mention1"/>
    <w:basedOn w:val="DefaultParagraphFont"/>
    <w:uiPriority w:val="99"/>
    <w:semiHidden/>
    <w:unhideWhenUsed/>
    <w:rsid w:val="00EF71E4"/>
    <w:rPr>
      <w:color w:val="605E5C"/>
      <w:shd w:val="clear" w:color="auto" w:fill="E1DFDD"/>
    </w:rPr>
  </w:style>
  <w:style w:type="paragraph" w:styleId="BalloonText">
    <w:name w:val="Balloon Text"/>
    <w:basedOn w:val="Normal"/>
    <w:link w:val="BalloonTextChar"/>
    <w:uiPriority w:val="99"/>
    <w:semiHidden/>
    <w:unhideWhenUsed/>
    <w:rsid w:val="00EF71E4"/>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EF71E4"/>
    <w:rPr>
      <w:rFonts w:ascii="Tahoma" w:eastAsia="Times New Roman" w:hAnsi="Tahoma" w:cs="Tahoma"/>
      <w:kern w:val="0"/>
      <w:sz w:val="16"/>
      <w:szCs w:val="16"/>
      <w:lang w:val="en-US" w:eastAsia="en-GB"/>
      <w14:ligatures w14:val="none"/>
    </w:rPr>
  </w:style>
  <w:style w:type="character" w:customStyle="1" w:styleId="s1">
    <w:name w:val="s1"/>
    <w:basedOn w:val="DefaultParagraphFont"/>
    <w:rsid w:val="007055B5"/>
    <w:rPr>
      <w:rFonts w:ascii="Wingdings" w:hAnsi="Wingdings" w:hint="default"/>
      <w:color w:val="1A8592"/>
      <w:sz w:val="17"/>
      <w:szCs w:val="17"/>
    </w:rPr>
  </w:style>
  <w:style w:type="character" w:customStyle="1" w:styleId="s2">
    <w:name w:val="s2"/>
    <w:basedOn w:val="DefaultParagraphFont"/>
    <w:rsid w:val="007055B5"/>
    <w:rPr>
      <w:rFonts w:ascii="Arial" w:hAnsi="Arial" w:cs="Arial" w:hint="default"/>
      <w:color w:val="1A8592"/>
      <w:sz w:val="17"/>
      <w:szCs w:val="17"/>
    </w:rPr>
  </w:style>
  <w:style w:type="character" w:customStyle="1" w:styleId="s3">
    <w:name w:val="s3"/>
    <w:basedOn w:val="DefaultParagraphFont"/>
    <w:rsid w:val="007055B5"/>
    <w:rPr>
      <w:rFonts w:ascii="Times New Roman" w:hAnsi="Times New Roman" w:cs="Times New Roman" w:hint="default"/>
      <w:color w:val="15414F"/>
      <w:sz w:val="18"/>
      <w:szCs w:val="18"/>
    </w:rPr>
  </w:style>
  <w:style w:type="character" w:customStyle="1" w:styleId="s4">
    <w:name w:val="s4"/>
    <w:basedOn w:val="DefaultParagraphFont"/>
    <w:rsid w:val="007055B5"/>
    <w:rPr>
      <w:rFonts w:ascii="Arial" w:hAnsi="Arial" w:cs="Arial" w:hint="default"/>
      <w:sz w:val="17"/>
      <w:szCs w:val="17"/>
    </w:rPr>
  </w:style>
  <w:style w:type="character" w:styleId="FollowedHyperlink">
    <w:name w:val="FollowedHyperlink"/>
    <w:basedOn w:val="DefaultParagraphFont"/>
    <w:uiPriority w:val="99"/>
    <w:semiHidden/>
    <w:unhideWhenUsed/>
    <w:rsid w:val="008E1525"/>
    <w:rPr>
      <w:color w:val="96607D" w:themeColor="followedHyperlink"/>
      <w:u w:val="single"/>
    </w:rPr>
  </w:style>
  <w:style w:type="character" w:styleId="CommentReference">
    <w:name w:val="annotation reference"/>
    <w:basedOn w:val="DefaultParagraphFont"/>
    <w:uiPriority w:val="99"/>
    <w:semiHidden/>
    <w:unhideWhenUsed/>
    <w:rsid w:val="00194466"/>
    <w:rPr>
      <w:sz w:val="16"/>
      <w:szCs w:val="16"/>
    </w:rPr>
  </w:style>
  <w:style w:type="paragraph" w:styleId="CommentText">
    <w:name w:val="annotation text"/>
    <w:basedOn w:val="Normal"/>
    <w:link w:val="CommentTextChar"/>
    <w:uiPriority w:val="99"/>
    <w:unhideWhenUsed/>
    <w:rsid w:val="00194466"/>
    <w:rPr>
      <w:sz w:val="20"/>
      <w:szCs w:val="20"/>
    </w:rPr>
  </w:style>
  <w:style w:type="character" w:customStyle="1" w:styleId="CommentTextChar">
    <w:name w:val="Comment Text Char"/>
    <w:basedOn w:val="DefaultParagraphFont"/>
    <w:link w:val="CommentText"/>
    <w:uiPriority w:val="99"/>
    <w:rsid w:val="00194466"/>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194466"/>
    <w:rPr>
      <w:b/>
      <w:bCs/>
    </w:rPr>
  </w:style>
  <w:style w:type="character" w:customStyle="1" w:styleId="CommentSubjectChar">
    <w:name w:val="Comment Subject Char"/>
    <w:basedOn w:val="CommentTextChar"/>
    <w:link w:val="CommentSubject"/>
    <w:uiPriority w:val="99"/>
    <w:semiHidden/>
    <w:rsid w:val="00194466"/>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194466"/>
    <w:rPr>
      <w:rFonts w:ascii="Times New Roman" w:eastAsia="Times New Roman" w:hAnsi="Times New Roman" w:cs="Times New Roman"/>
      <w:kern w:val="0"/>
      <w:lang w:eastAsia="en-GB"/>
      <w14:ligatures w14:val="none"/>
    </w:rPr>
  </w:style>
  <w:style w:type="character" w:customStyle="1" w:styleId="hwtze">
    <w:name w:val="hwtze"/>
    <w:basedOn w:val="DefaultParagraphFont"/>
    <w:rsid w:val="004C6AA9"/>
  </w:style>
  <w:style w:type="character" w:customStyle="1" w:styleId="rynqvb">
    <w:name w:val="rynqvb"/>
    <w:basedOn w:val="DefaultParagraphFont"/>
    <w:rsid w:val="004C6AA9"/>
  </w:style>
  <w:style w:type="character" w:customStyle="1" w:styleId="material-icons-extended">
    <w:name w:val="material-icons-extended"/>
    <w:basedOn w:val="DefaultParagraphFont"/>
    <w:rsid w:val="004C6AA9"/>
  </w:style>
  <w:style w:type="paragraph" w:customStyle="1" w:styleId="Default">
    <w:name w:val="Default"/>
    <w:rsid w:val="00173A8A"/>
    <w:pPr>
      <w:autoSpaceDE w:val="0"/>
      <w:autoSpaceDN w:val="0"/>
      <w:adjustRightInd w:val="0"/>
    </w:pPr>
    <w:rPr>
      <w:rFonts w:ascii="Calibri" w:hAnsi="Calibri" w:cs="Calibri"/>
      <w:color w:val="000000"/>
      <w:kern w:val="0"/>
      <w:lang w:val="en-US"/>
      <w14:ligatures w14:val="none"/>
    </w:rPr>
  </w:style>
  <w:style w:type="paragraph" w:styleId="Header">
    <w:name w:val="header"/>
    <w:basedOn w:val="Normal"/>
    <w:link w:val="HeaderChar"/>
    <w:uiPriority w:val="99"/>
    <w:unhideWhenUsed/>
    <w:rsid w:val="00085D9B"/>
    <w:pPr>
      <w:tabs>
        <w:tab w:val="center" w:pos="4513"/>
        <w:tab w:val="right" w:pos="9026"/>
      </w:tabs>
    </w:pPr>
  </w:style>
  <w:style w:type="character" w:customStyle="1" w:styleId="HeaderChar">
    <w:name w:val="Header Char"/>
    <w:basedOn w:val="DefaultParagraphFont"/>
    <w:link w:val="Header"/>
    <w:uiPriority w:val="99"/>
    <w:rsid w:val="00085D9B"/>
    <w:rPr>
      <w:rFonts w:ascii="Times New Roman" w:eastAsia="Times New Roman" w:hAnsi="Times New Roman" w:cs="Times New Roman"/>
      <w:kern w:val="0"/>
      <w:lang w:eastAsia="en-GB"/>
      <w14:ligatures w14:val="none"/>
    </w:rPr>
  </w:style>
  <w:style w:type="paragraph" w:styleId="NoSpacing">
    <w:name w:val="No Spacing"/>
    <w:uiPriority w:val="1"/>
    <w:qFormat/>
    <w:rsid w:val="00507809"/>
    <w:rPr>
      <w:rFonts w:ascii="Times New Roman" w:eastAsia="Times New Roman" w:hAnsi="Times New Roman" w:cs="Times New Roman"/>
      <w:kern w:val="0"/>
      <w:sz w:val="20"/>
      <w:szCs w:val="20"/>
      <w:lang w:val="en-US"/>
      <w14:ligatures w14:val="none"/>
    </w:rPr>
  </w:style>
  <w:style w:type="paragraph" w:customStyle="1" w:styleId="paragraph">
    <w:name w:val="paragraph"/>
    <w:basedOn w:val="Normal"/>
    <w:rsid w:val="00507809"/>
    <w:pPr>
      <w:spacing w:before="100" w:beforeAutospacing="1" w:after="100" w:afterAutospacing="1"/>
    </w:pPr>
    <w:rPr>
      <w:lang w:val="en-US" w:eastAsia="en-US"/>
    </w:rPr>
  </w:style>
  <w:style w:type="character" w:styleId="Emphasis">
    <w:name w:val="Emphasis"/>
    <w:basedOn w:val="DefaultParagraphFont"/>
    <w:uiPriority w:val="20"/>
    <w:qFormat/>
    <w:rsid w:val="00E10746"/>
    <w:rPr>
      <w:i/>
      <w:iCs/>
    </w:rPr>
  </w:style>
  <w:style w:type="character" w:styleId="Mention">
    <w:name w:val="Mention"/>
    <w:basedOn w:val="DefaultParagraphFont"/>
    <w:uiPriority w:val="99"/>
    <w:unhideWhenUsed/>
    <w:rsid w:val="006729B9"/>
    <w:rPr>
      <w:color w:val="2B579A"/>
      <w:shd w:val="clear" w:color="auto" w:fill="E1DFDD"/>
    </w:rPr>
  </w:style>
  <w:style w:type="character" w:styleId="Strong">
    <w:name w:val="Strong"/>
    <w:basedOn w:val="DefaultParagraphFont"/>
    <w:uiPriority w:val="22"/>
    <w:qFormat/>
    <w:rsid w:val="00A317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183">
      <w:bodyDiv w:val="1"/>
      <w:marLeft w:val="0"/>
      <w:marRight w:val="0"/>
      <w:marTop w:val="0"/>
      <w:marBottom w:val="0"/>
      <w:divBdr>
        <w:top w:val="none" w:sz="0" w:space="0" w:color="auto"/>
        <w:left w:val="none" w:sz="0" w:space="0" w:color="auto"/>
        <w:bottom w:val="none" w:sz="0" w:space="0" w:color="auto"/>
        <w:right w:val="none" w:sz="0" w:space="0" w:color="auto"/>
      </w:divBdr>
    </w:div>
    <w:div w:id="61755575">
      <w:bodyDiv w:val="1"/>
      <w:marLeft w:val="0"/>
      <w:marRight w:val="0"/>
      <w:marTop w:val="0"/>
      <w:marBottom w:val="0"/>
      <w:divBdr>
        <w:top w:val="none" w:sz="0" w:space="0" w:color="auto"/>
        <w:left w:val="none" w:sz="0" w:space="0" w:color="auto"/>
        <w:bottom w:val="none" w:sz="0" w:space="0" w:color="auto"/>
        <w:right w:val="none" w:sz="0" w:space="0" w:color="auto"/>
      </w:divBdr>
    </w:div>
    <w:div w:id="77216167">
      <w:bodyDiv w:val="1"/>
      <w:marLeft w:val="0"/>
      <w:marRight w:val="0"/>
      <w:marTop w:val="0"/>
      <w:marBottom w:val="0"/>
      <w:divBdr>
        <w:top w:val="none" w:sz="0" w:space="0" w:color="auto"/>
        <w:left w:val="none" w:sz="0" w:space="0" w:color="auto"/>
        <w:bottom w:val="none" w:sz="0" w:space="0" w:color="auto"/>
        <w:right w:val="none" w:sz="0" w:space="0" w:color="auto"/>
      </w:divBdr>
    </w:div>
    <w:div w:id="99954445">
      <w:bodyDiv w:val="1"/>
      <w:marLeft w:val="0"/>
      <w:marRight w:val="0"/>
      <w:marTop w:val="0"/>
      <w:marBottom w:val="0"/>
      <w:divBdr>
        <w:top w:val="none" w:sz="0" w:space="0" w:color="auto"/>
        <w:left w:val="none" w:sz="0" w:space="0" w:color="auto"/>
        <w:bottom w:val="none" w:sz="0" w:space="0" w:color="auto"/>
        <w:right w:val="none" w:sz="0" w:space="0" w:color="auto"/>
      </w:divBdr>
    </w:div>
    <w:div w:id="102576179">
      <w:bodyDiv w:val="1"/>
      <w:marLeft w:val="0"/>
      <w:marRight w:val="0"/>
      <w:marTop w:val="0"/>
      <w:marBottom w:val="0"/>
      <w:divBdr>
        <w:top w:val="none" w:sz="0" w:space="0" w:color="auto"/>
        <w:left w:val="none" w:sz="0" w:space="0" w:color="auto"/>
        <w:bottom w:val="none" w:sz="0" w:space="0" w:color="auto"/>
        <w:right w:val="none" w:sz="0" w:space="0" w:color="auto"/>
      </w:divBdr>
      <w:divsChild>
        <w:div w:id="1192186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252716">
              <w:marLeft w:val="0"/>
              <w:marRight w:val="0"/>
              <w:marTop w:val="0"/>
              <w:marBottom w:val="0"/>
              <w:divBdr>
                <w:top w:val="none" w:sz="0" w:space="0" w:color="auto"/>
                <w:left w:val="none" w:sz="0" w:space="0" w:color="auto"/>
                <w:bottom w:val="none" w:sz="0" w:space="0" w:color="auto"/>
                <w:right w:val="none" w:sz="0" w:space="0" w:color="auto"/>
              </w:divBdr>
              <w:divsChild>
                <w:div w:id="1755474925">
                  <w:marLeft w:val="0"/>
                  <w:marRight w:val="0"/>
                  <w:marTop w:val="0"/>
                  <w:marBottom w:val="0"/>
                  <w:divBdr>
                    <w:top w:val="none" w:sz="0" w:space="0" w:color="auto"/>
                    <w:left w:val="none" w:sz="0" w:space="0" w:color="auto"/>
                    <w:bottom w:val="none" w:sz="0" w:space="0" w:color="auto"/>
                    <w:right w:val="none" w:sz="0" w:space="0" w:color="auto"/>
                  </w:divBdr>
                  <w:divsChild>
                    <w:div w:id="363988314">
                      <w:marLeft w:val="0"/>
                      <w:marRight w:val="0"/>
                      <w:marTop w:val="0"/>
                      <w:marBottom w:val="0"/>
                      <w:divBdr>
                        <w:top w:val="none" w:sz="0" w:space="0" w:color="auto"/>
                        <w:left w:val="none" w:sz="0" w:space="0" w:color="auto"/>
                        <w:bottom w:val="none" w:sz="0" w:space="0" w:color="auto"/>
                        <w:right w:val="none" w:sz="0" w:space="0" w:color="auto"/>
                      </w:divBdr>
                      <w:divsChild>
                        <w:div w:id="2095129580">
                          <w:marLeft w:val="0"/>
                          <w:marRight w:val="0"/>
                          <w:marTop w:val="0"/>
                          <w:marBottom w:val="0"/>
                          <w:divBdr>
                            <w:top w:val="none" w:sz="0" w:space="0" w:color="auto"/>
                            <w:left w:val="none" w:sz="0" w:space="0" w:color="auto"/>
                            <w:bottom w:val="none" w:sz="0" w:space="0" w:color="auto"/>
                            <w:right w:val="none" w:sz="0" w:space="0" w:color="auto"/>
                          </w:divBdr>
                          <w:divsChild>
                            <w:div w:id="189414290">
                              <w:marLeft w:val="0"/>
                              <w:marRight w:val="0"/>
                              <w:marTop w:val="0"/>
                              <w:marBottom w:val="0"/>
                              <w:divBdr>
                                <w:top w:val="none" w:sz="0" w:space="0" w:color="auto"/>
                                <w:left w:val="none" w:sz="0" w:space="0" w:color="auto"/>
                                <w:bottom w:val="none" w:sz="0" w:space="0" w:color="auto"/>
                                <w:right w:val="none" w:sz="0" w:space="0" w:color="auto"/>
                              </w:divBdr>
                              <w:divsChild>
                                <w:div w:id="108364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788958">
      <w:bodyDiv w:val="1"/>
      <w:marLeft w:val="0"/>
      <w:marRight w:val="0"/>
      <w:marTop w:val="0"/>
      <w:marBottom w:val="0"/>
      <w:divBdr>
        <w:top w:val="none" w:sz="0" w:space="0" w:color="auto"/>
        <w:left w:val="none" w:sz="0" w:space="0" w:color="auto"/>
        <w:bottom w:val="none" w:sz="0" w:space="0" w:color="auto"/>
        <w:right w:val="none" w:sz="0" w:space="0" w:color="auto"/>
      </w:divBdr>
    </w:div>
    <w:div w:id="269432752">
      <w:bodyDiv w:val="1"/>
      <w:marLeft w:val="0"/>
      <w:marRight w:val="0"/>
      <w:marTop w:val="0"/>
      <w:marBottom w:val="0"/>
      <w:divBdr>
        <w:top w:val="none" w:sz="0" w:space="0" w:color="auto"/>
        <w:left w:val="none" w:sz="0" w:space="0" w:color="auto"/>
        <w:bottom w:val="none" w:sz="0" w:space="0" w:color="auto"/>
        <w:right w:val="none" w:sz="0" w:space="0" w:color="auto"/>
      </w:divBdr>
    </w:div>
    <w:div w:id="278877290">
      <w:bodyDiv w:val="1"/>
      <w:marLeft w:val="0"/>
      <w:marRight w:val="0"/>
      <w:marTop w:val="0"/>
      <w:marBottom w:val="0"/>
      <w:divBdr>
        <w:top w:val="none" w:sz="0" w:space="0" w:color="auto"/>
        <w:left w:val="none" w:sz="0" w:space="0" w:color="auto"/>
        <w:bottom w:val="none" w:sz="0" w:space="0" w:color="auto"/>
        <w:right w:val="none" w:sz="0" w:space="0" w:color="auto"/>
      </w:divBdr>
    </w:div>
    <w:div w:id="286552606">
      <w:bodyDiv w:val="1"/>
      <w:marLeft w:val="0"/>
      <w:marRight w:val="0"/>
      <w:marTop w:val="0"/>
      <w:marBottom w:val="0"/>
      <w:divBdr>
        <w:top w:val="none" w:sz="0" w:space="0" w:color="auto"/>
        <w:left w:val="none" w:sz="0" w:space="0" w:color="auto"/>
        <w:bottom w:val="none" w:sz="0" w:space="0" w:color="auto"/>
        <w:right w:val="none" w:sz="0" w:space="0" w:color="auto"/>
      </w:divBdr>
    </w:div>
    <w:div w:id="329143314">
      <w:bodyDiv w:val="1"/>
      <w:marLeft w:val="0"/>
      <w:marRight w:val="0"/>
      <w:marTop w:val="0"/>
      <w:marBottom w:val="0"/>
      <w:divBdr>
        <w:top w:val="none" w:sz="0" w:space="0" w:color="auto"/>
        <w:left w:val="none" w:sz="0" w:space="0" w:color="auto"/>
        <w:bottom w:val="none" w:sz="0" w:space="0" w:color="auto"/>
        <w:right w:val="none" w:sz="0" w:space="0" w:color="auto"/>
      </w:divBdr>
    </w:div>
    <w:div w:id="367872737">
      <w:bodyDiv w:val="1"/>
      <w:marLeft w:val="0"/>
      <w:marRight w:val="0"/>
      <w:marTop w:val="0"/>
      <w:marBottom w:val="0"/>
      <w:divBdr>
        <w:top w:val="none" w:sz="0" w:space="0" w:color="auto"/>
        <w:left w:val="none" w:sz="0" w:space="0" w:color="auto"/>
        <w:bottom w:val="none" w:sz="0" w:space="0" w:color="auto"/>
        <w:right w:val="none" w:sz="0" w:space="0" w:color="auto"/>
      </w:divBdr>
    </w:div>
    <w:div w:id="394548216">
      <w:bodyDiv w:val="1"/>
      <w:marLeft w:val="0"/>
      <w:marRight w:val="0"/>
      <w:marTop w:val="0"/>
      <w:marBottom w:val="0"/>
      <w:divBdr>
        <w:top w:val="none" w:sz="0" w:space="0" w:color="auto"/>
        <w:left w:val="none" w:sz="0" w:space="0" w:color="auto"/>
        <w:bottom w:val="none" w:sz="0" w:space="0" w:color="auto"/>
        <w:right w:val="none" w:sz="0" w:space="0" w:color="auto"/>
      </w:divBdr>
    </w:div>
    <w:div w:id="425810981">
      <w:bodyDiv w:val="1"/>
      <w:marLeft w:val="0"/>
      <w:marRight w:val="0"/>
      <w:marTop w:val="0"/>
      <w:marBottom w:val="0"/>
      <w:divBdr>
        <w:top w:val="none" w:sz="0" w:space="0" w:color="auto"/>
        <w:left w:val="none" w:sz="0" w:space="0" w:color="auto"/>
        <w:bottom w:val="none" w:sz="0" w:space="0" w:color="auto"/>
        <w:right w:val="none" w:sz="0" w:space="0" w:color="auto"/>
      </w:divBdr>
    </w:div>
    <w:div w:id="443185347">
      <w:bodyDiv w:val="1"/>
      <w:marLeft w:val="0"/>
      <w:marRight w:val="0"/>
      <w:marTop w:val="0"/>
      <w:marBottom w:val="0"/>
      <w:divBdr>
        <w:top w:val="none" w:sz="0" w:space="0" w:color="auto"/>
        <w:left w:val="none" w:sz="0" w:space="0" w:color="auto"/>
        <w:bottom w:val="none" w:sz="0" w:space="0" w:color="auto"/>
        <w:right w:val="none" w:sz="0" w:space="0" w:color="auto"/>
      </w:divBdr>
    </w:div>
    <w:div w:id="565190869">
      <w:bodyDiv w:val="1"/>
      <w:marLeft w:val="0"/>
      <w:marRight w:val="0"/>
      <w:marTop w:val="0"/>
      <w:marBottom w:val="0"/>
      <w:divBdr>
        <w:top w:val="none" w:sz="0" w:space="0" w:color="auto"/>
        <w:left w:val="none" w:sz="0" w:space="0" w:color="auto"/>
        <w:bottom w:val="none" w:sz="0" w:space="0" w:color="auto"/>
        <w:right w:val="none" w:sz="0" w:space="0" w:color="auto"/>
      </w:divBdr>
    </w:div>
    <w:div w:id="572860960">
      <w:bodyDiv w:val="1"/>
      <w:marLeft w:val="0"/>
      <w:marRight w:val="0"/>
      <w:marTop w:val="0"/>
      <w:marBottom w:val="0"/>
      <w:divBdr>
        <w:top w:val="none" w:sz="0" w:space="0" w:color="auto"/>
        <w:left w:val="none" w:sz="0" w:space="0" w:color="auto"/>
        <w:bottom w:val="none" w:sz="0" w:space="0" w:color="auto"/>
        <w:right w:val="none" w:sz="0" w:space="0" w:color="auto"/>
      </w:divBdr>
    </w:div>
    <w:div w:id="638262631">
      <w:bodyDiv w:val="1"/>
      <w:marLeft w:val="0"/>
      <w:marRight w:val="0"/>
      <w:marTop w:val="0"/>
      <w:marBottom w:val="0"/>
      <w:divBdr>
        <w:top w:val="none" w:sz="0" w:space="0" w:color="auto"/>
        <w:left w:val="none" w:sz="0" w:space="0" w:color="auto"/>
        <w:bottom w:val="none" w:sz="0" w:space="0" w:color="auto"/>
        <w:right w:val="none" w:sz="0" w:space="0" w:color="auto"/>
      </w:divBdr>
    </w:div>
    <w:div w:id="641890761">
      <w:bodyDiv w:val="1"/>
      <w:marLeft w:val="0"/>
      <w:marRight w:val="0"/>
      <w:marTop w:val="0"/>
      <w:marBottom w:val="0"/>
      <w:divBdr>
        <w:top w:val="none" w:sz="0" w:space="0" w:color="auto"/>
        <w:left w:val="none" w:sz="0" w:space="0" w:color="auto"/>
        <w:bottom w:val="none" w:sz="0" w:space="0" w:color="auto"/>
        <w:right w:val="none" w:sz="0" w:space="0" w:color="auto"/>
      </w:divBdr>
    </w:div>
    <w:div w:id="751393412">
      <w:bodyDiv w:val="1"/>
      <w:marLeft w:val="0"/>
      <w:marRight w:val="0"/>
      <w:marTop w:val="0"/>
      <w:marBottom w:val="0"/>
      <w:divBdr>
        <w:top w:val="none" w:sz="0" w:space="0" w:color="auto"/>
        <w:left w:val="none" w:sz="0" w:space="0" w:color="auto"/>
        <w:bottom w:val="none" w:sz="0" w:space="0" w:color="auto"/>
        <w:right w:val="none" w:sz="0" w:space="0" w:color="auto"/>
      </w:divBdr>
      <w:divsChild>
        <w:div w:id="1498031766">
          <w:marLeft w:val="0"/>
          <w:marRight w:val="0"/>
          <w:marTop w:val="0"/>
          <w:marBottom w:val="0"/>
          <w:divBdr>
            <w:top w:val="none" w:sz="0" w:space="0" w:color="auto"/>
            <w:left w:val="none" w:sz="0" w:space="0" w:color="auto"/>
            <w:bottom w:val="none" w:sz="0" w:space="0" w:color="auto"/>
            <w:right w:val="none" w:sz="0" w:space="0" w:color="auto"/>
          </w:divBdr>
        </w:div>
        <w:div w:id="1622690872">
          <w:marLeft w:val="0"/>
          <w:marRight w:val="0"/>
          <w:marTop w:val="0"/>
          <w:marBottom w:val="0"/>
          <w:divBdr>
            <w:top w:val="none" w:sz="0" w:space="0" w:color="auto"/>
            <w:left w:val="none" w:sz="0" w:space="0" w:color="auto"/>
            <w:bottom w:val="none" w:sz="0" w:space="0" w:color="auto"/>
            <w:right w:val="none" w:sz="0" w:space="0" w:color="auto"/>
          </w:divBdr>
        </w:div>
      </w:divsChild>
    </w:div>
    <w:div w:id="752624375">
      <w:bodyDiv w:val="1"/>
      <w:marLeft w:val="0"/>
      <w:marRight w:val="0"/>
      <w:marTop w:val="0"/>
      <w:marBottom w:val="0"/>
      <w:divBdr>
        <w:top w:val="none" w:sz="0" w:space="0" w:color="auto"/>
        <w:left w:val="none" w:sz="0" w:space="0" w:color="auto"/>
        <w:bottom w:val="none" w:sz="0" w:space="0" w:color="auto"/>
        <w:right w:val="none" w:sz="0" w:space="0" w:color="auto"/>
      </w:divBdr>
    </w:div>
    <w:div w:id="787045144">
      <w:bodyDiv w:val="1"/>
      <w:marLeft w:val="0"/>
      <w:marRight w:val="0"/>
      <w:marTop w:val="0"/>
      <w:marBottom w:val="0"/>
      <w:divBdr>
        <w:top w:val="none" w:sz="0" w:space="0" w:color="auto"/>
        <w:left w:val="none" w:sz="0" w:space="0" w:color="auto"/>
        <w:bottom w:val="none" w:sz="0" w:space="0" w:color="auto"/>
        <w:right w:val="none" w:sz="0" w:space="0" w:color="auto"/>
      </w:divBdr>
      <w:divsChild>
        <w:div w:id="281503353">
          <w:marLeft w:val="0"/>
          <w:marRight w:val="0"/>
          <w:marTop w:val="0"/>
          <w:marBottom w:val="0"/>
          <w:divBdr>
            <w:top w:val="none" w:sz="0" w:space="0" w:color="auto"/>
            <w:left w:val="none" w:sz="0" w:space="0" w:color="auto"/>
            <w:bottom w:val="none" w:sz="0" w:space="0" w:color="auto"/>
            <w:right w:val="none" w:sz="0" w:space="0" w:color="auto"/>
          </w:divBdr>
        </w:div>
        <w:div w:id="286668674">
          <w:marLeft w:val="0"/>
          <w:marRight w:val="0"/>
          <w:marTop w:val="0"/>
          <w:marBottom w:val="0"/>
          <w:divBdr>
            <w:top w:val="none" w:sz="0" w:space="0" w:color="auto"/>
            <w:left w:val="none" w:sz="0" w:space="0" w:color="auto"/>
            <w:bottom w:val="none" w:sz="0" w:space="0" w:color="auto"/>
            <w:right w:val="none" w:sz="0" w:space="0" w:color="auto"/>
          </w:divBdr>
          <w:divsChild>
            <w:div w:id="1525553738">
              <w:marLeft w:val="0"/>
              <w:marRight w:val="0"/>
              <w:marTop w:val="0"/>
              <w:marBottom w:val="0"/>
              <w:divBdr>
                <w:top w:val="none" w:sz="0" w:space="0" w:color="auto"/>
                <w:left w:val="none" w:sz="0" w:space="0" w:color="auto"/>
                <w:bottom w:val="none" w:sz="0" w:space="0" w:color="auto"/>
                <w:right w:val="none" w:sz="0" w:space="0" w:color="auto"/>
              </w:divBdr>
            </w:div>
          </w:divsChild>
        </w:div>
        <w:div w:id="743527340">
          <w:marLeft w:val="0"/>
          <w:marRight w:val="0"/>
          <w:marTop w:val="0"/>
          <w:marBottom w:val="0"/>
          <w:divBdr>
            <w:top w:val="none" w:sz="0" w:space="0" w:color="auto"/>
            <w:left w:val="none" w:sz="0" w:space="0" w:color="auto"/>
            <w:bottom w:val="none" w:sz="0" w:space="0" w:color="auto"/>
            <w:right w:val="none" w:sz="0" w:space="0" w:color="auto"/>
          </w:divBdr>
        </w:div>
        <w:div w:id="816536007">
          <w:marLeft w:val="0"/>
          <w:marRight w:val="0"/>
          <w:marTop w:val="0"/>
          <w:marBottom w:val="0"/>
          <w:divBdr>
            <w:top w:val="none" w:sz="0" w:space="0" w:color="auto"/>
            <w:left w:val="none" w:sz="0" w:space="0" w:color="auto"/>
            <w:bottom w:val="none" w:sz="0" w:space="0" w:color="auto"/>
            <w:right w:val="none" w:sz="0" w:space="0" w:color="auto"/>
          </w:divBdr>
        </w:div>
        <w:div w:id="1106772013">
          <w:marLeft w:val="0"/>
          <w:marRight w:val="0"/>
          <w:marTop w:val="0"/>
          <w:marBottom w:val="0"/>
          <w:divBdr>
            <w:top w:val="none" w:sz="0" w:space="0" w:color="auto"/>
            <w:left w:val="none" w:sz="0" w:space="0" w:color="auto"/>
            <w:bottom w:val="none" w:sz="0" w:space="0" w:color="auto"/>
            <w:right w:val="none" w:sz="0" w:space="0" w:color="auto"/>
          </w:divBdr>
        </w:div>
        <w:div w:id="1282416177">
          <w:marLeft w:val="0"/>
          <w:marRight w:val="0"/>
          <w:marTop w:val="0"/>
          <w:marBottom w:val="0"/>
          <w:divBdr>
            <w:top w:val="none" w:sz="0" w:space="0" w:color="auto"/>
            <w:left w:val="none" w:sz="0" w:space="0" w:color="auto"/>
            <w:bottom w:val="none" w:sz="0" w:space="0" w:color="auto"/>
            <w:right w:val="none" w:sz="0" w:space="0" w:color="auto"/>
          </w:divBdr>
        </w:div>
        <w:div w:id="1338653358">
          <w:marLeft w:val="0"/>
          <w:marRight w:val="0"/>
          <w:marTop w:val="0"/>
          <w:marBottom w:val="0"/>
          <w:divBdr>
            <w:top w:val="none" w:sz="0" w:space="0" w:color="auto"/>
            <w:left w:val="none" w:sz="0" w:space="0" w:color="auto"/>
            <w:bottom w:val="none" w:sz="0" w:space="0" w:color="auto"/>
            <w:right w:val="none" w:sz="0" w:space="0" w:color="auto"/>
          </w:divBdr>
          <w:divsChild>
            <w:div w:id="12926740">
              <w:marLeft w:val="0"/>
              <w:marRight w:val="0"/>
              <w:marTop w:val="0"/>
              <w:marBottom w:val="0"/>
              <w:divBdr>
                <w:top w:val="none" w:sz="0" w:space="0" w:color="auto"/>
                <w:left w:val="none" w:sz="0" w:space="0" w:color="auto"/>
                <w:bottom w:val="none" w:sz="0" w:space="0" w:color="auto"/>
                <w:right w:val="none" w:sz="0" w:space="0" w:color="auto"/>
              </w:divBdr>
            </w:div>
            <w:div w:id="715354305">
              <w:marLeft w:val="0"/>
              <w:marRight w:val="0"/>
              <w:marTop w:val="0"/>
              <w:marBottom w:val="0"/>
              <w:divBdr>
                <w:top w:val="none" w:sz="0" w:space="0" w:color="auto"/>
                <w:left w:val="none" w:sz="0" w:space="0" w:color="auto"/>
                <w:bottom w:val="none" w:sz="0" w:space="0" w:color="auto"/>
                <w:right w:val="none" w:sz="0" w:space="0" w:color="auto"/>
              </w:divBdr>
            </w:div>
            <w:div w:id="1892379430">
              <w:marLeft w:val="0"/>
              <w:marRight w:val="0"/>
              <w:marTop w:val="0"/>
              <w:marBottom w:val="0"/>
              <w:divBdr>
                <w:top w:val="none" w:sz="0" w:space="0" w:color="auto"/>
                <w:left w:val="none" w:sz="0" w:space="0" w:color="auto"/>
                <w:bottom w:val="none" w:sz="0" w:space="0" w:color="auto"/>
                <w:right w:val="none" w:sz="0" w:space="0" w:color="auto"/>
              </w:divBdr>
            </w:div>
          </w:divsChild>
        </w:div>
        <w:div w:id="1350064382">
          <w:marLeft w:val="0"/>
          <w:marRight w:val="0"/>
          <w:marTop w:val="0"/>
          <w:marBottom w:val="0"/>
          <w:divBdr>
            <w:top w:val="none" w:sz="0" w:space="0" w:color="auto"/>
            <w:left w:val="none" w:sz="0" w:space="0" w:color="auto"/>
            <w:bottom w:val="none" w:sz="0" w:space="0" w:color="auto"/>
            <w:right w:val="none" w:sz="0" w:space="0" w:color="auto"/>
          </w:divBdr>
        </w:div>
        <w:div w:id="1352494229">
          <w:marLeft w:val="0"/>
          <w:marRight w:val="0"/>
          <w:marTop w:val="0"/>
          <w:marBottom w:val="0"/>
          <w:divBdr>
            <w:top w:val="none" w:sz="0" w:space="0" w:color="auto"/>
            <w:left w:val="none" w:sz="0" w:space="0" w:color="auto"/>
            <w:bottom w:val="none" w:sz="0" w:space="0" w:color="auto"/>
            <w:right w:val="none" w:sz="0" w:space="0" w:color="auto"/>
          </w:divBdr>
        </w:div>
      </w:divsChild>
    </w:div>
    <w:div w:id="866479651">
      <w:bodyDiv w:val="1"/>
      <w:marLeft w:val="0"/>
      <w:marRight w:val="0"/>
      <w:marTop w:val="0"/>
      <w:marBottom w:val="0"/>
      <w:divBdr>
        <w:top w:val="none" w:sz="0" w:space="0" w:color="auto"/>
        <w:left w:val="none" w:sz="0" w:space="0" w:color="auto"/>
        <w:bottom w:val="none" w:sz="0" w:space="0" w:color="auto"/>
        <w:right w:val="none" w:sz="0" w:space="0" w:color="auto"/>
      </w:divBdr>
    </w:div>
    <w:div w:id="893272050">
      <w:bodyDiv w:val="1"/>
      <w:marLeft w:val="0"/>
      <w:marRight w:val="0"/>
      <w:marTop w:val="0"/>
      <w:marBottom w:val="0"/>
      <w:divBdr>
        <w:top w:val="none" w:sz="0" w:space="0" w:color="auto"/>
        <w:left w:val="none" w:sz="0" w:space="0" w:color="auto"/>
        <w:bottom w:val="none" w:sz="0" w:space="0" w:color="auto"/>
        <w:right w:val="none" w:sz="0" w:space="0" w:color="auto"/>
      </w:divBdr>
      <w:divsChild>
        <w:div w:id="624194946">
          <w:marLeft w:val="0"/>
          <w:marRight w:val="0"/>
          <w:marTop w:val="0"/>
          <w:marBottom w:val="0"/>
          <w:divBdr>
            <w:top w:val="none" w:sz="0" w:space="0" w:color="auto"/>
            <w:left w:val="none" w:sz="0" w:space="0" w:color="auto"/>
            <w:bottom w:val="none" w:sz="0" w:space="0" w:color="auto"/>
            <w:right w:val="none" w:sz="0" w:space="0" w:color="auto"/>
          </w:divBdr>
          <w:divsChild>
            <w:div w:id="1276211779">
              <w:marLeft w:val="0"/>
              <w:marRight w:val="0"/>
              <w:marTop w:val="0"/>
              <w:marBottom w:val="0"/>
              <w:divBdr>
                <w:top w:val="none" w:sz="0" w:space="0" w:color="auto"/>
                <w:left w:val="none" w:sz="0" w:space="0" w:color="auto"/>
                <w:bottom w:val="none" w:sz="0" w:space="0" w:color="auto"/>
                <w:right w:val="none" w:sz="0" w:space="0" w:color="auto"/>
              </w:divBdr>
              <w:divsChild>
                <w:div w:id="961031346">
                  <w:marLeft w:val="0"/>
                  <w:marRight w:val="0"/>
                  <w:marTop w:val="0"/>
                  <w:marBottom w:val="0"/>
                  <w:divBdr>
                    <w:top w:val="none" w:sz="0" w:space="0" w:color="auto"/>
                    <w:left w:val="none" w:sz="0" w:space="0" w:color="auto"/>
                    <w:bottom w:val="none" w:sz="0" w:space="0" w:color="auto"/>
                    <w:right w:val="none" w:sz="0" w:space="0" w:color="auto"/>
                  </w:divBdr>
                  <w:divsChild>
                    <w:div w:id="1853567508">
                      <w:marLeft w:val="0"/>
                      <w:marRight w:val="0"/>
                      <w:marTop w:val="0"/>
                      <w:marBottom w:val="0"/>
                      <w:divBdr>
                        <w:top w:val="none" w:sz="0" w:space="0" w:color="auto"/>
                        <w:left w:val="none" w:sz="0" w:space="0" w:color="auto"/>
                        <w:bottom w:val="none" w:sz="0" w:space="0" w:color="auto"/>
                        <w:right w:val="none" w:sz="0" w:space="0" w:color="auto"/>
                      </w:divBdr>
                      <w:divsChild>
                        <w:div w:id="1482113165">
                          <w:marLeft w:val="0"/>
                          <w:marRight w:val="0"/>
                          <w:marTop w:val="0"/>
                          <w:marBottom w:val="0"/>
                          <w:divBdr>
                            <w:top w:val="none" w:sz="0" w:space="0" w:color="auto"/>
                            <w:left w:val="none" w:sz="0" w:space="0" w:color="auto"/>
                            <w:bottom w:val="none" w:sz="0" w:space="0" w:color="auto"/>
                            <w:right w:val="none" w:sz="0" w:space="0" w:color="auto"/>
                          </w:divBdr>
                          <w:divsChild>
                            <w:div w:id="222834730">
                              <w:marLeft w:val="0"/>
                              <w:marRight w:val="0"/>
                              <w:marTop w:val="0"/>
                              <w:marBottom w:val="0"/>
                              <w:divBdr>
                                <w:top w:val="none" w:sz="0" w:space="0" w:color="auto"/>
                                <w:left w:val="none" w:sz="0" w:space="0" w:color="auto"/>
                                <w:bottom w:val="none" w:sz="0" w:space="0" w:color="auto"/>
                                <w:right w:val="none" w:sz="0" w:space="0" w:color="auto"/>
                              </w:divBdr>
                            </w:div>
                            <w:div w:id="418717874">
                              <w:marLeft w:val="0"/>
                              <w:marRight w:val="0"/>
                              <w:marTop w:val="0"/>
                              <w:marBottom w:val="0"/>
                              <w:divBdr>
                                <w:top w:val="none" w:sz="0" w:space="0" w:color="auto"/>
                                <w:left w:val="none" w:sz="0" w:space="0" w:color="auto"/>
                                <w:bottom w:val="none" w:sz="0" w:space="0" w:color="auto"/>
                                <w:right w:val="none" w:sz="0" w:space="0" w:color="auto"/>
                              </w:divBdr>
                              <w:divsChild>
                                <w:div w:id="1723823126">
                                  <w:marLeft w:val="0"/>
                                  <w:marRight w:val="0"/>
                                  <w:marTop w:val="0"/>
                                  <w:marBottom w:val="0"/>
                                  <w:divBdr>
                                    <w:top w:val="none" w:sz="0" w:space="0" w:color="auto"/>
                                    <w:left w:val="none" w:sz="0" w:space="0" w:color="auto"/>
                                    <w:bottom w:val="none" w:sz="0" w:space="0" w:color="auto"/>
                                    <w:right w:val="none" w:sz="0" w:space="0" w:color="auto"/>
                                  </w:divBdr>
                                  <w:divsChild>
                                    <w:div w:id="689725910">
                                      <w:marLeft w:val="0"/>
                                      <w:marRight w:val="0"/>
                                      <w:marTop w:val="0"/>
                                      <w:marBottom w:val="0"/>
                                      <w:divBdr>
                                        <w:top w:val="none" w:sz="0" w:space="0" w:color="auto"/>
                                        <w:left w:val="none" w:sz="0" w:space="0" w:color="auto"/>
                                        <w:bottom w:val="none" w:sz="0" w:space="0" w:color="auto"/>
                                        <w:right w:val="none" w:sz="0" w:space="0" w:color="auto"/>
                                      </w:divBdr>
                                      <w:divsChild>
                                        <w:div w:id="162778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0671611">
      <w:bodyDiv w:val="1"/>
      <w:marLeft w:val="0"/>
      <w:marRight w:val="0"/>
      <w:marTop w:val="0"/>
      <w:marBottom w:val="0"/>
      <w:divBdr>
        <w:top w:val="none" w:sz="0" w:space="0" w:color="auto"/>
        <w:left w:val="none" w:sz="0" w:space="0" w:color="auto"/>
        <w:bottom w:val="none" w:sz="0" w:space="0" w:color="auto"/>
        <w:right w:val="none" w:sz="0" w:space="0" w:color="auto"/>
      </w:divBdr>
    </w:div>
    <w:div w:id="1167942973">
      <w:bodyDiv w:val="1"/>
      <w:marLeft w:val="0"/>
      <w:marRight w:val="0"/>
      <w:marTop w:val="0"/>
      <w:marBottom w:val="0"/>
      <w:divBdr>
        <w:top w:val="none" w:sz="0" w:space="0" w:color="auto"/>
        <w:left w:val="none" w:sz="0" w:space="0" w:color="auto"/>
        <w:bottom w:val="none" w:sz="0" w:space="0" w:color="auto"/>
        <w:right w:val="none" w:sz="0" w:space="0" w:color="auto"/>
      </w:divBdr>
    </w:div>
    <w:div w:id="1168131128">
      <w:bodyDiv w:val="1"/>
      <w:marLeft w:val="0"/>
      <w:marRight w:val="0"/>
      <w:marTop w:val="0"/>
      <w:marBottom w:val="0"/>
      <w:divBdr>
        <w:top w:val="none" w:sz="0" w:space="0" w:color="auto"/>
        <w:left w:val="none" w:sz="0" w:space="0" w:color="auto"/>
        <w:bottom w:val="none" w:sz="0" w:space="0" w:color="auto"/>
        <w:right w:val="none" w:sz="0" w:space="0" w:color="auto"/>
      </w:divBdr>
    </w:div>
    <w:div w:id="1251087364">
      <w:bodyDiv w:val="1"/>
      <w:marLeft w:val="0"/>
      <w:marRight w:val="0"/>
      <w:marTop w:val="0"/>
      <w:marBottom w:val="0"/>
      <w:divBdr>
        <w:top w:val="none" w:sz="0" w:space="0" w:color="auto"/>
        <w:left w:val="none" w:sz="0" w:space="0" w:color="auto"/>
        <w:bottom w:val="none" w:sz="0" w:space="0" w:color="auto"/>
        <w:right w:val="none" w:sz="0" w:space="0" w:color="auto"/>
      </w:divBdr>
      <w:divsChild>
        <w:div w:id="743140565">
          <w:marLeft w:val="0"/>
          <w:marRight w:val="0"/>
          <w:marTop w:val="0"/>
          <w:marBottom w:val="0"/>
          <w:divBdr>
            <w:top w:val="none" w:sz="0" w:space="0" w:color="auto"/>
            <w:left w:val="none" w:sz="0" w:space="0" w:color="auto"/>
            <w:bottom w:val="none" w:sz="0" w:space="0" w:color="auto"/>
            <w:right w:val="none" w:sz="0" w:space="0" w:color="auto"/>
          </w:divBdr>
          <w:divsChild>
            <w:div w:id="775294691">
              <w:marLeft w:val="0"/>
              <w:marRight w:val="0"/>
              <w:marTop w:val="0"/>
              <w:marBottom w:val="0"/>
              <w:divBdr>
                <w:top w:val="none" w:sz="0" w:space="0" w:color="auto"/>
                <w:left w:val="none" w:sz="0" w:space="0" w:color="auto"/>
                <w:bottom w:val="none" w:sz="0" w:space="0" w:color="auto"/>
                <w:right w:val="none" w:sz="0" w:space="0" w:color="auto"/>
              </w:divBdr>
            </w:div>
          </w:divsChild>
        </w:div>
        <w:div w:id="1157038913">
          <w:marLeft w:val="0"/>
          <w:marRight w:val="0"/>
          <w:marTop w:val="0"/>
          <w:marBottom w:val="0"/>
          <w:divBdr>
            <w:top w:val="none" w:sz="0" w:space="0" w:color="auto"/>
            <w:left w:val="none" w:sz="0" w:space="0" w:color="auto"/>
            <w:bottom w:val="none" w:sz="0" w:space="0" w:color="auto"/>
            <w:right w:val="none" w:sz="0" w:space="0" w:color="auto"/>
          </w:divBdr>
          <w:divsChild>
            <w:div w:id="108804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996329">
      <w:bodyDiv w:val="1"/>
      <w:marLeft w:val="0"/>
      <w:marRight w:val="0"/>
      <w:marTop w:val="0"/>
      <w:marBottom w:val="0"/>
      <w:divBdr>
        <w:top w:val="none" w:sz="0" w:space="0" w:color="auto"/>
        <w:left w:val="none" w:sz="0" w:space="0" w:color="auto"/>
        <w:bottom w:val="none" w:sz="0" w:space="0" w:color="auto"/>
        <w:right w:val="none" w:sz="0" w:space="0" w:color="auto"/>
      </w:divBdr>
    </w:div>
    <w:div w:id="1354960218">
      <w:bodyDiv w:val="1"/>
      <w:marLeft w:val="0"/>
      <w:marRight w:val="0"/>
      <w:marTop w:val="0"/>
      <w:marBottom w:val="0"/>
      <w:divBdr>
        <w:top w:val="none" w:sz="0" w:space="0" w:color="auto"/>
        <w:left w:val="none" w:sz="0" w:space="0" w:color="auto"/>
        <w:bottom w:val="none" w:sz="0" w:space="0" w:color="auto"/>
        <w:right w:val="none" w:sz="0" w:space="0" w:color="auto"/>
      </w:divBdr>
    </w:div>
    <w:div w:id="1358505658">
      <w:bodyDiv w:val="1"/>
      <w:marLeft w:val="0"/>
      <w:marRight w:val="0"/>
      <w:marTop w:val="0"/>
      <w:marBottom w:val="0"/>
      <w:divBdr>
        <w:top w:val="none" w:sz="0" w:space="0" w:color="auto"/>
        <w:left w:val="none" w:sz="0" w:space="0" w:color="auto"/>
        <w:bottom w:val="none" w:sz="0" w:space="0" w:color="auto"/>
        <w:right w:val="none" w:sz="0" w:space="0" w:color="auto"/>
      </w:divBdr>
    </w:div>
    <w:div w:id="1464497038">
      <w:bodyDiv w:val="1"/>
      <w:marLeft w:val="0"/>
      <w:marRight w:val="0"/>
      <w:marTop w:val="0"/>
      <w:marBottom w:val="0"/>
      <w:divBdr>
        <w:top w:val="none" w:sz="0" w:space="0" w:color="auto"/>
        <w:left w:val="none" w:sz="0" w:space="0" w:color="auto"/>
        <w:bottom w:val="none" w:sz="0" w:space="0" w:color="auto"/>
        <w:right w:val="none" w:sz="0" w:space="0" w:color="auto"/>
      </w:divBdr>
    </w:div>
    <w:div w:id="1479885336">
      <w:bodyDiv w:val="1"/>
      <w:marLeft w:val="0"/>
      <w:marRight w:val="0"/>
      <w:marTop w:val="0"/>
      <w:marBottom w:val="0"/>
      <w:divBdr>
        <w:top w:val="none" w:sz="0" w:space="0" w:color="auto"/>
        <w:left w:val="none" w:sz="0" w:space="0" w:color="auto"/>
        <w:bottom w:val="none" w:sz="0" w:space="0" w:color="auto"/>
        <w:right w:val="none" w:sz="0" w:space="0" w:color="auto"/>
      </w:divBdr>
    </w:div>
    <w:div w:id="1534346087">
      <w:bodyDiv w:val="1"/>
      <w:marLeft w:val="0"/>
      <w:marRight w:val="0"/>
      <w:marTop w:val="0"/>
      <w:marBottom w:val="0"/>
      <w:divBdr>
        <w:top w:val="none" w:sz="0" w:space="0" w:color="auto"/>
        <w:left w:val="none" w:sz="0" w:space="0" w:color="auto"/>
        <w:bottom w:val="none" w:sz="0" w:space="0" w:color="auto"/>
        <w:right w:val="none" w:sz="0" w:space="0" w:color="auto"/>
      </w:divBdr>
    </w:div>
    <w:div w:id="1642267771">
      <w:bodyDiv w:val="1"/>
      <w:marLeft w:val="0"/>
      <w:marRight w:val="0"/>
      <w:marTop w:val="0"/>
      <w:marBottom w:val="0"/>
      <w:divBdr>
        <w:top w:val="none" w:sz="0" w:space="0" w:color="auto"/>
        <w:left w:val="none" w:sz="0" w:space="0" w:color="auto"/>
        <w:bottom w:val="none" w:sz="0" w:space="0" w:color="auto"/>
        <w:right w:val="none" w:sz="0" w:space="0" w:color="auto"/>
      </w:divBdr>
    </w:div>
    <w:div w:id="1698311222">
      <w:bodyDiv w:val="1"/>
      <w:marLeft w:val="0"/>
      <w:marRight w:val="0"/>
      <w:marTop w:val="0"/>
      <w:marBottom w:val="0"/>
      <w:divBdr>
        <w:top w:val="none" w:sz="0" w:space="0" w:color="auto"/>
        <w:left w:val="none" w:sz="0" w:space="0" w:color="auto"/>
        <w:bottom w:val="none" w:sz="0" w:space="0" w:color="auto"/>
        <w:right w:val="none" w:sz="0" w:space="0" w:color="auto"/>
      </w:divBdr>
    </w:div>
    <w:div w:id="1699811735">
      <w:bodyDiv w:val="1"/>
      <w:marLeft w:val="0"/>
      <w:marRight w:val="0"/>
      <w:marTop w:val="0"/>
      <w:marBottom w:val="0"/>
      <w:divBdr>
        <w:top w:val="none" w:sz="0" w:space="0" w:color="auto"/>
        <w:left w:val="none" w:sz="0" w:space="0" w:color="auto"/>
        <w:bottom w:val="none" w:sz="0" w:space="0" w:color="auto"/>
        <w:right w:val="none" w:sz="0" w:space="0" w:color="auto"/>
      </w:divBdr>
    </w:div>
    <w:div w:id="1701396110">
      <w:bodyDiv w:val="1"/>
      <w:marLeft w:val="0"/>
      <w:marRight w:val="0"/>
      <w:marTop w:val="0"/>
      <w:marBottom w:val="0"/>
      <w:divBdr>
        <w:top w:val="none" w:sz="0" w:space="0" w:color="auto"/>
        <w:left w:val="none" w:sz="0" w:space="0" w:color="auto"/>
        <w:bottom w:val="none" w:sz="0" w:space="0" w:color="auto"/>
        <w:right w:val="none" w:sz="0" w:space="0" w:color="auto"/>
      </w:divBdr>
    </w:div>
    <w:div w:id="1840344165">
      <w:bodyDiv w:val="1"/>
      <w:marLeft w:val="0"/>
      <w:marRight w:val="0"/>
      <w:marTop w:val="0"/>
      <w:marBottom w:val="0"/>
      <w:divBdr>
        <w:top w:val="none" w:sz="0" w:space="0" w:color="auto"/>
        <w:left w:val="none" w:sz="0" w:space="0" w:color="auto"/>
        <w:bottom w:val="none" w:sz="0" w:space="0" w:color="auto"/>
        <w:right w:val="none" w:sz="0" w:space="0" w:color="auto"/>
      </w:divBdr>
    </w:div>
    <w:div w:id="1960452222">
      <w:bodyDiv w:val="1"/>
      <w:marLeft w:val="0"/>
      <w:marRight w:val="0"/>
      <w:marTop w:val="0"/>
      <w:marBottom w:val="0"/>
      <w:divBdr>
        <w:top w:val="none" w:sz="0" w:space="0" w:color="auto"/>
        <w:left w:val="none" w:sz="0" w:space="0" w:color="auto"/>
        <w:bottom w:val="none" w:sz="0" w:space="0" w:color="auto"/>
        <w:right w:val="none" w:sz="0" w:space="0" w:color="auto"/>
      </w:divBdr>
    </w:div>
    <w:div w:id="1988631009">
      <w:bodyDiv w:val="1"/>
      <w:marLeft w:val="0"/>
      <w:marRight w:val="0"/>
      <w:marTop w:val="0"/>
      <w:marBottom w:val="0"/>
      <w:divBdr>
        <w:top w:val="none" w:sz="0" w:space="0" w:color="auto"/>
        <w:left w:val="none" w:sz="0" w:space="0" w:color="auto"/>
        <w:bottom w:val="none" w:sz="0" w:space="0" w:color="auto"/>
        <w:right w:val="none" w:sz="0" w:space="0" w:color="auto"/>
      </w:divBdr>
    </w:div>
    <w:div w:id="206559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portparol@prnjavor.ba" TargetMode="External"/><Relationship Id="rId21" Type="http://schemas.openxmlformats.org/officeDocument/2006/relationships/hyperlink" Target="https://www.pufbih.ba/v1/public/upload/zakoni/1e78c-zakon-o-slobodi-pristupa-informacijama-ispravan-tekst.pdf" TargetMode="External"/><Relationship Id="rId42" Type="http://schemas.openxmlformats.org/officeDocument/2006/relationships/hyperlink" Target="https://parlamentfbih.gov.ba/dom_naroda/bos/parlament/propisi/El_materijali/Zakon%20o%20finansijskom%20upravljanju%20i%20kontroli.pdf" TargetMode="External"/><Relationship Id="rId63" Type="http://schemas.openxmlformats.org/officeDocument/2006/relationships/hyperlink" Target="https://vladars.rs/sr-SP-Cyrl/Vlada/Sekretarijat/stratplan/propisi/Documents/RS%20Uredba%20o%20sprovedbenim%20dokumentima.pdf" TargetMode="External"/><Relationship Id="rId84" Type="http://schemas.openxmlformats.org/officeDocument/2006/relationships/hyperlink" Target="mailto:Alma.kobaslija@undp.org" TargetMode="External"/><Relationship Id="rId138" Type="http://schemas.openxmlformats.org/officeDocument/2006/relationships/hyperlink" Target="mailto:info@tron.ba" TargetMode="External"/><Relationship Id="rId159" Type="http://schemas.openxmlformats.org/officeDocument/2006/relationships/chart" Target="charts/chart19.xml"/><Relationship Id="rId170" Type="http://schemas.openxmlformats.org/officeDocument/2006/relationships/chart" Target="charts/chart30.xml"/><Relationship Id="rId107" Type="http://schemas.openxmlformats.org/officeDocument/2006/relationships/hyperlink" Target="mailto:Branko.mudirnic@prijedorgrad.org" TargetMode="External"/><Relationship Id="rId11" Type="http://schemas.openxmlformats.org/officeDocument/2006/relationships/endnotes" Target="endnotes.xml"/><Relationship Id="rId32" Type="http://schemas.openxmlformats.org/officeDocument/2006/relationships/hyperlink" Target="https://www.fbihvlada.gov.ba/bosanski/zakoni/1999/zakoni/zakoni%20x/zak%20o%20osnovama%20soc%20zastite.htm" TargetMode="External"/><Relationship Id="rId53" Type="http://schemas.openxmlformats.org/officeDocument/2006/relationships/hyperlink" Target="https://www.izbori.ba/Documents/documents/ZAKONI/Zakon_o_sukobu_interesa_u_nesl_precisceni_tekst.pdf" TargetMode="External"/><Relationship Id="rId74" Type="http://schemas.openxmlformats.org/officeDocument/2006/relationships/chart" Target="charts/chart2.xml"/><Relationship Id="rId128" Type="http://schemas.openxmlformats.org/officeDocument/2006/relationships/hyperlink" Target="mailto:info@vodovod-srbac.com" TargetMode="External"/><Relationship Id="rId149" Type="http://schemas.openxmlformats.org/officeDocument/2006/relationships/chart" Target="charts/chart9.xml"/><Relationship Id="rId5" Type="http://schemas.openxmlformats.org/officeDocument/2006/relationships/customXml" Target="../customXml/item5.xml"/><Relationship Id="rId95" Type="http://schemas.openxmlformats.org/officeDocument/2006/relationships/hyperlink" Target="mailto:kenan.avdagic@parco.gov.ba" TargetMode="External"/><Relationship Id="rId160" Type="http://schemas.openxmlformats.org/officeDocument/2006/relationships/chart" Target="charts/chart20.xml"/><Relationship Id="rId22" Type="http://schemas.openxmlformats.org/officeDocument/2006/relationships/hyperlink" Target="https://www.vladars.net/sr-SP-Cyrl/Vlada/Ministarstva/muls/Documents/Zakon%20o%20slobodi%20pristupa%20informacijama.pdf" TargetMode="External"/><Relationship Id="rId43" Type="http://schemas.openxmlformats.org/officeDocument/2006/relationships/hyperlink" Target="https://www.vladars.net/sr-SP-Cyrl/Vlada/Ministarstva/mf/Documents/&#1047;&#1072;&#1082;&#1086;&#1085;%20&#1086;%20&#1089;&#1080;&#1089;&#1090;&#1077;&#1084;&#1091;%20&#1080;&#1085;&#1090;&#1077;&#1088;&#1085;&#1080;&#1093;%20&#1092;&#1080;&#1085;&#1072;&#1085;&#1089;&#1080;&#1112;&#1089;&#1082;&#1080;&#1093;%20&#1082;&#1086;&#1085;&#1090;&#1088;&#1086;&#1083;&#1072;%20&#1091;%20&#1112;&#1072;&#1074;&#1085;&#1086;&#1084;%20&#1089;&#1077;&#1082;&#1090;&#1086;&#1088;&#1091;%20&#1056;&#1057;,%20&#1057;&#1043;%2091_16_367122074.pdf" TargetMode="External"/><Relationship Id="rId64" Type="http://schemas.openxmlformats.org/officeDocument/2006/relationships/hyperlink" Target="https://vladars.rs/sr-SP-Cyrl/Vlada/Ministarstva/mf/Servisi/Poslovanje/Documents/Zakon%20o%20budzetskom%20sistemu%20RS.pdf" TargetMode="External"/><Relationship Id="rId118" Type="http://schemas.openxmlformats.org/officeDocument/2006/relationships/hyperlink" Target="mailto:Milovan.cosic@opstina-celinac.com" TargetMode="External"/><Relationship Id="rId139" Type="http://schemas.openxmlformats.org/officeDocument/2006/relationships/hyperlink" Target="mailto:haris.komic@gmail.com" TargetMode="External"/><Relationship Id="rId85" Type="http://schemas.openxmlformats.org/officeDocument/2006/relationships/hyperlink" Target="mailto:tanja.mihajlovic@undp.org" TargetMode="External"/><Relationship Id="rId150" Type="http://schemas.openxmlformats.org/officeDocument/2006/relationships/chart" Target="charts/chart10.xml"/><Relationship Id="rId171" Type="http://schemas.openxmlformats.org/officeDocument/2006/relationships/chart" Target="charts/chart31.xml"/><Relationship Id="rId12" Type="http://schemas.openxmlformats.org/officeDocument/2006/relationships/image" Target="media/image1.png"/><Relationship Id="rId33" Type="http://schemas.openxmlformats.org/officeDocument/2006/relationships/hyperlink" Target="https://www.narodnaskupstinars.net/?q=la/akti/usvojeni-zakoni/zakon-o-strate&#353;kom-planiranju-i-upravljanju-razvojem-u-republici-srpskoj" TargetMode="External"/><Relationship Id="rId108" Type="http://schemas.openxmlformats.org/officeDocument/2006/relationships/hyperlink" Target="mailto:ognjen.dragicevic@prijedorgrad.org" TargetMode="External"/><Relationship Id="rId129" Type="http://schemas.openxmlformats.org/officeDocument/2006/relationships/hyperlink" Target="mailto:infocentar@rad-tesanj.ba" TargetMode="External"/><Relationship Id="rId54" Type="http://schemas.openxmlformats.org/officeDocument/2006/relationships/hyperlink" Target="https://www.pufbih.ba/v1/public/upload/zakoni/1e78c-zakon-o-slobodi-pristupa-informacijama-ispravan-tekst.pdf" TargetMode="External"/><Relationship Id="rId75" Type="http://schemas.openxmlformats.org/officeDocument/2006/relationships/hyperlink" Target="file:///C:\Users\Misel\Desktop\Result%20Framework%20(002).xlsx" TargetMode="External"/><Relationship Id="rId96" Type="http://schemas.openxmlformats.org/officeDocument/2006/relationships/hyperlink" Target="mailto:d.copic@adu.vladars.rs" TargetMode="External"/><Relationship Id="rId140" Type="http://schemas.openxmlformats.org/officeDocument/2006/relationships/hyperlink" Target="mailto:info@eipa.eu" TargetMode="External"/><Relationship Id="rId161" Type="http://schemas.openxmlformats.org/officeDocument/2006/relationships/chart" Target="charts/chart21.xml"/><Relationship Id="rId6" Type="http://schemas.openxmlformats.org/officeDocument/2006/relationships/numbering" Target="numbering.xml"/><Relationship Id="rId23" Type="http://schemas.openxmlformats.org/officeDocument/2006/relationships/hyperlink" Target="https://parco.gov.ba/wp-content/uploads/2021/12/Strategic_framework_par_eng.pdf" TargetMode="External"/><Relationship Id="rId28" Type="http://schemas.openxmlformats.org/officeDocument/2006/relationships/hyperlink" Target="https://advokat-prnjavorac.com/zakoni/Zakon-o-javnim-preduzecima-Republike-Srpske.pdf" TargetMode="External"/><Relationship Id="rId49" Type="http://schemas.openxmlformats.org/officeDocument/2006/relationships/hyperlink" Target="https://parlamentfbih.gov.ba/dom_naroda/bos/parlament/propisi/El_materijali/Zakon%20o%20finansijskom%20upravljanju%20i%20kontroli.pdf" TargetMode="External"/><Relationship Id="rId114" Type="http://schemas.openxmlformats.org/officeDocument/2006/relationships/hyperlink" Target="mailto:vladimir.guzvic@gmail.com" TargetMode="External"/><Relationship Id="rId119" Type="http://schemas.openxmlformats.org/officeDocument/2006/relationships/hyperlink" Target="mailto:opcinabp@bih.net.ba" TargetMode="External"/><Relationship Id="rId44" Type="http://schemas.openxmlformats.org/officeDocument/2006/relationships/hyperlink" Target="https://www.narodnaskupstinars.net/?q=en/node/8279" TargetMode="External"/><Relationship Id="rId60" Type="http://schemas.openxmlformats.org/officeDocument/2006/relationships/hyperlink" Target="https://fbihvlada.gov.ba/bosanski/zakoni/2017/zakoni/16h.html" TargetMode="External"/><Relationship Id="rId65" Type="http://schemas.openxmlformats.org/officeDocument/2006/relationships/hyperlink" Target="https://www.sfsa.unsa.ba/web/wp-content/uploads/2021/03/zakon-o-budzetima-preciscen-tekst.pdf" TargetMode="External"/><Relationship Id="rId81" Type="http://schemas.openxmlformats.org/officeDocument/2006/relationships/hyperlink" Target="mailto:Arijana.drinic@undp.org" TargetMode="External"/><Relationship Id="rId86" Type="http://schemas.openxmlformats.org/officeDocument/2006/relationships/hyperlink" Target="mailto:Mirjana.grbrsic-cavar@undpr.org" TargetMode="External"/><Relationship Id="rId130" Type="http://schemas.openxmlformats.org/officeDocument/2006/relationships/hyperlink" Target="mailto:ljsibincic@gmail.com" TargetMode="External"/><Relationship Id="rId135" Type="http://schemas.openxmlformats.org/officeDocument/2006/relationships/hyperlink" Target="mailto:fuad.m@rad-tesanj.ba" TargetMode="External"/><Relationship Id="rId151" Type="http://schemas.openxmlformats.org/officeDocument/2006/relationships/chart" Target="charts/chart11.xml"/><Relationship Id="rId156" Type="http://schemas.openxmlformats.org/officeDocument/2006/relationships/chart" Target="charts/chart16.xml"/><Relationship Id="rId177" Type="http://schemas.openxmlformats.org/officeDocument/2006/relationships/theme" Target="theme/theme1.xml"/><Relationship Id="rId172" Type="http://schemas.openxmlformats.org/officeDocument/2006/relationships/chart" Target="charts/chart32.xml"/><Relationship Id="rId13" Type="http://schemas.openxmlformats.org/officeDocument/2006/relationships/hyperlink" Target="mailto:magdastepanyan@yahoo.com" TargetMode="External"/><Relationship Id="rId18" Type="http://schemas.openxmlformats.org/officeDocument/2006/relationships/hyperlink" Target="https://parco.gov.ba/en/tag/vladafbih" TargetMode="External"/><Relationship Id="rId39" Type="http://schemas.openxmlformats.org/officeDocument/2006/relationships/hyperlink" Target="http://www.parlament.gov.rs/upload/archive/files/lat/pdf/zakoni/2012/4113-12Lat.pdf" TargetMode="External"/><Relationship Id="rId109" Type="http://schemas.openxmlformats.org/officeDocument/2006/relationships/hyperlink" Target="mailto:ognjen.dragicevic@prijedorgrad.org" TargetMode="External"/><Relationship Id="rId34" Type="http://schemas.openxmlformats.org/officeDocument/2006/relationships/hyperlink" Target="https://fbihvlada.gov.ba/bosanski/zakoni/2017/zakoni/16h.html" TargetMode="External"/><Relationship Id="rId50" Type="http://schemas.openxmlformats.org/officeDocument/2006/relationships/hyperlink" Target="https://www.vladars.net/sr-SP-Cyrl/Vlada/Ministarstva/mf/Documents/&#1047;&#1072;&#1082;&#1086;&#1085;%20&#1086;%20&#1089;&#1080;&#1089;&#1090;&#1077;&#1084;&#1091;%20&#1080;&#1085;&#1090;&#1077;&#1088;&#1085;&#1080;&#1093;%20&#1092;&#1080;&#1085;&#1072;&#1085;&#1089;&#1080;&#1112;&#1089;&#1082;&#1080;&#1093;%20&#1082;&#1086;&#1085;&#1090;&#1088;&#1086;&#1083;&#1072;%20&#1091;%20&#1112;&#1072;&#1074;&#1085;&#1086;&#1084;%20&#1089;&#1077;&#1082;&#1090;&#1086;&#1088;&#1091;%20&#1056;&#1057;,%20&#1057;&#1043;%2091_16_367122074.pdf" TargetMode="External"/><Relationship Id="rId55" Type="http://schemas.openxmlformats.org/officeDocument/2006/relationships/hyperlink" Target="https://www.vladars.net/sr-SP-Cyrl/Vlada/Ministarstva/muls/Documents/Zakon%20o%20slobodi%20pristupa%20informacijama.pdf" TargetMode="External"/><Relationship Id="rId76" Type="http://schemas.openxmlformats.org/officeDocument/2006/relationships/chart" Target="charts/chart3.xml"/><Relationship Id="rId97" Type="http://schemas.openxmlformats.org/officeDocument/2006/relationships/hyperlink" Target="mailto:branislavs@alvrs.com" TargetMode="External"/><Relationship Id="rId104" Type="http://schemas.openxmlformats.org/officeDocument/2006/relationships/hyperlink" Target="mailto:renata.abduzaimovic@eeas.europa.eu" TargetMode="External"/><Relationship Id="rId120" Type="http://schemas.openxmlformats.org/officeDocument/2006/relationships/hyperlink" Target="mailto:sslijepcevic@yahoo.com" TargetMode="External"/><Relationship Id="rId125" Type="http://schemas.openxmlformats.org/officeDocument/2006/relationships/hyperlink" Target="mailto:info@vodostan.ba" TargetMode="External"/><Relationship Id="rId141" Type="http://schemas.openxmlformats.org/officeDocument/2006/relationships/hyperlink" Target="mailto:zdravosrbac@yahoo.com" TargetMode="External"/><Relationship Id="rId146" Type="http://schemas.openxmlformats.org/officeDocument/2006/relationships/chart" Target="charts/chart6.xml"/><Relationship Id="rId167" Type="http://schemas.openxmlformats.org/officeDocument/2006/relationships/chart" Target="charts/chart27.xml"/><Relationship Id="rId7" Type="http://schemas.openxmlformats.org/officeDocument/2006/relationships/styles" Target="styles.xml"/><Relationship Id="rId71" Type="http://schemas.openxmlformats.org/officeDocument/2006/relationships/image" Target="media/image3.png"/><Relationship Id="rId92" Type="http://schemas.openxmlformats.org/officeDocument/2006/relationships/hyperlink" Target="mailto:rada.milisav@mvteo.gov.ba" TargetMode="External"/><Relationship Id="rId162" Type="http://schemas.openxmlformats.org/officeDocument/2006/relationships/chart" Target="charts/chart22.xml"/><Relationship Id="rId2" Type="http://schemas.openxmlformats.org/officeDocument/2006/relationships/customXml" Target="../customXml/item2.xml"/><Relationship Id="rId29" Type="http://schemas.openxmlformats.org/officeDocument/2006/relationships/hyperlink" Target="https://legalist.ba/wp-content/uploads/2014/02/Zakon-o-privatizaciji-preduzeca-FBiH-nesluzbeni-precisceni-tekst.pdf" TargetMode="External"/><Relationship Id="rId24" Type="http://schemas.openxmlformats.org/officeDocument/2006/relationships/hyperlink" Target="https://www.vladars.net/sr-SP-Cyrl/Vlada/Ministarstva/mnk/Documents/Strategija%20e%20uprave%20pdf.pdf" TargetMode="External"/><Relationship Id="rId40" Type="http://schemas.openxmlformats.org/officeDocument/2006/relationships/hyperlink" Target="https://vladars.rs/sr-SP-Cyrl/Vlada/Ministarstva/mf/Servisi/Poslovanje/Documents/Zakon%20o%20budzetskom%20sistemu%20RS.pdf" TargetMode="External"/><Relationship Id="rId45" Type="http://schemas.openxmlformats.org/officeDocument/2006/relationships/hyperlink" Target="https://advokat-prnjavorac.com/zakoni/Zakon-o-suzbijanju-korupcije-i-organiziranog-kriminala-u-FBiH.pdf" TargetMode="External"/><Relationship Id="rId66" Type="http://schemas.openxmlformats.org/officeDocument/2006/relationships/hyperlink" Target="https://parlamentfbih.gov.ba/dom_naroda/bos/parlament/propisi/El_materijali/Zakon%20o%20finansijskom%20upravljanju%20i%20kontroli.pdf" TargetMode="External"/><Relationship Id="rId87" Type="http://schemas.openxmlformats.org/officeDocument/2006/relationships/hyperlink" Target="mailto:Alen.robovic@undp.org" TargetMode="External"/><Relationship Id="rId110" Type="http://schemas.openxmlformats.org/officeDocument/2006/relationships/hyperlink" Target="mailto:Hamzalija.hojkuric@opcina-tesanj.ba" TargetMode="External"/><Relationship Id="rId115" Type="http://schemas.openxmlformats.org/officeDocument/2006/relationships/hyperlink" Target="mailto:Zorica.suvajac@opstinaprnjavor.net" TargetMode="External"/><Relationship Id="rId131" Type="http://schemas.openxmlformats.org/officeDocument/2006/relationships/hyperlink" Target="mailto:vodovod@vodovod-bihac.ba" TargetMode="External"/><Relationship Id="rId136" Type="http://schemas.openxmlformats.org/officeDocument/2006/relationships/hyperlink" Target="mailto:info@unaconsulting.ba" TargetMode="External"/><Relationship Id="rId157" Type="http://schemas.openxmlformats.org/officeDocument/2006/relationships/chart" Target="charts/chart17.xml"/><Relationship Id="rId61" Type="http://schemas.openxmlformats.org/officeDocument/2006/relationships/hyperlink" Target="https://vladars.rs/sr-SP-Cyrl/Vlada/Sekretarijat/stratplan/propisi/Documents/Uredba%20o%20strat%20doc.pdf" TargetMode="External"/><Relationship Id="rId82" Type="http://schemas.openxmlformats.org/officeDocument/2006/relationships/hyperlink" Target="mailto:goran.stefatic@undp.org" TargetMode="External"/><Relationship Id="rId152" Type="http://schemas.openxmlformats.org/officeDocument/2006/relationships/chart" Target="charts/chart12.xml"/><Relationship Id="rId173" Type="http://schemas.openxmlformats.org/officeDocument/2006/relationships/chart" Target="charts/chart33.xml"/><Relationship Id="rId19" Type="http://schemas.openxmlformats.org/officeDocument/2006/relationships/hyperlink" Target="https://www.vladars.rs/sr-SP-Cyrl/Vlada/Ministarstva/muls/Documents/Strategy%20for%20development%20of%20LGU%20RS_246360471.pdf" TargetMode="External"/><Relationship Id="rId14" Type="http://schemas.openxmlformats.org/officeDocument/2006/relationships/hyperlink" Target="mailto:zeljka.knezevic321@gmail.com" TargetMode="External"/><Relationship Id="rId30" Type="http://schemas.openxmlformats.org/officeDocument/2006/relationships/hyperlink" Target="https://legalist.ba/wp-content/uploads/2014/02/Zakon-o-privatizaciji-preduzeca-FBiH-nesluzbeni-precisceni-tekst.pdf" TargetMode="External"/><Relationship Id="rId35" Type="http://schemas.openxmlformats.org/officeDocument/2006/relationships/hyperlink" Target="https://vladars.rs/sr-SP-Cyrl/Vlada/Sekretarijat/stratplan/propisi/Documents/Uredba%20o%20strat%20doc.pdf" TargetMode="External"/><Relationship Id="rId56" Type="http://schemas.openxmlformats.org/officeDocument/2006/relationships/hyperlink" Target="https://www.paragraf.ba/propisi/bih/zakon-o-javnim-nabavkama.html" TargetMode="External"/><Relationship Id="rId77" Type="http://schemas.openxmlformats.org/officeDocument/2006/relationships/chart" Target="charts/chart4.xml"/><Relationship Id="rId100" Type="http://schemas.openxmlformats.org/officeDocument/2006/relationships/hyperlink" Target="mailto:Maja.zaric@eda.admin.ch" TargetMode="External"/><Relationship Id="rId105" Type="http://schemas.openxmlformats.org/officeDocument/2006/relationships/hyperlink" Target="mailto:rajka.zdjelar@prijedorgrad.org" TargetMode="External"/><Relationship Id="rId126" Type="http://schemas.openxmlformats.org/officeDocument/2006/relationships/hyperlink" Target="mailto:info@vodovod-pd.com" TargetMode="External"/><Relationship Id="rId147" Type="http://schemas.openxmlformats.org/officeDocument/2006/relationships/chart" Target="charts/chart7.xml"/><Relationship Id="rId168" Type="http://schemas.openxmlformats.org/officeDocument/2006/relationships/chart" Target="charts/chart28.xml"/><Relationship Id="rId8" Type="http://schemas.openxmlformats.org/officeDocument/2006/relationships/settings" Target="settings.xml"/><Relationship Id="rId51" Type="http://schemas.openxmlformats.org/officeDocument/2006/relationships/hyperlink" Target="https://www.narodnaskupstinars.net/?q=en/node/8279" TargetMode="External"/><Relationship Id="rId72" Type="http://schemas.openxmlformats.org/officeDocument/2006/relationships/hyperlink" Target="file:///C:\Users\Misel\Desktop\Result%20Framework%20(002).xlsx" TargetMode="External"/><Relationship Id="rId93" Type="http://schemas.openxmlformats.org/officeDocument/2006/relationships/hyperlink" Target="mailto:m.vranic@mps.vladars.rs" TargetMode="External"/><Relationship Id="rId98" Type="http://schemas.openxmlformats.org/officeDocument/2006/relationships/hyperlink" Target="mailto:Amir@sogfbih.ba" TargetMode="External"/><Relationship Id="rId121" Type="http://schemas.openxmlformats.org/officeDocument/2006/relationships/hyperlink" Target="mailto:Vildana.zulic@bihac.org" TargetMode="External"/><Relationship Id="rId142" Type="http://schemas.openxmlformats.org/officeDocument/2006/relationships/hyperlink" Target="http://www.ecitizen.ba" TargetMode="External"/><Relationship Id="rId163" Type="http://schemas.openxmlformats.org/officeDocument/2006/relationships/chart" Target="charts/chart23.xml"/><Relationship Id="rId3" Type="http://schemas.openxmlformats.org/officeDocument/2006/relationships/customXml" Target="../customXml/item3.xml"/><Relationship Id="rId25" Type="http://schemas.openxmlformats.org/officeDocument/2006/relationships/hyperlink" Target="https://www.fbihvlada.gov.ba/bosanski/zakoni/1998/zakoni/24%20h%20o%20vodama.htm" TargetMode="External"/><Relationship Id="rId46" Type="http://schemas.openxmlformats.org/officeDocument/2006/relationships/hyperlink" Target="https://www.paragraf.ba/propisi/republika-srpska/zakon-o-lokalnoj-samoupravi.html" TargetMode="External"/><Relationship Id="rId67" Type="http://schemas.openxmlformats.org/officeDocument/2006/relationships/hyperlink" Target="https://www.vladars.net/sr-SP-Cyrl/Vlada/Ministarstva/mf/Documents/&#1047;&#1072;&#1082;&#1086;&#1085;%20&#1086;%20&#1089;&#1080;&#1089;&#1090;&#1077;&#1084;&#1091;%20&#1080;&#1085;&#1090;&#1077;&#1088;&#1085;&#1080;&#1093;%20&#1092;&#1080;&#1085;&#1072;&#1085;&#1089;&#1080;&#1112;&#1089;&#1082;&#1080;&#1093;%20&#1082;&#1086;&#1085;&#1090;&#1088;&#1086;&#1083;&#1072;%20&#1091;%20&#1112;&#1072;&#1074;&#1085;&#1086;&#1084;%20&#1089;&#1077;&#1082;&#1090;&#1086;&#1088;&#1091;%20&#1056;&#1057;,%20&#1057;&#1043;%2091_16_367122074.pdf" TargetMode="External"/><Relationship Id="rId116" Type="http://schemas.openxmlformats.org/officeDocument/2006/relationships/hyperlink" Target="mailto:Vladimir.rupa@opstinaprnjavor.net" TargetMode="External"/><Relationship Id="rId137" Type="http://schemas.openxmlformats.org/officeDocument/2006/relationships/hyperlink" Target="mailto:haris@cedes.ba" TargetMode="External"/><Relationship Id="rId158" Type="http://schemas.openxmlformats.org/officeDocument/2006/relationships/chart" Target="charts/chart18.xml"/><Relationship Id="rId20" Type="http://schemas.openxmlformats.org/officeDocument/2006/relationships/hyperlink" Target="https://www.undp.org/bs/bosnia-herzegovina/projects/digitalna-transformacija-u-javnom-sektoru-u-bih" TargetMode="External"/><Relationship Id="rId41" Type="http://schemas.openxmlformats.org/officeDocument/2006/relationships/hyperlink" Target="https://www.sfsa.unsa.ba/web/wp-content/uploads/2021/03/zakon-o-budzetima-preciscen-tekst.pdf" TargetMode="External"/><Relationship Id="rId62" Type="http://schemas.openxmlformats.org/officeDocument/2006/relationships/hyperlink" Target="https://fzzpr.gov.ba/files/Uredbe/Uredba%20o%20izradi%20strateskih%20dokumenata%20.pdf" TargetMode="External"/><Relationship Id="rId83" Type="http://schemas.openxmlformats.org/officeDocument/2006/relationships/hyperlink" Target="mailto:amra.zorlak@undp.org" TargetMode="External"/><Relationship Id="rId88" Type="http://schemas.openxmlformats.org/officeDocument/2006/relationships/hyperlink" Target="mailto:ipalandzic@worldbank.org" TargetMode="External"/><Relationship Id="rId111" Type="http://schemas.openxmlformats.org/officeDocument/2006/relationships/hyperlink" Target="mailto:Selma.ramic@opcina-tesanj.ba" TargetMode="External"/><Relationship Id="rId132" Type="http://schemas.openxmlformats.org/officeDocument/2006/relationships/hyperlink" Target="mailto:vodovod@vodovod-bihac.ba" TargetMode="External"/><Relationship Id="rId153" Type="http://schemas.openxmlformats.org/officeDocument/2006/relationships/chart" Target="charts/chart13.xml"/><Relationship Id="rId174" Type="http://schemas.openxmlformats.org/officeDocument/2006/relationships/image" Target="media/image6.emf"/><Relationship Id="rId15" Type="http://schemas.openxmlformats.org/officeDocument/2006/relationships/hyperlink" Target="mailto:pavlica@spinter.net" TargetMode="External"/><Relationship Id="rId36" Type="http://schemas.openxmlformats.org/officeDocument/2006/relationships/hyperlink" Target="https://fzzpr.gov.ba/files/Uredbe/Uredba%20o%20izradi%20strateskih%20dokumenata%20.pdf" TargetMode="External"/><Relationship Id="rId57" Type="http://schemas.openxmlformats.org/officeDocument/2006/relationships/hyperlink" Target="http://www.parlament.gov.rs/upload/archive/files/lat/pdf/zakoni/2012/4113-12Lat.pdf" TargetMode="External"/><Relationship Id="rId106" Type="http://schemas.openxmlformats.org/officeDocument/2006/relationships/hyperlink" Target="mailto:Svetozar.vuckovac@prijedorgrad.org" TargetMode="External"/><Relationship Id="rId127" Type="http://schemas.openxmlformats.org/officeDocument/2006/relationships/hyperlink" Target="mailto:info@vodovod-pd.com" TargetMode="External"/><Relationship Id="rId10" Type="http://schemas.openxmlformats.org/officeDocument/2006/relationships/footnotes" Target="footnotes.xml"/><Relationship Id="rId31" Type="http://schemas.openxmlformats.org/officeDocument/2006/relationships/hyperlink" Target="https://www.paragraf.ba/propisi/republika-srpska/zakon-o-socijalnoj-zastiti.html" TargetMode="External"/><Relationship Id="rId52" Type="http://schemas.openxmlformats.org/officeDocument/2006/relationships/hyperlink" Target="https://advokat-prnjavorac.com/zakoni/Zakon-o-suzbijanju-korupcije-i-organiziranog-kriminala-u-FBiH.pdf" TargetMode="External"/><Relationship Id="rId73" Type="http://schemas.openxmlformats.org/officeDocument/2006/relationships/chart" Target="charts/chart1.xml"/><Relationship Id="rId78" Type="http://schemas.openxmlformats.org/officeDocument/2006/relationships/hyperlink" Target="file:///C:\Users\Misel\Desktop\Result%20Framework%20(002).xlsx" TargetMode="External"/><Relationship Id="rId94" Type="http://schemas.openxmlformats.org/officeDocument/2006/relationships/hyperlink" Target="mailto:alma.imamovic@fmpvs.gov.ba" TargetMode="External"/><Relationship Id="rId99" Type="http://schemas.openxmlformats.org/officeDocument/2006/relationships/hyperlink" Target="mailto:amila@voda.ba" TargetMode="External"/><Relationship Id="rId101" Type="http://schemas.openxmlformats.org/officeDocument/2006/relationships/hyperlink" Target="mailto:Bosko.kenjic@eda.admin.ch" TargetMode="External"/><Relationship Id="rId122" Type="http://schemas.openxmlformats.org/officeDocument/2006/relationships/hyperlink" Target="mailto:vijece@bihac.org" TargetMode="External"/><Relationship Id="rId143" Type="http://schemas.openxmlformats.org/officeDocument/2006/relationships/image" Target="media/image4.emf"/><Relationship Id="rId148" Type="http://schemas.openxmlformats.org/officeDocument/2006/relationships/chart" Target="charts/chart8.xml"/><Relationship Id="rId164" Type="http://schemas.openxmlformats.org/officeDocument/2006/relationships/chart" Target="charts/chart24.xml"/><Relationship Id="rId169" Type="http://schemas.openxmlformats.org/officeDocument/2006/relationships/chart" Target="charts/chart29.xml"/><Relationship Id="rId9" Type="http://schemas.openxmlformats.org/officeDocument/2006/relationships/webSettings" Target="webSettings.xml"/><Relationship Id="rId26" Type="http://schemas.openxmlformats.org/officeDocument/2006/relationships/hyperlink" Target="https://faolex.fao.org/docs/pdf/bih133161.pdf" TargetMode="External"/><Relationship Id="rId47" Type="http://schemas.openxmlformats.org/officeDocument/2006/relationships/hyperlink" Target="https://www.fbihvlada.gov.ba/bosanski/zakoni/2006/zakoni/34bos.htm" TargetMode="External"/><Relationship Id="rId68" Type="http://schemas.openxmlformats.org/officeDocument/2006/relationships/hyperlink" Target="https://www.narodnaskupstinars.net/?q=en/node/8279" TargetMode="External"/><Relationship Id="rId89" Type="http://schemas.openxmlformats.org/officeDocument/2006/relationships/hyperlink" Target="mailto:Victor.munteanu@undp.org" TargetMode="External"/><Relationship Id="rId112" Type="http://schemas.openxmlformats.org/officeDocument/2006/relationships/hyperlink" Target="mailto:amir.kurtic@opcina-tesanj.ba" TargetMode="External"/><Relationship Id="rId133" Type="http://schemas.openxmlformats.org/officeDocument/2006/relationships/hyperlink" Target="mailto:vik@teol.net" TargetMode="External"/><Relationship Id="rId154" Type="http://schemas.openxmlformats.org/officeDocument/2006/relationships/chart" Target="charts/chart14.xml"/><Relationship Id="rId175" Type="http://schemas.openxmlformats.org/officeDocument/2006/relationships/image" Target="media/image7.emf"/><Relationship Id="rId16" Type="http://schemas.openxmlformats.org/officeDocument/2006/relationships/footer" Target="footer1.xml"/><Relationship Id="rId37" Type="http://schemas.openxmlformats.org/officeDocument/2006/relationships/hyperlink" Target="https://vladars.rs/sr-SP-Cyrl/Vlada/Sekretarijat/stratplan/propisi/Documents/RS%20Uredba%20o%20sprovedbenim%20dokumentima.pdf" TargetMode="External"/><Relationship Id="rId58" Type="http://schemas.openxmlformats.org/officeDocument/2006/relationships/hyperlink" Target="https://fzzpr.gov.ba/files/Strategije/Strategija%20za%20borbu%20protiv%20korupcije%202024-2028..pdf" TargetMode="External"/><Relationship Id="rId79" Type="http://schemas.openxmlformats.org/officeDocument/2006/relationships/hyperlink" Target="mailto:aida.lakovic-hoso@undp.org" TargetMode="External"/><Relationship Id="rId102" Type="http://schemas.openxmlformats.org/officeDocument/2006/relationships/hyperlink" Target="mailto:Aisa.bijedic@gov.se" TargetMode="External"/><Relationship Id="rId123" Type="http://schemas.openxmlformats.org/officeDocument/2006/relationships/hyperlink" Target="mailto:a.hodzic@gracanica.gov.ba" TargetMode="External"/><Relationship Id="rId144" Type="http://schemas.openxmlformats.org/officeDocument/2006/relationships/image" Target="media/image5.emf"/><Relationship Id="rId90" Type="http://schemas.openxmlformats.org/officeDocument/2006/relationships/hyperlink" Target="mailto:renaud.meyer@undp.org" TargetMode="External"/><Relationship Id="rId165" Type="http://schemas.openxmlformats.org/officeDocument/2006/relationships/chart" Target="charts/chart25.xml"/><Relationship Id="rId27" Type="http://schemas.openxmlformats.org/officeDocument/2006/relationships/hyperlink" Target="https://www.hbsume.ba/public/files/zakon_o_javnim_poduzecima.pdf" TargetMode="External"/><Relationship Id="rId48" Type="http://schemas.openxmlformats.org/officeDocument/2006/relationships/hyperlink" Target="https://www.mft.gov.ba/Content/OpenAttachment?id=951528d9-81b0-4c9b-9d7d-e365b170f1b4&amp;lang=hr" TargetMode="External"/><Relationship Id="rId69" Type="http://schemas.openxmlformats.org/officeDocument/2006/relationships/hyperlink" Target="https://advokat-prnjavorac.com/zakoni/Zakon-o-suzbijanju-korupcije-i-organiziranog-kriminala-u-FBiH.pdf" TargetMode="External"/><Relationship Id="rId113" Type="http://schemas.openxmlformats.org/officeDocument/2006/relationships/hyperlink" Target="mailto:Merima.osmanovic@ilijas.ba" TargetMode="External"/><Relationship Id="rId134" Type="http://schemas.openxmlformats.org/officeDocument/2006/relationships/hyperlink" Target="mailto:ljsibincic@gmail.com" TargetMode="External"/><Relationship Id="rId80" Type="http://schemas.openxmlformats.org/officeDocument/2006/relationships/hyperlink" Target="mailto:Nera.monir-divan@undp.org" TargetMode="External"/><Relationship Id="rId155" Type="http://schemas.openxmlformats.org/officeDocument/2006/relationships/chart" Target="charts/chart15.xml"/><Relationship Id="rId176" Type="http://schemas.openxmlformats.org/officeDocument/2006/relationships/fontTable" Target="fontTable.xml"/><Relationship Id="rId17" Type="http://schemas.openxmlformats.org/officeDocument/2006/relationships/footer" Target="footer2.xml"/><Relationship Id="rId38" Type="http://schemas.openxmlformats.org/officeDocument/2006/relationships/hyperlink" Target="https://www.paragraf.ba/propisi/bih/zakon-o-javnim-nabavkama.html" TargetMode="External"/><Relationship Id="rId59" Type="http://schemas.openxmlformats.org/officeDocument/2006/relationships/hyperlink" Target="https://www.narodnaskupstinars.net/?q=la/akti/usvojeni-zakoni/zakon-o-strate&#353;kom-planiranju-i-upravljanju-razvojem-u-republici-srpskoj" TargetMode="External"/><Relationship Id="rId103" Type="http://schemas.openxmlformats.org/officeDocument/2006/relationships/hyperlink" Target="mailto:stepan.santrucek@mzv.gov.cz" TargetMode="External"/><Relationship Id="rId124" Type="http://schemas.openxmlformats.org/officeDocument/2006/relationships/hyperlink" Target="mailto:privreda@opstinains.net" TargetMode="External"/><Relationship Id="rId70" Type="http://schemas.openxmlformats.org/officeDocument/2006/relationships/image" Target="media/image2.png"/><Relationship Id="rId91" Type="http://schemas.openxmlformats.org/officeDocument/2006/relationships/hyperlink" Target="mailto:dj.papak@muls.vladars.rs" TargetMode="External"/><Relationship Id="rId145" Type="http://schemas.openxmlformats.org/officeDocument/2006/relationships/chart" Target="charts/chart5.xml"/><Relationship Id="rId166" Type="http://schemas.openxmlformats.org/officeDocument/2006/relationships/chart" Target="charts/chart26.xml"/><Relationship Id="rId1"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3" Type="http://schemas.openxmlformats.org/officeDocument/2006/relationships/hyperlink" Target="https://icld.se/wp-content/uploads/ICLD-Country-Brief-Bosnia-Herzegovina.pdf" TargetMode="External"/><Relationship Id="rId18" Type="http://schemas.openxmlformats.org/officeDocument/2006/relationships/hyperlink" Target="https://procurement-notices.undp.org/view_file.cfm?doc_id=302194" TargetMode="External"/><Relationship Id="rId26" Type="http://schemas.openxmlformats.org/officeDocument/2006/relationships/hyperlink" Target="https://unstuck.systems/system-approaches-toolkit/" TargetMode="External"/><Relationship Id="rId3" Type="http://schemas.openxmlformats.org/officeDocument/2006/relationships/hyperlink" Target="https://portal.cor.europa.eu/divisionpowers/Pages/Bosnia-Herzegovina.aspx" TargetMode="External"/><Relationship Id="rId21" Type="http://schemas.openxmlformats.org/officeDocument/2006/relationships/hyperlink" Target="https://www.wareg.org/european-water-acquis/" TargetMode="External"/><Relationship Id="rId34" Type="http://schemas.openxmlformats.org/officeDocument/2006/relationships/hyperlink" Target="https://www.osce.org/files/f/documents/0/7/183371.pdf" TargetMode="External"/><Relationship Id="rId7" Type="http://schemas.openxmlformats.org/officeDocument/2006/relationships/hyperlink" Target="https://n1info.ba/english/news/forbes-bosnia-has-the-secong-biggest-diaspora-in-the-world/" TargetMode="External"/><Relationship Id="rId12" Type="http://schemas.openxmlformats.org/officeDocument/2006/relationships/hyperlink" Target="https://www.climatechangepost.com/countries/bosnia/fresh-water-resources/" TargetMode="External"/><Relationship Id="rId17" Type="http://schemas.openxmlformats.org/officeDocument/2006/relationships/hyperlink" Target="https://www.unevaluation.org/uneg_publications/uneg-norms-and-standards-evaluation-un-system" TargetMode="External"/><Relationship Id="rId25" Type="http://schemas.openxmlformats.org/officeDocument/2006/relationships/hyperlink" Target="https://www.worldbank.org/en/topic/water/publication/utility-of-the-future" TargetMode="External"/><Relationship Id="rId33" Type="http://schemas.openxmlformats.org/officeDocument/2006/relationships/hyperlink" Target="https://tron.ba" TargetMode="External"/><Relationship Id="rId2" Type="http://schemas.openxmlformats.org/officeDocument/2006/relationships/hyperlink" Target="https://www.osce.org/bih/126173" TargetMode="External"/><Relationship Id="rId16" Type="http://schemas.openxmlformats.org/officeDocument/2006/relationships/hyperlink" Target="https://www.oecd.org/dac/evaluation/daccriteriaforevaluatingdevelopmentassistance.htm" TargetMode="External"/><Relationship Id="rId20" Type="http://schemas.openxmlformats.org/officeDocument/2006/relationships/hyperlink" Target="https://erc.undp.org/methods-center/methods/evaluation-methods/contribution-analysis" TargetMode="External"/><Relationship Id="rId29" Type="http://schemas.openxmlformats.org/officeDocument/2006/relationships/hyperlink" Target="https://www.cedrig.org" TargetMode="External"/><Relationship Id="rId1" Type="http://schemas.openxmlformats.org/officeDocument/2006/relationships/hyperlink" Target="https://ec.europa.eu/eurostat/databrowser/view/tps00001/default/table?lang=en" TargetMode="External"/><Relationship Id="rId6" Type="http://schemas.openxmlformats.org/officeDocument/2006/relationships/hyperlink" Target="https://migrants-refugees.va/country-profile/bosnia-and-herzegovina/" TargetMode="External"/><Relationship Id="rId11" Type="http://schemas.openxmlformats.org/officeDocument/2006/relationships/hyperlink" Target="https://www.vladars.net/sr-SP-Cyrl/Vlada/Ministarstva/mgr/Documents/ENVIRONMENTAL%20STRATEGY%20OF%20REPUBLIKA%20SRPSKA%202022%20to%202032_462217192.pdf" TargetMode="External"/><Relationship Id="rId24" Type="http://schemas.openxmlformats.org/officeDocument/2006/relationships/hyperlink" Target="https://www.undp.org/bosnia-herzegovina/publications/national-human-development-report-2020-social-inclusion-bosnia-and-herzegovina" TargetMode="External"/><Relationship Id="rId32" Type="http://schemas.openxmlformats.org/officeDocument/2006/relationships/hyperlink" Target="https://www.cedes.ba" TargetMode="External"/><Relationship Id="rId5" Type="http://schemas.openxmlformats.org/officeDocument/2006/relationships/hyperlink" Target="https://www.ohr.int/en/" TargetMode="External"/><Relationship Id="rId15" Type="http://schemas.openxmlformats.org/officeDocument/2006/relationships/hyperlink" Target="https://www.undp.org/publications/system-change-guidebook-adopting-portfolio-approaches" TargetMode="External"/><Relationship Id="rId23" Type="http://schemas.openxmlformats.org/officeDocument/2006/relationships/hyperlink" Target="https://www.undp.org/bosnia-herzegovina/publications/local-gender-equality-landscape" TargetMode="External"/><Relationship Id="rId28" Type="http://schemas.openxmlformats.org/officeDocument/2006/relationships/hyperlink" Target="https://www.undp.org/sites/g/files/zskgke326/files/2025-08/undp_modernizing_development_introducing_portfolios_2025.pdf.pdf" TargetMode="External"/><Relationship Id="rId36" Type="http://schemas.openxmlformats.org/officeDocument/2006/relationships/hyperlink" Target="https://enlargement.ec.europa.eu/document/download/af28ca66-9745-48c5-9e70-3d3bfd46a6f4_en?filename=ipa_2020-041-818.10-mc-eu_integration_facility.pdf" TargetMode="External"/><Relationship Id="rId10" Type="http://schemas.openxmlformats.org/officeDocument/2006/relationships/hyperlink" Target="https://rm.coe.int/european-charter-of-local-self-government-eng/1680a87cc3" TargetMode="External"/><Relationship Id="rId19" Type="http://schemas.openxmlformats.org/officeDocument/2006/relationships/hyperlink" Target="https://erc.undp.org/pdf/UNDP_Evaluation_Guidelines.pdf" TargetMode="External"/><Relationship Id="rId31" Type="http://schemas.openxmlformats.org/officeDocument/2006/relationships/hyperlink" Target="https://ecitizen.ba/" TargetMode="External"/><Relationship Id="rId4" Type="http://schemas.openxmlformats.org/officeDocument/2006/relationships/hyperlink" Target="https://www.britannica.com/topic/consociationalism" TargetMode="External"/><Relationship Id="rId9" Type="http://schemas.openxmlformats.org/officeDocument/2006/relationships/hyperlink" Target="https://eca.unwomen.org/sites/default/files/Field%20Office%20ECA/Attachments/Publications/2021/7/UNW%20Country%20Gender%20Equality%20Profile%20BiH.pdf" TargetMode="External"/><Relationship Id="rId14" Type="http://schemas.openxmlformats.org/officeDocument/2006/relationships/hyperlink" Target="https://www.undp.org/bosnia-herzegovina/publications/country-programme-document-bosnia-and-herzegovina-2021-2025" TargetMode="External"/><Relationship Id="rId22" Type="http://schemas.openxmlformats.org/officeDocument/2006/relationships/hyperlink" Target="https://www.undp.org/bosnia-herzegovina/publications/sdgs-framework-bosnia-and-herzegovina" TargetMode="External"/><Relationship Id="rId27" Type="http://schemas.openxmlformats.org/officeDocument/2006/relationships/hyperlink" Target="https://popp.undp.org/policy-page/portfolio" TargetMode="External"/><Relationship Id="rId30" Type="http://schemas.openxmlformats.org/officeDocument/2006/relationships/hyperlink" Target="https://www.eupan.eu/caf/" TargetMode="External"/><Relationship Id="rId35" Type="http://schemas.openxmlformats.org/officeDocument/2006/relationships/hyperlink" Target="https://reliefweb.int/map/bosnia-and-herzegovina/bosnia-and-herzegovina-flood-hazard-map-25-jan-2016" TargetMode="External"/><Relationship Id="rId8" Type="http://schemas.openxmlformats.org/officeDocument/2006/relationships/hyperlink" Target="https://worldpopulationreview.com/country-rankings/brain-drain-countries"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isel\Desktop\Anketa%20WUCs\Upitnik%20za%20komunalna%20vodovodna%20preduze&#263;a%20(Responses).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7.xml"/><Relationship Id="rId1" Type="http://schemas.microsoft.com/office/2011/relationships/chartStyle" Target="style7.xml"/></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8.xml"/><Relationship Id="rId1" Type="http://schemas.microsoft.com/office/2011/relationships/chartStyle" Target="style8.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9.xml"/><Relationship Id="rId1" Type="http://schemas.microsoft.com/office/2011/relationships/chartStyle" Target="style9.xml"/></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0.xml"/><Relationship Id="rId1" Type="http://schemas.microsoft.com/office/2011/relationships/chartStyle" Target="style10.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1.xml"/><Relationship Id="rId1" Type="http://schemas.microsoft.com/office/2011/relationships/chartStyle" Target="style11.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Misel\Desktop\Anketa%20WUCs\Upitnik%20za%20komunalna%20vodovodna%20preduze&#263;a%20(Responses).xlsx" TargetMode="External"/><Relationship Id="rId2" Type="http://schemas.microsoft.com/office/2011/relationships/chartColorStyle" Target="colors12.xml"/><Relationship Id="rId1" Type="http://schemas.microsoft.com/office/2011/relationships/chartStyle" Target="style12.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Misel\Desktop\Anketa%20WUCs\Upitnik%20za%20komunalna%20vodovodna%20preduze&#263;a%20(Responses).xlsx" TargetMode="External"/><Relationship Id="rId2" Type="http://schemas.microsoft.com/office/2011/relationships/chartColorStyle" Target="colors13.xml"/><Relationship Id="rId1" Type="http://schemas.microsoft.com/office/2011/relationships/chartStyle" Target="style13.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14.xml"/><Relationship Id="rId1" Type="http://schemas.microsoft.com/office/2011/relationships/chartStyle" Target="style14.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15.xml"/><Relationship Id="rId1" Type="http://schemas.microsoft.com/office/2011/relationships/chartStyle" Target="style15.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16.xml"/><Relationship Id="rId1" Type="http://schemas.microsoft.com/office/2011/relationships/chartStyle" Target="style16.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17.xml"/><Relationship Id="rId1" Type="http://schemas.microsoft.com/office/2011/relationships/chartStyle" Target="style17.xml"/></Relationships>
</file>

<file path=word/charts/_rels/chart25.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18.xml"/><Relationship Id="rId1" Type="http://schemas.microsoft.com/office/2011/relationships/chartStyle" Target="style18.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9.xml"/><Relationship Id="rId1" Type="http://schemas.microsoft.com/office/2011/relationships/chartStyle" Target="style19.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20.xml"/><Relationship Id="rId1" Type="http://schemas.microsoft.com/office/2011/relationships/chartStyle" Target="style20.xml"/></Relationships>
</file>

<file path=word/charts/_rels/chart28.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21.xml"/><Relationship Id="rId1" Type="http://schemas.microsoft.com/office/2011/relationships/chartStyle" Target="style21.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22.xml"/><Relationship Id="rId1" Type="http://schemas.microsoft.com/office/2011/relationships/chartStyle" Target="style22.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23.xml"/><Relationship Id="rId1" Type="http://schemas.microsoft.com/office/2011/relationships/chartStyle" Target="style23.xml"/></Relationships>
</file>

<file path=word/charts/_rels/chart31.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24.xml"/><Relationship Id="rId1" Type="http://schemas.microsoft.com/office/2011/relationships/chartStyle" Target="style24.xml"/></Relationships>
</file>

<file path=word/charts/_rels/chart32.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25.xml"/><Relationship Id="rId1" Type="http://schemas.microsoft.com/office/2011/relationships/chartStyle" Target="style25.xml"/></Relationships>
</file>

<file path=word/charts/_rels/chart33.xml.rels><?xml version="1.0" encoding="UTF-8" standalone="yes"?>
<Relationships xmlns="http://schemas.openxmlformats.org/package/2006/relationships"><Relationship Id="rId3" Type="http://schemas.openxmlformats.org/officeDocument/2006/relationships/oleObject" Target="file:///C:\Users\Misel\Documents\Posao\Additional%20work\2025,%2001%20UNDP%20Water%20final%20evaluation\Outputs\Survey\Anketa%20WUCs\Upitnik%20za%20komunalna%20vodovodna%20preduze&#263;a%20(Responses)(AutoRecovered).xlsx" TargetMode="External"/><Relationship Id="rId2" Type="http://schemas.microsoft.com/office/2011/relationships/chartColorStyle" Target="colors26.xml"/><Relationship Id="rId1" Type="http://schemas.microsoft.com/office/2011/relationships/chartStyle" Target="style2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Main achievements </c:v>
                </c:pt>
              </c:strCache>
            </c:strRef>
          </c:tx>
          <c:spPr>
            <a:solidFill>
              <a:srgbClr val="0070C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Improved citizen participation, 
eCititen, CSS</c:v>
                </c:pt>
                <c:pt idx="1">
                  <c:v>Improved capacities and work 
of LGs in varius areas</c:v>
                </c:pt>
                <c:pt idx="2">
                  <c:v>Improved capacities and work 
of WUCs in varius areas</c:v>
                </c:pt>
                <c:pt idx="3">
                  <c:v>Other </c:v>
                </c:pt>
              </c:strCache>
            </c:strRef>
          </c:cat>
          <c:val>
            <c:numRef>
              <c:f>Sheet1!$B$2:$B$5</c:f>
              <c:numCache>
                <c:formatCode>0%</c:formatCode>
                <c:ptCount val="4"/>
                <c:pt idx="0">
                  <c:v>0.14000000000000001</c:v>
                </c:pt>
                <c:pt idx="1">
                  <c:v>0.33000000000000007</c:v>
                </c:pt>
                <c:pt idx="2">
                  <c:v>0.25</c:v>
                </c:pt>
                <c:pt idx="3">
                  <c:v>0.28000000000000008</c:v>
                </c:pt>
              </c:numCache>
            </c:numRef>
          </c:val>
          <c:extLst>
            <c:ext xmlns:c16="http://schemas.microsoft.com/office/drawing/2014/chart" uri="{C3380CC4-5D6E-409C-BE32-E72D297353CC}">
              <c16:uniqueId val="{00000000-14E8-8B4C-8D28-12C32B07AF9F}"/>
            </c:ext>
          </c:extLst>
        </c:ser>
        <c:dLbls>
          <c:dLblPos val="inEnd"/>
          <c:showLegendKey val="0"/>
          <c:showVal val="1"/>
          <c:showCatName val="0"/>
          <c:showSerName val="0"/>
          <c:showPercent val="0"/>
          <c:showBubbleSize val="0"/>
        </c:dLbls>
        <c:gapWidth val="65"/>
        <c:axId val="116766592"/>
        <c:axId val="116768128"/>
      </c:barChart>
      <c:catAx>
        <c:axId val="116766592"/>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16768128"/>
        <c:crosses val="autoZero"/>
        <c:auto val="1"/>
        <c:lblAlgn val="ctr"/>
        <c:lblOffset val="100"/>
        <c:noMultiLvlLbl val="0"/>
      </c:catAx>
      <c:valAx>
        <c:axId val="11676812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1676659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bs-Latn-BA" sz="1400"/>
              <a:t>Annual</a:t>
            </a:r>
            <a:r>
              <a:rPr lang="bs-Latn-BA" sz="1400" baseline="0"/>
              <a:t> </a:t>
            </a:r>
            <a:r>
              <a:rPr lang="bs-Latn-BA" sz="1400"/>
              <a:t>Progress</a:t>
            </a:r>
            <a:r>
              <a:rPr lang="bs-Latn-BA" sz="1400" baseline="0"/>
              <a:t>  </a:t>
            </a:r>
            <a:r>
              <a:rPr lang="bs-Latn-BA" baseline="0"/>
              <a:t> </a:t>
            </a:r>
            <a:endParaRPr lang="en-US"/>
          </a:p>
        </c:rich>
      </c:tx>
      <c:overlay val="0"/>
    </c:title>
    <c:autoTitleDeleted val="0"/>
    <c:plotArea>
      <c:layout>
        <c:manualLayout>
          <c:layoutTarget val="inner"/>
          <c:xMode val="edge"/>
          <c:yMode val="edge"/>
          <c:x val="2.3148148148148147E-2"/>
          <c:y val="0.18640888638920186"/>
          <c:w val="0.94907407407407574"/>
          <c:h val="0.73402105986751665"/>
        </c:manualLayout>
      </c:layout>
      <c:barChart>
        <c:barDir val="col"/>
        <c:grouping val="clustered"/>
        <c:varyColors val="0"/>
        <c:ser>
          <c:idx val="0"/>
          <c:order val="0"/>
          <c:tx>
            <c:strRef>
              <c:f>Sheet1!$B$1</c:f>
              <c:strCache>
                <c:ptCount val="1"/>
                <c:pt idx="0">
                  <c:v>Field A</c:v>
                </c:pt>
              </c:strCache>
            </c:strRef>
          </c:tx>
          <c:spPr>
            <a:solidFill>
              <a:schemeClr val="tx2">
                <a:lumMod val="50000"/>
                <a:lumOff val="50000"/>
              </a:schemeClr>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Sheet1!$A$2:$A$4</c:f>
              <c:numCache>
                <c:formatCode>General</c:formatCode>
                <c:ptCount val="3"/>
                <c:pt idx="0">
                  <c:v>2022</c:v>
                </c:pt>
                <c:pt idx="1">
                  <c:v>2023</c:v>
                </c:pt>
                <c:pt idx="2">
                  <c:v>2024</c:v>
                </c:pt>
              </c:numCache>
            </c:numRef>
          </c:cat>
          <c:val>
            <c:numRef>
              <c:f>Sheet1!$B$2:$B$4</c:f>
              <c:numCache>
                <c:formatCode>0.00%</c:formatCode>
                <c:ptCount val="3"/>
                <c:pt idx="0">
                  <c:v>0.30120000000000002</c:v>
                </c:pt>
                <c:pt idx="1">
                  <c:v>0.45640000000000008</c:v>
                </c:pt>
                <c:pt idx="2">
                  <c:v>0.59960000000000002</c:v>
                </c:pt>
              </c:numCache>
            </c:numRef>
          </c:val>
          <c:extLst>
            <c:ext xmlns:c16="http://schemas.microsoft.com/office/drawing/2014/chart" uri="{C3380CC4-5D6E-409C-BE32-E72D297353CC}">
              <c16:uniqueId val="{00000000-DC26-1940-BB05-FB8BD2785C8B}"/>
            </c:ext>
          </c:extLst>
        </c:ser>
        <c:dLbls>
          <c:showLegendKey val="0"/>
          <c:showVal val="1"/>
          <c:showCatName val="0"/>
          <c:showSerName val="0"/>
          <c:showPercent val="0"/>
          <c:showBubbleSize val="0"/>
        </c:dLbls>
        <c:gapWidth val="150"/>
        <c:overlap val="-25"/>
        <c:axId val="156145920"/>
        <c:axId val="155316608"/>
      </c:barChart>
      <c:catAx>
        <c:axId val="156145920"/>
        <c:scaling>
          <c:orientation val="minMax"/>
        </c:scaling>
        <c:delete val="0"/>
        <c:axPos val="b"/>
        <c:numFmt formatCode="General" sourceLinked="1"/>
        <c:majorTickMark val="none"/>
        <c:minorTickMark val="none"/>
        <c:tickLblPos val="nextTo"/>
        <c:crossAx val="155316608"/>
        <c:crosses val="autoZero"/>
        <c:auto val="1"/>
        <c:lblAlgn val="ctr"/>
        <c:lblOffset val="100"/>
        <c:noMultiLvlLbl val="0"/>
      </c:catAx>
      <c:valAx>
        <c:axId val="155316608"/>
        <c:scaling>
          <c:orientation val="minMax"/>
        </c:scaling>
        <c:delete val="1"/>
        <c:axPos val="l"/>
        <c:numFmt formatCode="0.00%" sourceLinked="1"/>
        <c:majorTickMark val="none"/>
        <c:minorTickMark val="none"/>
        <c:tickLblPos val="none"/>
        <c:crossAx val="156145920"/>
        <c:crosses val="autoZero"/>
        <c:crossBetween val="between"/>
      </c:valAx>
    </c:plotArea>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Pt>
            <c:idx val="0"/>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72D3-9E4F-93CB-546460BB711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Sheet2!$A$18:$A$22</c:f>
              <c:strCache>
                <c:ptCount val="5"/>
                <c:pt idx="0">
                  <c:v>Improved operations of water utility </c:v>
                </c:pt>
                <c:pt idx="1">
                  <c:v>Introduced water measurement and NRW reduction</c:v>
                </c:pt>
                <c:pt idx="2">
                  <c:v>Participation in legal reform of water sector</c:v>
                </c:pt>
                <c:pt idx="3">
                  <c:v>Improvement of relations between LG and WUC</c:v>
                </c:pt>
                <c:pt idx="4">
                  <c:v>Other improvements</c:v>
                </c:pt>
              </c:strCache>
            </c:strRef>
          </c:cat>
          <c:val>
            <c:numRef>
              <c:f>Sheet2!$B$18:$B$22</c:f>
              <c:numCache>
                <c:formatCode>General</c:formatCode>
                <c:ptCount val="5"/>
                <c:pt idx="0">
                  <c:v>4</c:v>
                </c:pt>
                <c:pt idx="1">
                  <c:v>4</c:v>
                </c:pt>
                <c:pt idx="2">
                  <c:v>2</c:v>
                </c:pt>
                <c:pt idx="3">
                  <c:v>2</c:v>
                </c:pt>
                <c:pt idx="4">
                  <c:v>9</c:v>
                </c:pt>
              </c:numCache>
            </c:numRef>
          </c:val>
          <c:extLst>
            <c:ext xmlns:c16="http://schemas.microsoft.com/office/drawing/2014/chart" uri="{C3380CC4-5D6E-409C-BE32-E72D297353CC}">
              <c16:uniqueId val="{00000002-72D3-9E4F-93CB-546460BB711D}"/>
            </c:ext>
          </c:extLst>
        </c:ser>
        <c:dLbls>
          <c:dLblPos val="inEnd"/>
          <c:showLegendKey val="0"/>
          <c:showVal val="1"/>
          <c:showCatName val="0"/>
          <c:showSerName val="0"/>
          <c:showPercent val="0"/>
          <c:showBubbleSize val="0"/>
        </c:dLbls>
        <c:gapWidth val="65"/>
        <c:axId val="574399327"/>
        <c:axId val="725511359"/>
      </c:barChart>
      <c:catAx>
        <c:axId val="57439932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n-US"/>
          </a:p>
        </c:txPr>
        <c:crossAx val="725511359"/>
        <c:crosses val="autoZero"/>
        <c:auto val="1"/>
        <c:lblAlgn val="ctr"/>
        <c:lblOffset val="100"/>
        <c:noMultiLvlLbl val="0"/>
      </c:catAx>
      <c:valAx>
        <c:axId val="72551135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43993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'Form Responses 1'!$D$32</c:f>
              <c:strCache>
                <c:ptCount val="1"/>
                <c:pt idx="0">
                  <c:v>Frequency</c:v>
                </c:pt>
              </c:strCache>
            </c:strRef>
          </c:tx>
          <c:spPr>
            <a:solidFill>
              <a:srgbClr val="0070C0"/>
            </a:solidFill>
            <a:ln w="9525" cap="flat" cmpd="sng" algn="ctr">
              <a:solidFill>
                <a:schemeClr val="lt1">
                  <a:alpha val="50000"/>
                </a:schemeClr>
              </a:solidFill>
              <a:round/>
            </a:ln>
            <a:effectLst/>
          </c:spPr>
          <c:invertIfNegative val="0"/>
          <c:dPt>
            <c:idx val="0"/>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96F3-234D-9596-A472E4F2FC59}"/>
              </c:ext>
            </c:extLst>
          </c:dPt>
          <c:dLbls>
            <c:dLbl>
              <c:idx val="0"/>
              <c:layout>
                <c:manualLayout>
                  <c:x val="2.6589851539995563E-2"/>
                  <c:y val="0.12261895770724399"/>
                </c:manualLayout>
              </c:layout>
              <c:tx>
                <c:rich>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fld id="{AE2DE585-40C1-894D-BE4D-7BDB1394ADB9}" type="VALUE">
                      <a:rPr lang="en-US"/>
                      <a:pPr>
                        <a:defRPr/>
                      </a:pPr>
                      <a:t>[VALUE]</a:t>
                    </a:fld>
                    <a:r>
                      <a:rPr lang="en-US"/>
                      <a:t> responses</a:t>
                    </a:r>
                  </a:p>
                </c:rich>
              </c:tx>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lt1"/>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0.12306669621094615"/>
                      <c:h val="0.12931090506392479"/>
                    </c:manualLayout>
                  </c15:layout>
                  <c15:dlblFieldTable/>
                  <c15:showDataLabelsRange val="0"/>
                </c:ext>
                <c:ext xmlns:c16="http://schemas.microsoft.com/office/drawing/2014/chart" uri="{C3380CC4-5D6E-409C-BE32-E72D297353CC}">
                  <c16:uniqueId val="{00000001-96F3-234D-9596-A472E4F2FC5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'Form Responses 1'!$C$33:$C$41</c:f>
              <c:strCache>
                <c:ptCount val="9"/>
                <c:pt idx="0">
                  <c:v>Technical support (GIS, DMA zones, tarif model, price calculation)</c:v>
                </c:pt>
                <c:pt idx="1">
                  <c:v>Planning and management </c:v>
                </c:pt>
                <c:pt idx="2">
                  <c:v>Education and apacity building </c:v>
                </c:pt>
                <c:pt idx="3">
                  <c:v>Financial support </c:v>
                </c:pt>
                <c:pt idx="4">
                  <c:v>Experience exchange (with other enterprises and LGs)</c:v>
                </c:pt>
                <c:pt idx="5">
                  <c:v>Improvement of institutional capacities</c:v>
                </c:pt>
                <c:pt idx="6">
                  <c:v>Advisory support</c:v>
                </c:pt>
                <c:pt idx="7">
                  <c:v>Administrative support </c:v>
                </c:pt>
                <c:pt idx="8">
                  <c:v>New knowledge and practical application (legal, charting of water network)</c:v>
                </c:pt>
              </c:strCache>
            </c:strRef>
          </c:cat>
          <c:val>
            <c:numRef>
              <c:f>'Form Responses 1'!$D$33:$D$41</c:f>
              <c:numCache>
                <c:formatCode>General</c:formatCode>
                <c:ptCount val="9"/>
                <c:pt idx="0">
                  <c:v>7</c:v>
                </c:pt>
                <c:pt idx="1">
                  <c:v>4</c:v>
                </c:pt>
                <c:pt idx="2">
                  <c:v>3</c:v>
                </c:pt>
                <c:pt idx="3">
                  <c:v>3</c:v>
                </c:pt>
                <c:pt idx="4">
                  <c:v>2</c:v>
                </c:pt>
                <c:pt idx="5">
                  <c:v>2</c:v>
                </c:pt>
                <c:pt idx="6">
                  <c:v>2</c:v>
                </c:pt>
                <c:pt idx="7">
                  <c:v>2</c:v>
                </c:pt>
                <c:pt idx="8">
                  <c:v>1</c:v>
                </c:pt>
              </c:numCache>
            </c:numRef>
          </c:val>
          <c:extLst>
            <c:ext xmlns:c16="http://schemas.microsoft.com/office/drawing/2014/chart" uri="{C3380CC4-5D6E-409C-BE32-E72D297353CC}">
              <c16:uniqueId val="{00000002-96F3-234D-9596-A472E4F2FC59}"/>
            </c:ext>
          </c:extLst>
        </c:ser>
        <c:dLbls>
          <c:dLblPos val="inEnd"/>
          <c:showLegendKey val="0"/>
          <c:showVal val="1"/>
          <c:showCatName val="0"/>
          <c:showSerName val="0"/>
          <c:showPercent val="0"/>
          <c:showBubbleSize val="0"/>
        </c:dLbls>
        <c:gapWidth val="65"/>
        <c:axId val="574399327"/>
        <c:axId val="725511359"/>
      </c:barChart>
      <c:catAx>
        <c:axId val="57439932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600" b="0" i="0" u="none" strike="noStrike" kern="1200" cap="all" baseline="0">
                <a:solidFill>
                  <a:schemeClr val="dk1">
                    <a:lumMod val="75000"/>
                    <a:lumOff val="25000"/>
                  </a:schemeClr>
                </a:solidFill>
                <a:latin typeface="+mn-lt"/>
                <a:ea typeface="+mn-ea"/>
                <a:cs typeface="+mn-cs"/>
              </a:defRPr>
            </a:pPr>
            <a:endParaRPr lang="en-US"/>
          </a:p>
        </c:txPr>
        <c:crossAx val="725511359"/>
        <c:crosses val="autoZero"/>
        <c:auto val="1"/>
        <c:lblAlgn val="ctr"/>
        <c:lblOffset val="100"/>
        <c:noMultiLvlLbl val="0"/>
      </c:catAx>
      <c:valAx>
        <c:axId val="72551135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43993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1"/>
          <c:order val="0"/>
          <c:dPt>
            <c:idx val="0"/>
            <c:bubble3D val="0"/>
            <c:spPr>
              <a:solidFill>
                <a:srgbClr val="0070C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308F-B348-A54D-09932AC7B6A3}"/>
              </c:ext>
            </c:extLst>
          </c:dPt>
          <c:dPt>
            <c:idx val="1"/>
            <c:bubble3D val="0"/>
            <c:spPr>
              <a:solidFill>
                <a:schemeClr val="accent1">
                  <a:shade val="8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308F-B348-A54D-09932AC7B6A3}"/>
              </c:ext>
            </c:extLst>
          </c:dPt>
          <c:dPt>
            <c:idx val="2"/>
            <c:bubble3D val="0"/>
            <c:spPr>
              <a:solidFill>
                <a:schemeClr val="accent1">
                  <a:tint val="86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308F-B348-A54D-09932AC7B6A3}"/>
              </c:ext>
            </c:extLst>
          </c:dPt>
          <c:dPt>
            <c:idx val="3"/>
            <c:bubble3D val="0"/>
            <c:spPr>
              <a:solidFill>
                <a:schemeClr val="accent1">
                  <a:tint val="58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308F-B348-A54D-09932AC7B6A3}"/>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Sheet1!$H$11:$H$14</c:f>
              <c:strCache>
                <c:ptCount val="4"/>
                <c:pt idx="0">
                  <c:v>Expert associates</c:v>
                </c:pt>
                <c:pt idx="1">
                  <c:v>Geads od LED / development departments</c:v>
                </c:pt>
                <c:pt idx="2">
                  <c:v>Deputies of Mayors</c:v>
                </c:pt>
                <c:pt idx="3">
                  <c:v>Assistants of Mayors</c:v>
                </c:pt>
              </c:strCache>
            </c:strRef>
          </c:cat>
          <c:val>
            <c:numRef>
              <c:f>Sheet1!$I$11:$I$14</c:f>
              <c:numCache>
                <c:formatCode>0%</c:formatCode>
                <c:ptCount val="4"/>
                <c:pt idx="0">
                  <c:v>0.48000000000000032</c:v>
                </c:pt>
                <c:pt idx="1">
                  <c:v>0.37000000000000033</c:v>
                </c:pt>
                <c:pt idx="2">
                  <c:v>0.1</c:v>
                </c:pt>
                <c:pt idx="3">
                  <c:v>0.1</c:v>
                </c:pt>
              </c:numCache>
            </c:numRef>
          </c:val>
          <c:extLst>
            <c:ext xmlns:c16="http://schemas.microsoft.com/office/drawing/2014/chart" uri="{C3380CC4-5D6E-409C-BE32-E72D297353CC}">
              <c16:uniqueId val="{00000008-308F-B348-A54D-09932AC7B6A3}"/>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Received support </c:v>
                </c:pt>
              </c:strCache>
            </c:strRef>
          </c:tx>
          <c:spPr>
            <a:solidFill>
              <a:srgbClr val="0070C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TA in various areas to implement best practices and increase capacity </c:v>
                </c:pt>
                <c:pt idx="1">
                  <c:v>Finnacial support </c:v>
                </c:pt>
                <c:pt idx="2">
                  <c:v>Integrity plans </c:v>
                </c:pt>
                <c:pt idx="3">
                  <c:v>e-Citizen</c:v>
                </c:pt>
              </c:strCache>
            </c:strRef>
          </c:cat>
          <c:val>
            <c:numRef>
              <c:f>Sheet1!$B$2:$B$5</c:f>
              <c:numCache>
                <c:formatCode>0%</c:formatCode>
                <c:ptCount val="4"/>
                <c:pt idx="0">
                  <c:v>0.52</c:v>
                </c:pt>
                <c:pt idx="1">
                  <c:v>0.21000000000000002</c:v>
                </c:pt>
                <c:pt idx="2">
                  <c:v>0.16</c:v>
                </c:pt>
                <c:pt idx="3">
                  <c:v>0.11</c:v>
                </c:pt>
              </c:numCache>
            </c:numRef>
          </c:val>
          <c:extLst>
            <c:ext xmlns:c16="http://schemas.microsoft.com/office/drawing/2014/chart" uri="{C3380CC4-5D6E-409C-BE32-E72D297353CC}">
              <c16:uniqueId val="{00000000-AE0F-7E43-B66D-730C697EEFA8}"/>
            </c:ext>
          </c:extLst>
        </c:ser>
        <c:dLbls>
          <c:dLblPos val="inEnd"/>
          <c:showLegendKey val="0"/>
          <c:showVal val="1"/>
          <c:showCatName val="0"/>
          <c:showSerName val="0"/>
          <c:showPercent val="0"/>
          <c:showBubbleSize val="0"/>
        </c:dLbls>
        <c:gapWidth val="65"/>
        <c:axId val="114394240"/>
        <c:axId val="114419200"/>
      </c:barChart>
      <c:catAx>
        <c:axId val="114394240"/>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14419200"/>
        <c:crosses val="autoZero"/>
        <c:auto val="1"/>
        <c:lblAlgn val="ctr"/>
        <c:lblOffset val="100"/>
        <c:noMultiLvlLbl val="0"/>
      </c:catAx>
      <c:valAx>
        <c:axId val="11441920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143942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Examples</c:v>
                </c:pt>
              </c:strCache>
            </c:strRef>
          </c:tx>
          <c:spPr>
            <a:solidFill>
              <a:srgbClr val="0070C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TA in various areas to implement best 
practices and increase capacity </c:v>
                </c:pt>
                <c:pt idx="1">
                  <c:v>Finnacial support</c:v>
                </c:pt>
                <c:pt idx="2">
                  <c:v>eCitizen</c:v>
                </c:pt>
                <c:pt idx="3">
                  <c:v>Support in water management</c:v>
                </c:pt>
              </c:strCache>
            </c:strRef>
          </c:cat>
          <c:val>
            <c:numRef>
              <c:f>Sheet1!$B$2:$B$5</c:f>
              <c:numCache>
                <c:formatCode>0%</c:formatCode>
                <c:ptCount val="4"/>
                <c:pt idx="0">
                  <c:v>0.39000000000000007</c:v>
                </c:pt>
                <c:pt idx="1">
                  <c:v>0.34</c:v>
                </c:pt>
                <c:pt idx="2">
                  <c:v>0.12000000000000001</c:v>
                </c:pt>
                <c:pt idx="3">
                  <c:v>0.15000000000000002</c:v>
                </c:pt>
              </c:numCache>
            </c:numRef>
          </c:val>
          <c:extLst>
            <c:ext xmlns:c16="http://schemas.microsoft.com/office/drawing/2014/chart" uri="{C3380CC4-5D6E-409C-BE32-E72D297353CC}">
              <c16:uniqueId val="{00000000-FA68-5649-9D01-1B437C3F9E07}"/>
            </c:ext>
          </c:extLst>
        </c:ser>
        <c:dLbls>
          <c:dLblPos val="inEnd"/>
          <c:showLegendKey val="0"/>
          <c:showVal val="1"/>
          <c:showCatName val="0"/>
          <c:showSerName val="0"/>
          <c:showPercent val="0"/>
          <c:showBubbleSize val="0"/>
        </c:dLbls>
        <c:gapWidth val="65"/>
        <c:axId val="115538176"/>
        <c:axId val="116724096"/>
      </c:barChart>
      <c:catAx>
        <c:axId val="115538176"/>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16724096"/>
        <c:crosses val="autoZero"/>
        <c:auto val="1"/>
        <c:lblAlgn val="ctr"/>
        <c:lblOffset val="100"/>
        <c:noMultiLvlLbl val="0"/>
      </c:catAx>
      <c:valAx>
        <c:axId val="11672409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1553817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Sheet1!$B$1</c:f>
              <c:strCache>
                <c:ptCount val="1"/>
                <c:pt idx="0">
                  <c:v>MEG Importance for LGs</c:v>
                </c:pt>
              </c:strCache>
            </c:strRef>
          </c:tx>
          <c:spPr>
            <a:solidFill>
              <a:srgbClr val="0070C0"/>
            </a:solidFill>
            <a:ln w="9525" cap="flat" cmpd="sng" algn="ctr">
              <a:solidFill>
                <a:schemeClr val="lt1">
                  <a:alpha val="50000"/>
                </a:schemeClr>
              </a:solidFill>
              <a:round/>
            </a:ln>
            <a:effectLst/>
          </c:spPr>
          <c:invertIfNegative val="0"/>
          <c:dLbls>
            <c:dLbl>
              <c:idx val="0"/>
              <c:tx>
                <c:rich>
                  <a:bodyPr/>
                  <a:lstStyle/>
                  <a:p>
                    <a:r>
                      <a:rPr lang="en-US"/>
                      <a:t>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75D-F447-8C7A-B1809C52E877}"/>
                </c:ext>
              </c:extLst>
            </c:dLbl>
            <c:dLbl>
              <c:idx val="1"/>
              <c:tx>
                <c:rich>
                  <a:bodyPr/>
                  <a:lstStyle/>
                  <a:p>
                    <a:r>
                      <a:rPr lang="en-US"/>
                      <a:t>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75D-F447-8C7A-B1809C52E877}"/>
                </c:ext>
              </c:extLst>
            </c:dLbl>
            <c:dLbl>
              <c:idx val="2"/>
              <c:tx>
                <c:rich>
                  <a:bodyPr/>
                  <a:lstStyle/>
                  <a:p>
                    <a:r>
                      <a:rPr lang="en-US"/>
                      <a:t>25%</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75D-F447-8C7A-B1809C52E877}"/>
                </c:ext>
              </c:extLst>
            </c:dLbl>
            <c:dLbl>
              <c:idx val="3"/>
              <c:tx>
                <c:rich>
                  <a:bodyPr/>
                  <a:lstStyle/>
                  <a:p>
                    <a:r>
                      <a:rPr lang="en-US"/>
                      <a:t>33%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75D-F447-8C7A-B1809C52E877}"/>
                </c:ext>
              </c:extLst>
            </c:dLbl>
            <c:dLbl>
              <c:idx val="4"/>
              <c:tx>
                <c:rich>
                  <a:bodyPr/>
                  <a:lstStyle/>
                  <a:p>
                    <a:r>
                      <a:rPr lang="en-US"/>
                      <a:t>42%</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75D-F447-8C7A-B1809C52E87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1 - No importance</c:v>
                </c:pt>
                <c:pt idx="1">
                  <c:v>2</c:v>
                </c:pt>
                <c:pt idx="2">
                  <c:v>3</c:v>
                </c:pt>
                <c:pt idx="3">
                  <c:v>4</c:v>
                </c:pt>
                <c:pt idx="4">
                  <c:v>5 - Great importance</c:v>
                </c:pt>
              </c:strCache>
            </c:strRef>
          </c:cat>
          <c:val>
            <c:numRef>
              <c:f>Sheet1!$B$2:$B$6</c:f>
              <c:numCache>
                <c:formatCode>General</c:formatCode>
                <c:ptCount val="5"/>
                <c:pt idx="0">
                  <c:v>0</c:v>
                </c:pt>
                <c:pt idx="1">
                  <c:v>0</c:v>
                </c:pt>
                <c:pt idx="2" formatCode="0.00%">
                  <c:v>0.25</c:v>
                </c:pt>
                <c:pt idx="3" formatCode="0.00%">
                  <c:v>0.33000000000000052</c:v>
                </c:pt>
                <c:pt idx="4" formatCode="0.00%">
                  <c:v>0.42000000000000032</c:v>
                </c:pt>
              </c:numCache>
            </c:numRef>
          </c:val>
          <c:extLst>
            <c:ext xmlns:c16="http://schemas.microsoft.com/office/drawing/2014/chart" uri="{C3380CC4-5D6E-409C-BE32-E72D297353CC}">
              <c16:uniqueId val="{00000005-475D-F447-8C7A-B1809C52E877}"/>
            </c:ext>
          </c:extLst>
        </c:ser>
        <c:dLbls>
          <c:showLegendKey val="0"/>
          <c:showVal val="1"/>
          <c:showCatName val="0"/>
          <c:showSerName val="0"/>
          <c:showPercent val="0"/>
          <c:showBubbleSize val="0"/>
        </c:dLbls>
        <c:gapWidth val="65"/>
        <c:axId val="116747648"/>
        <c:axId val="116753536"/>
      </c:barChart>
      <c:catAx>
        <c:axId val="11674764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16753536"/>
        <c:crossesAt val="0"/>
        <c:auto val="1"/>
        <c:lblAlgn val="ctr"/>
        <c:lblOffset val="100"/>
        <c:noMultiLvlLbl val="0"/>
      </c:catAx>
      <c:valAx>
        <c:axId val="11675353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0" spcFirstLastPara="1" vertOverflow="ellipsis" vert="wordArtVert" wrap="square" anchor="ctr" anchorCtr="1"/>
              <a:lstStyle/>
              <a:p>
                <a:pPr>
                  <a:defRPr sz="900" b="1" i="0" u="none" strike="noStrike" kern="1200" baseline="0">
                    <a:solidFill>
                      <a:schemeClr val="dk1">
                        <a:lumMod val="75000"/>
                        <a:lumOff val="25000"/>
                      </a:schemeClr>
                    </a:solidFill>
                    <a:latin typeface="+mn-lt"/>
                    <a:ea typeface="+mn-ea"/>
                    <a:cs typeface="+mn-cs"/>
                  </a:defRPr>
                </a:pPr>
                <a:r>
                  <a:rPr lang="bs-Latn-BA"/>
                  <a:t>%</a:t>
                </a:r>
                <a:endParaRPr lang="en-US"/>
              </a:p>
            </c:rich>
          </c:tx>
          <c:overlay val="0"/>
          <c:spPr>
            <a:noFill/>
            <a:ln>
              <a:noFill/>
            </a:ln>
            <a:effectLst/>
          </c:spPr>
        </c:title>
        <c:numFmt formatCode="0.00" sourceLinked="0"/>
        <c:majorTickMark val="none"/>
        <c:minorTickMark val="none"/>
        <c:tickLblPos val="none"/>
        <c:crossAx val="11674764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Sheet1!$B$1</c:f>
              <c:strCache>
                <c:ptCount val="1"/>
                <c:pt idx="0">
                  <c:v>MEG PERFORMANCE</c:v>
                </c:pt>
              </c:strCache>
            </c:strRef>
          </c:tx>
          <c:spPr>
            <a:solidFill>
              <a:srgbClr val="0070C0"/>
            </a:solidFill>
            <a:ln w="9525" cap="flat" cmpd="sng" algn="ctr">
              <a:solidFill>
                <a:schemeClr val="accent1"/>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No importance </c:v>
                </c:pt>
                <c:pt idx="1">
                  <c:v>2</c:v>
                </c:pt>
                <c:pt idx="2">
                  <c:v>3</c:v>
                </c:pt>
                <c:pt idx="3">
                  <c:v>4</c:v>
                </c:pt>
                <c:pt idx="4">
                  <c:v>Great Importance</c:v>
                </c:pt>
              </c:strCache>
            </c:strRef>
          </c:cat>
          <c:val>
            <c:numRef>
              <c:f>Sheet1!$B$2:$B$6</c:f>
              <c:numCache>
                <c:formatCode>General</c:formatCode>
                <c:ptCount val="5"/>
                <c:pt idx="0">
                  <c:v>0</c:v>
                </c:pt>
                <c:pt idx="1">
                  <c:v>0</c:v>
                </c:pt>
                <c:pt idx="2" formatCode="0.00%">
                  <c:v>0.16700000000000001</c:v>
                </c:pt>
                <c:pt idx="3" formatCode="0.00%">
                  <c:v>0.33300000000000007</c:v>
                </c:pt>
                <c:pt idx="4" formatCode="0%">
                  <c:v>0.5</c:v>
                </c:pt>
              </c:numCache>
            </c:numRef>
          </c:val>
          <c:extLst>
            <c:ext xmlns:c16="http://schemas.microsoft.com/office/drawing/2014/chart" uri="{C3380CC4-5D6E-409C-BE32-E72D297353CC}">
              <c16:uniqueId val="{00000000-9C82-3249-8A5C-7E0944F09BFD}"/>
            </c:ext>
          </c:extLst>
        </c:ser>
        <c:dLbls>
          <c:showLegendKey val="0"/>
          <c:showVal val="1"/>
          <c:showCatName val="0"/>
          <c:showSerName val="0"/>
          <c:showPercent val="0"/>
          <c:showBubbleSize val="0"/>
        </c:dLbls>
        <c:gapWidth val="65"/>
        <c:axId val="113526272"/>
        <c:axId val="113527808"/>
      </c:barChart>
      <c:catAx>
        <c:axId val="1135262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13527808"/>
        <c:crosses val="autoZero"/>
        <c:auto val="1"/>
        <c:lblAlgn val="ctr"/>
        <c:lblOffset val="100"/>
        <c:noMultiLvlLbl val="0"/>
      </c:catAx>
      <c:valAx>
        <c:axId val="11352780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0" spcFirstLastPara="1" vertOverflow="ellipsis" vert="wordArtVert" wrap="square" anchor="ctr" anchorCtr="1"/>
              <a:lstStyle/>
              <a:p>
                <a:pPr>
                  <a:defRPr sz="900" b="1" i="0" u="none" strike="noStrike" kern="1200" baseline="0">
                    <a:solidFill>
                      <a:schemeClr val="dk1">
                        <a:lumMod val="75000"/>
                        <a:lumOff val="25000"/>
                      </a:schemeClr>
                    </a:solidFill>
                    <a:latin typeface="+mn-lt"/>
                    <a:ea typeface="+mn-ea"/>
                    <a:cs typeface="+mn-cs"/>
                  </a:defRPr>
                </a:pPr>
                <a:r>
                  <a:rPr lang="bs-Latn-BA"/>
                  <a:t>%</a:t>
                </a:r>
                <a:endParaRPr lang="en-US"/>
              </a:p>
            </c:rich>
          </c:tx>
          <c:overlay val="0"/>
          <c:spPr>
            <a:noFill/>
            <a:ln>
              <a:noFill/>
            </a:ln>
            <a:effectLst/>
          </c:spPr>
        </c:title>
        <c:numFmt formatCode="General" sourceLinked="1"/>
        <c:majorTickMark val="none"/>
        <c:minorTickMark val="none"/>
        <c:tickLblPos val="none"/>
        <c:crossAx val="11352627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Main achievements </c:v>
                </c:pt>
              </c:strCache>
            </c:strRef>
          </c:tx>
          <c:spPr>
            <a:solidFill>
              <a:srgbClr val="0070C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Improved citizen participation, 
eCititen, CSS</c:v>
                </c:pt>
                <c:pt idx="1">
                  <c:v>Improved capacities and work 
of LGs in varius areas</c:v>
                </c:pt>
                <c:pt idx="2">
                  <c:v>Improved capacities and work 
of WUCs in varius areas</c:v>
                </c:pt>
                <c:pt idx="3">
                  <c:v>Other </c:v>
                </c:pt>
              </c:strCache>
            </c:strRef>
          </c:cat>
          <c:val>
            <c:numRef>
              <c:f>Sheet1!$B$2:$B$5</c:f>
              <c:numCache>
                <c:formatCode>0%</c:formatCode>
                <c:ptCount val="4"/>
                <c:pt idx="0">
                  <c:v>0.14000000000000001</c:v>
                </c:pt>
                <c:pt idx="1">
                  <c:v>0.33000000000000007</c:v>
                </c:pt>
                <c:pt idx="2">
                  <c:v>0.25</c:v>
                </c:pt>
                <c:pt idx="3">
                  <c:v>0.28000000000000008</c:v>
                </c:pt>
              </c:numCache>
            </c:numRef>
          </c:val>
          <c:extLst>
            <c:ext xmlns:c16="http://schemas.microsoft.com/office/drawing/2014/chart" uri="{C3380CC4-5D6E-409C-BE32-E72D297353CC}">
              <c16:uniqueId val="{00000000-6B69-074B-983E-1E1E1D3DE37E}"/>
            </c:ext>
          </c:extLst>
        </c:ser>
        <c:dLbls>
          <c:dLblPos val="inEnd"/>
          <c:showLegendKey val="0"/>
          <c:showVal val="1"/>
          <c:showCatName val="0"/>
          <c:showSerName val="0"/>
          <c:showPercent val="0"/>
          <c:showBubbleSize val="0"/>
        </c:dLbls>
        <c:gapWidth val="65"/>
        <c:axId val="116766592"/>
        <c:axId val="116768128"/>
      </c:barChart>
      <c:catAx>
        <c:axId val="116766592"/>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16768128"/>
        <c:crosses val="autoZero"/>
        <c:auto val="1"/>
        <c:lblAlgn val="ctr"/>
        <c:lblOffset val="100"/>
        <c:noMultiLvlLbl val="0"/>
      </c:catAx>
      <c:valAx>
        <c:axId val="11676812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1676659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Is CAF useful instrument for LGUs decision-making?</c:v>
                </c:pt>
              </c:strCache>
            </c:strRef>
          </c:tx>
          <c:dPt>
            <c:idx val="0"/>
            <c:bubble3D val="0"/>
            <c:spPr>
              <a:solidFill>
                <a:srgbClr val="0070C0"/>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EDCE-AE4E-98F7-830B4B18C882}"/>
              </c:ext>
            </c:extLst>
          </c:dPt>
          <c:dPt>
            <c:idx val="1"/>
            <c:bubble3D val="0"/>
            <c:spPr>
              <a:solidFill>
                <a:schemeClr val="accent1">
                  <a:tint val="77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EDCE-AE4E-98F7-830B4B18C88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0.00%</c:formatCode>
                <c:ptCount val="2"/>
                <c:pt idx="0">
                  <c:v>0.87500000000000089</c:v>
                </c:pt>
                <c:pt idx="1">
                  <c:v>0.125</c:v>
                </c:pt>
              </c:numCache>
            </c:numRef>
          </c:val>
          <c:extLst>
            <c:ext xmlns:c16="http://schemas.microsoft.com/office/drawing/2014/chart" uri="{C3380CC4-5D6E-409C-BE32-E72D297353CC}">
              <c16:uniqueId val="{00000004-EDCE-AE4E-98F7-830B4B18C882}"/>
            </c:ext>
          </c:extLst>
        </c:ser>
        <c:dLbls>
          <c:showLegendKey val="0"/>
          <c:showVal val="0"/>
          <c:showCatName val="1"/>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CAF for decision-making </c:v>
                </c:pt>
              </c:strCache>
            </c:strRef>
          </c:tx>
          <c:spPr>
            <a:solidFill>
              <a:srgbClr val="0070C0"/>
            </a:solidFill>
            <a:ln w="9525" cap="flat" cmpd="sng" algn="ctr">
              <a:solidFill>
                <a:schemeClr val="lt1">
                  <a:alpha val="50000"/>
                </a:schemeClr>
              </a:solidFill>
              <a:round/>
            </a:ln>
            <a:effectLst/>
          </c:spPr>
          <c:invertIfNegative val="0"/>
          <c:dPt>
            <c:idx val="1"/>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79BD-6547-9576-BD4B3BA9E1C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Decision-making trough APs </c:v>
                </c:pt>
                <c:pt idx="1">
                  <c:v>Not yet in the phase to make decisions 
through CAF</c:v>
                </c:pt>
                <c:pt idx="2">
                  <c:v>Not started the CAF</c:v>
                </c:pt>
              </c:strCache>
            </c:strRef>
          </c:cat>
          <c:val>
            <c:numRef>
              <c:f>Sheet1!$B$2:$B$4</c:f>
              <c:numCache>
                <c:formatCode>0%</c:formatCode>
                <c:ptCount val="3"/>
                <c:pt idx="0">
                  <c:v>0.53</c:v>
                </c:pt>
                <c:pt idx="1">
                  <c:v>0.37</c:v>
                </c:pt>
                <c:pt idx="2">
                  <c:v>0.1</c:v>
                </c:pt>
              </c:numCache>
            </c:numRef>
          </c:val>
          <c:extLst>
            <c:ext xmlns:c16="http://schemas.microsoft.com/office/drawing/2014/chart" uri="{C3380CC4-5D6E-409C-BE32-E72D297353CC}">
              <c16:uniqueId val="{00000002-79BD-6547-9576-BD4B3BA9E1C5}"/>
            </c:ext>
          </c:extLst>
        </c:ser>
        <c:dLbls>
          <c:dLblPos val="inEnd"/>
          <c:showLegendKey val="0"/>
          <c:showVal val="1"/>
          <c:showCatName val="0"/>
          <c:showSerName val="0"/>
          <c:showPercent val="0"/>
          <c:showBubbleSize val="0"/>
        </c:dLbls>
        <c:gapWidth val="65"/>
        <c:axId val="124550528"/>
        <c:axId val="125060224"/>
      </c:barChart>
      <c:catAx>
        <c:axId val="124550528"/>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5060224"/>
        <c:crosses val="autoZero"/>
        <c:auto val="1"/>
        <c:lblAlgn val="ctr"/>
        <c:lblOffset val="100"/>
        <c:noMultiLvlLbl val="0"/>
      </c:catAx>
      <c:valAx>
        <c:axId val="12506022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24550528"/>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Sheet1!$B$1</c:f>
              <c:strCache>
                <c:ptCount val="1"/>
                <c:pt idx="0">
                  <c:v>MEG influence on relatipnships within LGU</c:v>
                </c:pt>
              </c:strCache>
            </c:strRef>
          </c:tx>
          <c:spPr>
            <a:solidFill>
              <a:srgbClr val="0070C0"/>
            </a:solidFill>
            <a:ln w="9525" cap="flat" cmpd="sng" algn="ctr">
              <a:solidFill>
                <a:schemeClr val="accent1"/>
              </a:solidFill>
              <a:round/>
            </a:ln>
            <a:effectLst/>
          </c:spPr>
          <c:invertIfNegative val="0"/>
          <c:dLbls>
            <c:dLbl>
              <c:idx val="0"/>
              <c:tx>
                <c:rich>
                  <a:bodyPr/>
                  <a:lstStyle/>
                  <a:p>
                    <a:r>
                      <a:rPr lang="en-US"/>
                      <a:t>4,2%</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925-8344-9A4D-5AA3D7681C1F}"/>
                </c:ext>
              </c:extLst>
            </c:dLbl>
            <c:dLbl>
              <c:idx val="1"/>
              <c:tx>
                <c:rich>
                  <a:bodyPr/>
                  <a:lstStyle/>
                  <a:p>
                    <a:r>
                      <a:rPr lang="en-US"/>
                      <a:t>8,3%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925-8344-9A4D-5AA3D7681C1F}"/>
                </c:ext>
              </c:extLst>
            </c:dLbl>
            <c:dLbl>
              <c:idx val="2"/>
              <c:tx>
                <c:rich>
                  <a:bodyPr/>
                  <a:lstStyle/>
                  <a:p>
                    <a:r>
                      <a:rPr lang="en-US"/>
                      <a:t>29,2%</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925-8344-9A4D-5AA3D7681C1F}"/>
                </c:ext>
              </c:extLst>
            </c:dLbl>
            <c:dLbl>
              <c:idx val="3"/>
              <c:tx>
                <c:rich>
                  <a:bodyPr/>
                  <a:lstStyle/>
                  <a:p>
                    <a:r>
                      <a:rPr lang="en-US"/>
                      <a:t>33,3%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925-8344-9A4D-5AA3D7681C1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No influence</c:v>
                </c:pt>
                <c:pt idx="1">
                  <c:v>2</c:v>
                </c:pt>
                <c:pt idx="2">
                  <c:v>3</c:v>
                </c:pt>
                <c:pt idx="3">
                  <c:v>4</c:v>
                </c:pt>
                <c:pt idx="4">
                  <c:v>Strong influence</c:v>
                </c:pt>
              </c:strCache>
            </c:strRef>
          </c:cat>
          <c:val>
            <c:numRef>
              <c:f>Sheet1!$B$2:$B$6</c:f>
              <c:numCache>
                <c:formatCode>0.00%</c:formatCode>
                <c:ptCount val="5"/>
                <c:pt idx="0">
                  <c:v>4.200000000000001E-2</c:v>
                </c:pt>
                <c:pt idx="1">
                  <c:v>8.3000000000000018E-2</c:v>
                </c:pt>
                <c:pt idx="2">
                  <c:v>0.29200000000000004</c:v>
                </c:pt>
                <c:pt idx="3">
                  <c:v>0.33300000000000007</c:v>
                </c:pt>
                <c:pt idx="4" formatCode="0%">
                  <c:v>0.25</c:v>
                </c:pt>
              </c:numCache>
            </c:numRef>
          </c:val>
          <c:extLst>
            <c:ext xmlns:c16="http://schemas.microsoft.com/office/drawing/2014/chart" uri="{C3380CC4-5D6E-409C-BE32-E72D297353CC}">
              <c16:uniqueId val="{00000004-D925-8344-9A4D-5AA3D7681C1F}"/>
            </c:ext>
          </c:extLst>
        </c:ser>
        <c:dLbls>
          <c:showLegendKey val="0"/>
          <c:showVal val="1"/>
          <c:showCatName val="0"/>
          <c:showSerName val="0"/>
          <c:showPercent val="0"/>
          <c:showBubbleSize val="0"/>
        </c:dLbls>
        <c:gapWidth val="65"/>
        <c:axId val="125085952"/>
        <c:axId val="125087744"/>
      </c:barChart>
      <c:catAx>
        <c:axId val="12508595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5087744"/>
        <c:crosses val="autoZero"/>
        <c:auto val="1"/>
        <c:lblAlgn val="ctr"/>
        <c:lblOffset val="100"/>
        <c:noMultiLvlLbl val="0"/>
      </c:catAx>
      <c:valAx>
        <c:axId val="12508774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one"/>
        <c:crossAx val="12508595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Impact</c:v>
                </c:pt>
              </c:strCache>
            </c:strRef>
          </c:tx>
          <c:spPr>
            <a:solidFill>
              <a:srgbClr val="0070C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Improved channels of communication  </c:v>
                </c:pt>
                <c:pt idx="1">
                  <c:v>Improved collaboration between Lgs, city assembly, and WUCs </c:v>
                </c:pt>
                <c:pt idx="2">
                  <c:v>Other impact</c:v>
                </c:pt>
                <c:pt idx="3">
                  <c:v>No impact</c:v>
                </c:pt>
              </c:strCache>
            </c:strRef>
          </c:cat>
          <c:val>
            <c:numRef>
              <c:f>Sheet1!$B$2:$B$5</c:f>
              <c:numCache>
                <c:formatCode>0%</c:formatCode>
                <c:ptCount val="4"/>
                <c:pt idx="0">
                  <c:v>0.28000000000000008</c:v>
                </c:pt>
                <c:pt idx="1">
                  <c:v>0.18000000000000002</c:v>
                </c:pt>
                <c:pt idx="2">
                  <c:v>0.47000000000000003</c:v>
                </c:pt>
                <c:pt idx="3">
                  <c:v>7.0000000000000021E-2</c:v>
                </c:pt>
              </c:numCache>
            </c:numRef>
          </c:val>
          <c:extLst>
            <c:ext xmlns:c16="http://schemas.microsoft.com/office/drawing/2014/chart" uri="{C3380CC4-5D6E-409C-BE32-E72D297353CC}">
              <c16:uniqueId val="{00000000-7C20-A449-A889-3CA03F682CAC}"/>
            </c:ext>
          </c:extLst>
        </c:ser>
        <c:dLbls>
          <c:dLblPos val="inEnd"/>
          <c:showLegendKey val="0"/>
          <c:showVal val="1"/>
          <c:showCatName val="0"/>
          <c:showSerName val="0"/>
          <c:showPercent val="0"/>
          <c:showBubbleSize val="0"/>
        </c:dLbls>
        <c:gapWidth val="65"/>
        <c:axId val="124319616"/>
        <c:axId val="124321152"/>
      </c:barChart>
      <c:catAx>
        <c:axId val="124319616"/>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4321152"/>
        <c:crosses val="autoZero"/>
        <c:auto val="1"/>
        <c:lblAlgn val="ctr"/>
        <c:lblOffset val="100"/>
        <c:noMultiLvlLbl val="0"/>
      </c:catAx>
      <c:valAx>
        <c:axId val="12432115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243196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Improvement of personal capacities</c:v>
                </c:pt>
              </c:strCache>
            </c:strRef>
          </c:tx>
          <c:spPr>
            <a:solidFill>
              <a:srgbClr val="0070C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Yes- in the area of decision-making </c:v>
                </c:pt>
                <c:pt idx="1">
                  <c:v>Yes- trough  SAP process</c:v>
                </c:pt>
                <c:pt idx="2">
                  <c:v>Yes - trough trainings and workshops </c:v>
                </c:pt>
                <c:pt idx="3">
                  <c:v>Yes - trough various work and procesess</c:v>
                </c:pt>
              </c:strCache>
            </c:strRef>
          </c:cat>
          <c:val>
            <c:numRef>
              <c:f>Sheet1!$B$2:$B$5</c:f>
              <c:numCache>
                <c:formatCode>0%</c:formatCode>
                <c:ptCount val="4"/>
                <c:pt idx="0">
                  <c:v>0.2</c:v>
                </c:pt>
                <c:pt idx="1">
                  <c:v>6.0000000000000005E-2</c:v>
                </c:pt>
                <c:pt idx="2">
                  <c:v>0.24000000000000002</c:v>
                </c:pt>
                <c:pt idx="3">
                  <c:v>0.5</c:v>
                </c:pt>
              </c:numCache>
            </c:numRef>
          </c:val>
          <c:extLst>
            <c:ext xmlns:c16="http://schemas.microsoft.com/office/drawing/2014/chart" uri="{C3380CC4-5D6E-409C-BE32-E72D297353CC}">
              <c16:uniqueId val="{00000000-C013-0645-A90F-956EF29473CF}"/>
            </c:ext>
          </c:extLst>
        </c:ser>
        <c:dLbls>
          <c:dLblPos val="inEnd"/>
          <c:showLegendKey val="0"/>
          <c:showVal val="1"/>
          <c:showCatName val="0"/>
          <c:showSerName val="0"/>
          <c:showPercent val="0"/>
          <c:showBubbleSize val="0"/>
        </c:dLbls>
        <c:gapWidth val="65"/>
        <c:axId val="132112384"/>
        <c:axId val="132113920"/>
      </c:barChart>
      <c:catAx>
        <c:axId val="132112384"/>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32113920"/>
        <c:crosses val="autoZero"/>
        <c:auto val="1"/>
        <c:lblAlgn val="ctr"/>
        <c:lblOffset val="100"/>
        <c:noMultiLvlLbl val="0"/>
      </c:catAx>
      <c:valAx>
        <c:axId val="13211392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3211238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Sheet1!$B$1</c:f>
              <c:strCache>
                <c:ptCount val="1"/>
                <c:pt idx="0">
                  <c:v>Inclusivity of consultations between LGs and citizens</c:v>
                </c:pt>
              </c:strCache>
            </c:strRef>
          </c:tx>
          <c:spPr>
            <a:solidFill>
              <a:srgbClr val="0070C0"/>
            </a:solidFill>
            <a:ln w="9525" cap="flat" cmpd="sng" algn="ctr">
              <a:solidFill>
                <a:schemeClr val="lt1">
                  <a:alpha val="50000"/>
                </a:schemeClr>
              </a:solidFill>
              <a:round/>
            </a:ln>
            <a:effectLst/>
          </c:spPr>
          <c:invertIfNegative val="0"/>
          <c:dLbls>
            <c:dLbl>
              <c:idx val="0"/>
              <c:tx>
                <c:rich>
                  <a:bodyPr/>
                  <a:lstStyle/>
                  <a:p>
                    <a:r>
                      <a:rPr lang="en-US"/>
                      <a:t>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CC5-B247-AB00-4316EB5E1AFF}"/>
                </c:ext>
              </c:extLst>
            </c:dLbl>
            <c:dLbl>
              <c:idx val="1"/>
              <c:tx>
                <c:rich>
                  <a:bodyPr/>
                  <a:lstStyle/>
                  <a:p>
                    <a:r>
                      <a:rPr lang="en-US"/>
                      <a:t>16,7%</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CC5-B247-AB00-4316EB5E1AFF}"/>
                </c:ext>
              </c:extLst>
            </c:dLbl>
            <c:dLbl>
              <c:idx val="2"/>
              <c:tx>
                <c:rich>
                  <a:bodyPr/>
                  <a:lstStyle/>
                  <a:p>
                    <a:r>
                      <a:rPr lang="en-US"/>
                      <a:t>20,8%</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CC5-B247-AB00-4316EB5E1AFF}"/>
                </c:ext>
              </c:extLst>
            </c:dLbl>
            <c:dLbl>
              <c:idx val="3"/>
              <c:tx>
                <c:rich>
                  <a:bodyPr/>
                  <a:lstStyle/>
                  <a:p>
                    <a:r>
                      <a:rPr lang="en-US"/>
                      <a:t>33,3%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CC5-B247-AB00-4316EB5E1AFF}"/>
                </c:ext>
              </c:extLst>
            </c:dLbl>
            <c:dLbl>
              <c:idx val="4"/>
              <c:tx>
                <c:rich>
                  <a:bodyPr/>
                  <a:lstStyle/>
                  <a:p>
                    <a:r>
                      <a:rPr lang="en-US"/>
                      <a:t>29,2%</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CC5-B247-AB00-4316EB5E1AFF}"/>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No citizen involvement </c:v>
                </c:pt>
                <c:pt idx="1">
                  <c:v>2</c:v>
                </c:pt>
                <c:pt idx="2">
                  <c:v>3</c:v>
                </c:pt>
                <c:pt idx="3">
                  <c:v>4</c:v>
                </c:pt>
                <c:pt idx="4">
                  <c:v>Full citizen involvement </c:v>
                </c:pt>
              </c:strCache>
            </c:strRef>
          </c:cat>
          <c:val>
            <c:numRef>
              <c:f>Sheet1!$B$2:$B$6</c:f>
              <c:numCache>
                <c:formatCode>0.00%</c:formatCode>
                <c:ptCount val="5"/>
                <c:pt idx="0">
                  <c:v>0</c:v>
                </c:pt>
                <c:pt idx="1">
                  <c:v>0.16700000000000001</c:v>
                </c:pt>
                <c:pt idx="2">
                  <c:v>0.20800000000000002</c:v>
                </c:pt>
                <c:pt idx="3">
                  <c:v>0.33300000000000007</c:v>
                </c:pt>
                <c:pt idx="4">
                  <c:v>0.29200000000000004</c:v>
                </c:pt>
              </c:numCache>
            </c:numRef>
          </c:val>
          <c:extLst>
            <c:ext xmlns:c16="http://schemas.microsoft.com/office/drawing/2014/chart" uri="{C3380CC4-5D6E-409C-BE32-E72D297353CC}">
              <c16:uniqueId val="{00000005-3CC5-B247-AB00-4316EB5E1AFF}"/>
            </c:ext>
          </c:extLst>
        </c:ser>
        <c:dLbls>
          <c:showLegendKey val="0"/>
          <c:showVal val="1"/>
          <c:showCatName val="0"/>
          <c:showSerName val="0"/>
          <c:showPercent val="0"/>
          <c:showBubbleSize val="0"/>
        </c:dLbls>
        <c:gapWidth val="65"/>
        <c:axId val="132085632"/>
        <c:axId val="132087168"/>
      </c:barChart>
      <c:catAx>
        <c:axId val="13208563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32087168"/>
        <c:crosses val="autoZero"/>
        <c:auto val="1"/>
        <c:lblAlgn val="ctr"/>
        <c:lblOffset val="100"/>
        <c:noMultiLvlLbl val="0"/>
      </c:catAx>
      <c:valAx>
        <c:axId val="13208716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one"/>
        <c:crossAx val="132085632"/>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Citizen categories in consultation process</c:v>
                </c:pt>
              </c:strCache>
            </c:strRef>
          </c:tx>
          <c:spPr>
            <a:solidFill>
              <a:srgbClr val="0070C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All categories </c:v>
                </c:pt>
                <c:pt idx="1">
                  <c:v>Associations, NGOs, and other categories</c:v>
                </c:pt>
                <c:pt idx="2">
                  <c:v>Vulnerable and other categories</c:v>
                </c:pt>
              </c:strCache>
            </c:strRef>
          </c:cat>
          <c:val>
            <c:numRef>
              <c:f>Sheet1!$B$2:$B$4</c:f>
              <c:numCache>
                <c:formatCode>0%</c:formatCode>
                <c:ptCount val="3"/>
                <c:pt idx="0">
                  <c:v>0.58000000000000007</c:v>
                </c:pt>
                <c:pt idx="1">
                  <c:v>0.22</c:v>
                </c:pt>
                <c:pt idx="2">
                  <c:v>0.2</c:v>
                </c:pt>
              </c:numCache>
            </c:numRef>
          </c:val>
          <c:extLst>
            <c:ext xmlns:c16="http://schemas.microsoft.com/office/drawing/2014/chart" uri="{C3380CC4-5D6E-409C-BE32-E72D297353CC}">
              <c16:uniqueId val="{00000000-CD62-DB4A-B5E2-123AB7B81B99}"/>
            </c:ext>
          </c:extLst>
        </c:ser>
        <c:dLbls>
          <c:dLblPos val="inEnd"/>
          <c:showLegendKey val="0"/>
          <c:showVal val="1"/>
          <c:showCatName val="0"/>
          <c:showSerName val="0"/>
          <c:showPercent val="0"/>
          <c:showBubbleSize val="0"/>
        </c:dLbls>
        <c:gapWidth val="65"/>
        <c:axId val="132109824"/>
        <c:axId val="132111360"/>
      </c:barChart>
      <c:catAx>
        <c:axId val="132109824"/>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32111360"/>
        <c:crosses val="autoZero"/>
        <c:auto val="1"/>
        <c:lblAlgn val="ctr"/>
        <c:lblOffset val="100"/>
        <c:noMultiLvlLbl val="0"/>
      </c:catAx>
      <c:valAx>
        <c:axId val="132111360"/>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3210982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Recommendations </c:v>
                </c:pt>
              </c:strCache>
            </c:strRef>
          </c:tx>
          <c:spPr>
            <a:solidFill>
              <a:srgbClr val="0070C0"/>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4"/>
                <c:pt idx="0">
                  <c:v>Continue with assistance to achieve 
best practices and translate them into regulations </c:v>
                </c:pt>
                <c:pt idx="1">
                  <c:v>Change award system to suit all LGs</c:v>
                </c:pt>
                <c:pt idx="2">
                  <c:v>Support in CAF</c:v>
                </c:pt>
                <c:pt idx="3">
                  <c:v>Other </c:v>
                </c:pt>
              </c:strCache>
            </c:strRef>
          </c:cat>
          <c:val>
            <c:numRef>
              <c:f>Sheet1!$B$2:$B$5</c:f>
              <c:numCache>
                <c:formatCode>0%</c:formatCode>
                <c:ptCount val="4"/>
                <c:pt idx="0">
                  <c:v>0.25</c:v>
                </c:pt>
                <c:pt idx="1">
                  <c:v>0.17</c:v>
                </c:pt>
                <c:pt idx="2">
                  <c:v>0.17</c:v>
                </c:pt>
                <c:pt idx="3">
                  <c:v>0.41000000000000003</c:v>
                </c:pt>
              </c:numCache>
            </c:numRef>
          </c:val>
          <c:extLst>
            <c:ext xmlns:c16="http://schemas.microsoft.com/office/drawing/2014/chart" uri="{C3380CC4-5D6E-409C-BE32-E72D297353CC}">
              <c16:uniqueId val="{00000000-F2C4-B245-8F7C-D31254A266B6}"/>
            </c:ext>
          </c:extLst>
        </c:ser>
        <c:dLbls>
          <c:dLblPos val="inEnd"/>
          <c:showLegendKey val="0"/>
          <c:showVal val="1"/>
          <c:showCatName val="0"/>
          <c:showSerName val="0"/>
          <c:showPercent val="0"/>
          <c:showBubbleSize val="0"/>
        </c:dLbls>
        <c:gapWidth val="65"/>
        <c:axId val="124483840"/>
        <c:axId val="124485632"/>
      </c:barChart>
      <c:catAx>
        <c:axId val="124483840"/>
        <c:scaling>
          <c:orientation val="minMax"/>
        </c:scaling>
        <c:delete val="0"/>
        <c:axPos val="b"/>
        <c:numFmt formatCode="General" sourceLinked="0"/>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4485632"/>
        <c:crosses val="autoZero"/>
        <c:auto val="1"/>
        <c:lblAlgn val="ctr"/>
        <c:lblOffset val="100"/>
        <c:noMultiLvlLbl val="0"/>
      </c:catAx>
      <c:valAx>
        <c:axId val="12448563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1244838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dPt>
            <c:idx val="0"/>
            <c:bubble3D val="0"/>
            <c:spPr>
              <a:solidFill>
                <a:schemeClr val="accent1">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2EE-934E-A7A6-167E3F1CA166}"/>
              </c:ext>
            </c:extLst>
          </c:dPt>
          <c:dPt>
            <c:idx val="1"/>
            <c:bubble3D val="0"/>
            <c:spPr>
              <a:solidFill>
                <a:srgbClr val="0070C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2EE-934E-A7A6-167E3F1CA166}"/>
              </c:ext>
            </c:extLst>
          </c:dPt>
          <c:dPt>
            <c:idx val="2"/>
            <c:bubble3D val="0"/>
            <c:spPr>
              <a:solidFill>
                <a:schemeClr val="accent1">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2EE-934E-A7A6-167E3F1CA16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'Form Responses 1'!$F$17:$F$19</c:f>
              <c:strCache>
                <c:ptCount val="3"/>
                <c:pt idx="0">
                  <c:v>Directors</c:v>
                </c:pt>
                <c:pt idx="1">
                  <c:v>Executives</c:v>
                </c:pt>
                <c:pt idx="2">
                  <c:v>Technical persons</c:v>
                </c:pt>
              </c:strCache>
            </c:strRef>
          </c:cat>
          <c:val>
            <c:numRef>
              <c:f>'Form Responses 1'!$G$17:$G$19</c:f>
              <c:numCache>
                <c:formatCode>General</c:formatCode>
                <c:ptCount val="3"/>
                <c:pt idx="0">
                  <c:v>4</c:v>
                </c:pt>
                <c:pt idx="1">
                  <c:v>6</c:v>
                </c:pt>
                <c:pt idx="2">
                  <c:v>2</c:v>
                </c:pt>
              </c:numCache>
            </c:numRef>
          </c:val>
          <c:extLst>
            <c:ext xmlns:c16="http://schemas.microsoft.com/office/drawing/2014/chart" uri="{C3380CC4-5D6E-409C-BE32-E72D297353CC}">
              <c16:uniqueId val="{00000006-62EE-934E-A7A6-167E3F1CA16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'Form Responses 1'!$D$32</c:f>
              <c:strCache>
                <c:ptCount val="1"/>
                <c:pt idx="0">
                  <c:v>Frequency</c:v>
                </c:pt>
              </c:strCache>
            </c:strRef>
          </c:tx>
          <c:spPr>
            <a:solidFill>
              <a:srgbClr val="0070C0"/>
            </a:solidFill>
            <a:ln w="9525" cap="flat" cmpd="sng" algn="ctr">
              <a:solidFill>
                <a:schemeClr val="lt1">
                  <a:alpha val="50000"/>
                </a:schemeClr>
              </a:solidFill>
              <a:round/>
            </a:ln>
            <a:effectLst/>
          </c:spPr>
          <c:invertIfNegative val="0"/>
          <c:dPt>
            <c:idx val="0"/>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E5F3-2046-879E-35986A2B4AD0}"/>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'Form Responses 1'!$C$33:$C$41</c:f>
              <c:strCache>
                <c:ptCount val="9"/>
                <c:pt idx="0">
                  <c:v>Technical support (GIS, DMA zones, tarif model, price calculation)</c:v>
                </c:pt>
                <c:pt idx="1">
                  <c:v>Planning and management </c:v>
                </c:pt>
                <c:pt idx="2">
                  <c:v>Education and apacity building </c:v>
                </c:pt>
                <c:pt idx="3">
                  <c:v>Financial support </c:v>
                </c:pt>
                <c:pt idx="4">
                  <c:v>Experience exchange (with other enterprises and LGs)</c:v>
                </c:pt>
                <c:pt idx="5">
                  <c:v>Improvement of institutional capacities</c:v>
                </c:pt>
                <c:pt idx="6">
                  <c:v>Advisory support</c:v>
                </c:pt>
                <c:pt idx="7">
                  <c:v>Administrative support </c:v>
                </c:pt>
                <c:pt idx="8">
                  <c:v>New knowledge and practical application (legal, charting of water network)</c:v>
                </c:pt>
              </c:strCache>
            </c:strRef>
          </c:cat>
          <c:val>
            <c:numRef>
              <c:f>'Form Responses 1'!$D$33:$D$41</c:f>
              <c:numCache>
                <c:formatCode>General</c:formatCode>
                <c:ptCount val="9"/>
                <c:pt idx="0">
                  <c:v>7</c:v>
                </c:pt>
                <c:pt idx="1">
                  <c:v>4</c:v>
                </c:pt>
                <c:pt idx="2">
                  <c:v>3</c:v>
                </c:pt>
                <c:pt idx="3">
                  <c:v>3</c:v>
                </c:pt>
                <c:pt idx="4">
                  <c:v>2</c:v>
                </c:pt>
                <c:pt idx="5">
                  <c:v>2</c:v>
                </c:pt>
                <c:pt idx="6">
                  <c:v>2</c:v>
                </c:pt>
                <c:pt idx="7">
                  <c:v>2</c:v>
                </c:pt>
                <c:pt idx="8">
                  <c:v>1</c:v>
                </c:pt>
              </c:numCache>
            </c:numRef>
          </c:val>
          <c:extLst>
            <c:ext xmlns:c16="http://schemas.microsoft.com/office/drawing/2014/chart" uri="{C3380CC4-5D6E-409C-BE32-E72D297353CC}">
              <c16:uniqueId val="{00000002-E5F3-2046-879E-35986A2B4AD0}"/>
            </c:ext>
          </c:extLst>
        </c:ser>
        <c:dLbls>
          <c:dLblPos val="inEnd"/>
          <c:showLegendKey val="0"/>
          <c:showVal val="1"/>
          <c:showCatName val="0"/>
          <c:showSerName val="0"/>
          <c:showPercent val="0"/>
          <c:showBubbleSize val="0"/>
        </c:dLbls>
        <c:gapWidth val="65"/>
        <c:axId val="574399327"/>
        <c:axId val="725511359"/>
      </c:barChart>
      <c:catAx>
        <c:axId val="57439932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600" b="0" i="0" u="none" strike="noStrike" kern="1200" cap="all" baseline="0">
                <a:solidFill>
                  <a:schemeClr val="dk1">
                    <a:lumMod val="75000"/>
                    <a:lumOff val="25000"/>
                  </a:schemeClr>
                </a:solidFill>
                <a:latin typeface="+mn-lt"/>
                <a:ea typeface="+mn-ea"/>
                <a:cs typeface="+mn-cs"/>
              </a:defRPr>
            </a:pPr>
            <a:endParaRPr lang="en-US"/>
          </a:p>
        </c:txPr>
        <c:crossAx val="725511359"/>
        <c:crosses val="autoZero"/>
        <c:auto val="1"/>
        <c:lblAlgn val="ctr"/>
        <c:lblOffset val="100"/>
        <c:noMultiLvlLbl val="0"/>
      </c:catAx>
      <c:valAx>
        <c:axId val="72551135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43993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Pt>
            <c:idx val="0"/>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C1C8-C643-80CB-062C5FB4CED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Sheet1!$B$19:$B$23</c:f>
              <c:strCache>
                <c:ptCount val="5"/>
                <c:pt idx="0">
                  <c:v>Technical and consultancy</c:v>
                </c:pt>
                <c:pt idx="1">
                  <c:v>DMA zoning</c:v>
                </c:pt>
                <c:pt idx="2">
                  <c:v>Equipment supply</c:v>
                </c:pt>
                <c:pt idx="3">
                  <c:v>Project support</c:v>
                </c:pt>
                <c:pt idx="4">
                  <c:v>Other support examples </c:v>
                </c:pt>
              </c:strCache>
            </c:strRef>
          </c:cat>
          <c:val>
            <c:numRef>
              <c:f>Sheet1!$C$19:$C$23</c:f>
              <c:numCache>
                <c:formatCode>General</c:formatCode>
                <c:ptCount val="5"/>
                <c:pt idx="0">
                  <c:v>3</c:v>
                </c:pt>
                <c:pt idx="1">
                  <c:v>3</c:v>
                </c:pt>
                <c:pt idx="2">
                  <c:v>2</c:v>
                </c:pt>
                <c:pt idx="3">
                  <c:v>2</c:v>
                </c:pt>
                <c:pt idx="4">
                  <c:v>6</c:v>
                </c:pt>
              </c:numCache>
            </c:numRef>
          </c:val>
          <c:extLst>
            <c:ext xmlns:c16="http://schemas.microsoft.com/office/drawing/2014/chart" uri="{C3380CC4-5D6E-409C-BE32-E72D297353CC}">
              <c16:uniqueId val="{00000002-C1C8-C643-80CB-062C5FB4CED2}"/>
            </c:ext>
          </c:extLst>
        </c:ser>
        <c:dLbls>
          <c:dLblPos val="inEnd"/>
          <c:showLegendKey val="0"/>
          <c:showVal val="1"/>
          <c:showCatName val="0"/>
          <c:showSerName val="0"/>
          <c:showPercent val="0"/>
          <c:showBubbleSize val="0"/>
        </c:dLbls>
        <c:gapWidth val="65"/>
        <c:axId val="574399327"/>
        <c:axId val="725511359"/>
      </c:barChart>
      <c:catAx>
        <c:axId val="57439932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n-US"/>
          </a:p>
        </c:txPr>
        <c:crossAx val="725511359"/>
        <c:crosses val="autoZero"/>
        <c:auto val="1"/>
        <c:lblAlgn val="ctr"/>
        <c:lblOffset val="100"/>
        <c:noMultiLvlLbl val="0"/>
      </c:catAx>
      <c:valAx>
        <c:axId val="72551135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43993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sr-Latn-BA" sz="1600"/>
              <a:t>Importance of MEG project for WUCs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Lbls>
            <c:dLbl>
              <c:idx val="0"/>
              <c:tx>
                <c:rich>
                  <a:bodyPr/>
                  <a:lstStyle/>
                  <a:p>
                    <a:r>
                      <a:rPr lang="en-US"/>
                      <a:t>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76E-D840-9202-9E7F6DDC8D9C}"/>
                </c:ext>
              </c:extLst>
            </c:dLbl>
            <c:dLbl>
              <c:idx val="1"/>
              <c:tx>
                <c:rich>
                  <a:bodyPr/>
                  <a:lstStyle/>
                  <a:p>
                    <a:r>
                      <a:rPr lang="en-US"/>
                      <a:t>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76E-D840-9202-9E7F6DDC8D9C}"/>
                </c:ext>
              </c:extLst>
            </c:dLbl>
            <c:dLbl>
              <c:idx val="2"/>
              <c:tx>
                <c:rich>
                  <a:bodyPr/>
                  <a:lstStyle/>
                  <a:p>
                    <a:r>
                      <a:rPr lang="en-US"/>
                      <a:t>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76E-D840-9202-9E7F6DDC8D9C}"/>
                </c:ext>
              </c:extLst>
            </c:dLbl>
            <c:dLbl>
              <c:idx val="3"/>
              <c:tx>
                <c:rich>
                  <a:bodyPr/>
                  <a:lstStyle/>
                  <a:p>
                    <a:r>
                      <a:rPr lang="en-US"/>
                      <a:t>17%</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76E-D840-9202-9E7F6DDC8D9C}"/>
                </c:ext>
              </c:extLst>
            </c:dLbl>
            <c:dLbl>
              <c:idx val="4"/>
              <c:tx>
                <c:rich>
                  <a:bodyPr/>
                  <a:lstStyle/>
                  <a:p>
                    <a:r>
                      <a:rPr lang="en-US"/>
                      <a:t>83%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76E-D840-9202-9E7F6DDC8D9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'Form Responses 1'!$O$17:$O$21</c:f>
              <c:strCache>
                <c:ptCount val="5"/>
                <c:pt idx="0">
                  <c:v>1 - no importance</c:v>
                </c:pt>
                <c:pt idx="1">
                  <c:v>2</c:v>
                </c:pt>
                <c:pt idx="2">
                  <c:v>3</c:v>
                </c:pt>
                <c:pt idx="3">
                  <c:v>4</c:v>
                </c:pt>
                <c:pt idx="4">
                  <c:v>5 - great importance</c:v>
                </c:pt>
              </c:strCache>
            </c:strRef>
          </c:cat>
          <c:val>
            <c:numRef>
              <c:f>'Form Responses 1'!$P$17:$P$21</c:f>
              <c:numCache>
                <c:formatCode>0.00%</c:formatCode>
                <c:ptCount val="5"/>
                <c:pt idx="0">
                  <c:v>0</c:v>
                </c:pt>
                <c:pt idx="1">
                  <c:v>0</c:v>
                </c:pt>
                <c:pt idx="2">
                  <c:v>0</c:v>
                </c:pt>
                <c:pt idx="3">
                  <c:v>0.17</c:v>
                </c:pt>
                <c:pt idx="4">
                  <c:v>0.83</c:v>
                </c:pt>
              </c:numCache>
            </c:numRef>
          </c:val>
          <c:extLst>
            <c:ext xmlns:c16="http://schemas.microsoft.com/office/drawing/2014/chart" uri="{C3380CC4-5D6E-409C-BE32-E72D297353CC}">
              <c16:uniqueId val="{00000005-976E-D840-9202-9E7F6DDC8D9C}"/>
            </c:ext>
          </c:extLst>
        </c:ser>
        <c:dLbls>
          <c:dLblPos val="inEnd"/>
          <c:showLegendKey val="0"/>
          <c:showVal val="1"/>
          <c:showCatName val="0"/>
          <c:showSerName val="0"/>
          <c:showPercent val="0"/>
          <c:showBubbleSize val="0"/>
        </c:dLbls>
        <c:gapWidth val="65"/>
        <c:axId val="711320863"/>
        <c:axId val="1246040735"/>
      </c:barChart>
      <c:catAx>
        <c:axId val="71132086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46040735"/>
        <c:crosses val="autoZero"/>
        <c:auto val="1"/>
        <c:lblAlgn val="ctr"/>
        <c:lblOffset val="100"/>
        <c:noMultiLvlLbl val="0"/>
      </c:catAx>
      <c:valAx>
        <c:axId val="1246040735"/>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711320863"/>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Lbls>
            <c:dLbl>
              <c:idx val="0"/>
              <c:tx>
                <c:rich>
                  <a:bodyPr/>
                  <a:lstStyle/>
                  <a:p>
                    <a:r>
                      <a:rPr lang="en-US"/>
                      <a:t>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CBD-934B-BBF6-BE91F63CC55D}"/>
                </c:ext>
              </c:extLst>
            </c:dLbl>
            <c:dLbl>
              <c:idx val="1"/>
              <c:tx>
                <c:rich>
                  <a:bodyPr/>
                  <a:lstStyle/>
                  <a:p>
                    <a:r>
                      <a:rPr lang="en-US"/>
                      <a:t>8,3%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CBD-934B-BBF6-BE91F63CC55D}"/>
                </c:ext>
              </c:extLst>
            </c:dLbl>
            <c:dLbl>
              <c:idx val="2"/>
              <c:tx>
                <c:rich>
                  <a:bodyPr/>
                  <a:lstStyle/>
                  <a:p>
                    <a:r>
                      <a:rPr lang="en-US"/>
                      <a:t>8,3%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CBD-934B-BBF6-BE91F63CC55D}"/>
                </c:ext>
              </c:extLst>
            </c:dLbl>
            <c:dLbl>
              <c:idx val="3"/>
              <c:tx>
                <c:rich>
                  <a:bodyPr/>
                  <a:lstStyle/>
                  <a:p>
                    <a:r>
                      <a:rPr lang="en-US"/>
                      <a:t>41,7%</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CBD-934B-BBF6-BE91F63CC55D}"/>
                </c:ext>
              </c:extLst>
            </c:dLbl>
            <c:dLbl>
              <c:idx val="4"/>
              <c:tx>
                <c:rich>
                  <a:bodyPr/>
                  <a:lstStyle/>
                  <a:p>
                    <a:r>
                      <a:rPr lang="en-US"/>
                      <a:t>41,7%</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CBD-934B-BBF6-BE91F63CC55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'Form Responses 1'!$O$25:$O$29</c:f>
              <c:strCache>
                <c:ptCount val="5"/>
                <c:pt idx="0">
                  <c:v>1 - no</c:v>
                </c:pt>
                <c:pt idx="1">
                  <c:v>2</c:v>
                </c:pt>
                <c:pt idx="2">
                  <c:v>3</c:v>
                </c:pt>
                <c:pt idx="3">
                  <c:v>4</c:v>
                </c:pt>
                <c:pt idx="4">
                  <c:v>5 - great</c:v>
                </c:pt>
              </c:strCache>
            </c:strRef>
          </c:cat>
          <c:val>
            <c:numRef>
              <c:f>'Form Responses 1'!$P$25:$P$29</c:f>
              <c:numCache>
                <c:formatCode>0.00%</c:formatCode>
                <c:ptCount val="5"/>
                <c:pt idx="0">
                  <c:v>0</c:v>
                </c:pt>
                <c:pt idx="1">
                  <c:v>8.3000000000000004E-2</c:v>
                </c:pt>
                <c:pt idx="2">
                  <c:v>8.3000000000000004E-2</c:v>
                </c:pt>
                <c:pt idx="3">
                  <c:v>0.41699999999999998</c:v>
                </c:pt>
                <c:pt idx="4">
                  <c:v>0.41699999999999998</c:v>
                </c:pt>
              </c:numCache>
            </c:numRef>
          </c:val>
          <c:extLst>
            <c:ext xmlns:c16="http://schemas.microsoft.com/office/drawing/2014/chart" uri="{C3380CC4-5D6E-409C-BE32-E72D297353CC}">
              <c16:uniqueId val="{00000005-ECBD-934B-BBF6-BE91F63CC55D}"/>
            </c:ext>
          </c:extLst>
        </c:ser>
        <c:dLbls>
          <c:dLblPos val="inEnd"/>
          <c:showLegendKey val="0"/>
          <c:showVal val="1"/>
          <c:showCatName val="0"/>
          <c:showSerName val="0"/>
          <c:showPercent val="0"/>
          <c:showBubbleSize val="0"/>
        </c:dLbls>
        <c:gapWidth val="65"/>
        <c:axId val="711320863"/>
        <c:axId val="1246040735"/>
      </c:barChart>
      <c:catAx>
        <c:axId val="71132086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46040735"/>
        <c:crosses val="autoZero"/>
        <c:auto val="1"/>
        <c:lblAlgn val="ctr"/>
        <c:lblOffset val="100"/>
        <c:noMultiLvlLbl val="0"/>
      </c:catAx>
      <c:valAx>
        <c:axId val="1246040735"/>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711320863"/>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Pt>
            <c:idx val="0"/>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1FBE-BC48-8EC4-E79AA8389649}"/>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Sheet2!$A$18:$A$22</c:f>
              <c:strCache>
                <c:ptCount val="5"/>
                <c:pt idx="0">
                  <c:v>Improved operations of water utility </c:v>
                </c:pt>
                <c:pt idx="1">
                  <c:v>Introduced water measurement and NRW reduction</c:v>
                </c:pt>
                <c:pt idx="2">
                  <c:v>Participation in legal reform of water sector</c:v>
                </c:pt>
                <c:pt idx="3">
                  <c:v>Improvement of relations between LG and WUC</c:v>
                </c:pt>
                <c:pt idx="4">
                  <c:v>Other improvements</c:v>
                </c:pt>
              </c:strCache>
            </c:strRef>
          </c:cat>
          <c:val>
            <c:numRef>
              <c:f>Sheet2!$B$18:$B$22</c:f>
              <c:numCache>
                <c:formatCode>General</c:formatCode>
                <c:ptCount val="5"/>
                <c:pt idx="0">
                  <c:v>4</c:v>
                </c:pt>
                <c:pt idx="1">
                  <c:v>4</c:v>
                </c:pt>
                <c:pt idx="2">
                  <c:v>2</c:v>
                </c:pt>
                <c:pt idx="3">
                  <c:v>2</c:v>
                </c:pt>
                <c:pt idx="4">
                  <c:v>9</c:v>
                </c:pt>
              </c:numCache>
            </c:numRef>
          </c:val>
          <c:extLst>
            <c:ext xmlns:c16="http://schemas.microsoft.com/office/drawing/2014/chart" uri="{C3380CC4-5D6E-409C-BE32-E72D297353CC}">
              <c16:uniqueId val="{00000002-1FBE-BC48-8EC4-E79AA8389649}"/>
            </c:ext>
          </c:extLst>
        </c:ser>
        <c:dLbls>
          <c:dLblPos val="inEnd"/>
          <c:showLegendKey val="0"/>
          <c:showVal val="1"/>
          <c:showCatName val="0"/>
          <c:showSerName val="0"/>
          <c:showPercent val="0"/>
          <c:showBubbleSize val="0"/>
        </c:dLbls>
        <c:gapWidth val="65"/>
        <c:axId val="574399327"/>
        <c:axId val="725511359"/>
      </c:barChart>
      <c:catAx>
        <c:axId val="57439932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n-US"/>
          </a:p>
        </c:txPr>
        <c:crossAx val="725511359"/>
        <c:crosses val="autoZero"/>
        <c:auto val="1"/>
        <c:lblAlgn val="ctr"/>
        <c:lblOffset val="100"/>
        <c:noMultiLvlLbl val="0"/>
      </c:catAx>
      <c:valAx>
        <c:axId val="72551135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43993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r>
              <a:rPr lang="sr-Latn-BA" sz="1200"/>
              <a:t>Support received from MEG II project (by frequency)</a:t>
            </a:r>
            <a:endParaRPr lang="en-US" sz="1200"/>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Pt>
            <c:idx val="0"/>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5CB9-984B-BCFA-EC3061BBBAB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Sheet3!$B$14:$B$20</c:f>
              <c:strCache>
                <c:ptCount val="7"/>
                <c:pt idx="0">
                  <c:v>Improved water utility management </c:v>
                </c:pt>
                <c:pt idx="1">
                  <c:v>NWR reduction</c:v>
                </c:pt>
                <c:pt idx="2">
                  <c:v>PSA signing / subventions</c:v>
                </c:pt>
                <c:pt idx="3">
                  <c:v>Financial stability</c:v>
                </c:pt>
                <c:pt idx="4">
                  <c:v>Improved legal framework</c:v>
                </c:pt>
                <c:pt idx="5">
                  <c:v>DMA zones </c:v>
                </c:pt>
                <c:pt idx="6">
                  <c:v>Uther </c:v>
                </c:pt>
              </c:strCache>
            </c:strRef>
          </c:cat>
          <c:val>
            <c:numRef>
              <c:f>Sheet3!$C$14:$C$20</c:f>
              <c:numCache>
                <c:formatCode>General</c:formatCode>
                <c:ptCount val="7"/>
                <c:pt idx="0">
                  <c:v>8</c:v>
                </c:pt>
                <c:pt idx="1">
                  <c:v>5</c:v>
                </c:pt>
                <c:pt idx="2">
                  <c:v>4</c:v>
                </c:pt>
                <c:pt idx="3">
                  <c:v>3</c:v>
                </c:pt>
                <c:pt idx="4">
                  <c:v>2</c:v>
                </c:pt>
                <c:pt idx="5">
                  <c:v>2</c:v>
                </c:pt>
                <c:pt idx="6">
                  <c:v>9</c:v>
                </c:pt>
              </c:numCache>
            </c:numRef>
          </c:val>
          <c:extLst>
            <c:ext xmlns:c16="http://schemas.microsoft.com/office/drawing/2014/chart" uri="{C3380CC4-5D6E-409C-BE32-E72D297353CC}">
              <c16:uniqueId val="{00000002-5CB9-984B-BCFA-EC3061BBBABA}"/>
            </c:ext>
          </c:extLst>
        </c:ser>
        <c:dLbls>
          <c:dLblPos val="inEnd"/>
          <c:showLegendKey val="0"/>
          <c:showVal val="1"/>
          <c:showCatName val="0"/>
          <c:showSerName val="0"/>
          <c:showPercent val="0"/>
          <c:showBubbleSize val="0"/>
        </c:dLbls>
        <c:gapWidth val="65"/>
        <c:axId val="574399327"/>
        <c:axId val="725511359"/>
      </c:barChart>
      <c:catAx>
        <c:axId val="57439932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n-US"/>
          </a:p>
        </c:txPr>
        <c:crossAx val="725511359"/>
        <c:crosses val="autoZero"/>
        <c:auto val="1"/>
        <c:lblAlgn val="ctr"/>
        <c:lblOffset val="100"/>
        <c:noMultiLvlLbl val="0"/>
      </c:catAx>
      <c:valAx>
        <c:axId val="72551135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43993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Is CAF useful instrument for LGUs decision-making?</c:v>
                </c:pt>
              </c:strCache>
            </c:strRef>
          </c:tx>
          <c:spPr>
            <a:solidFill>
              <a:srgbClr val="4472C4"/>
            </a:solidFill>
          </c:spPr>
          <c:dPt>
            <c:idx val="0"/>
            <c:bubble3D val="0"/>
            <c:spPr>
              <a:solidFill>
                <a:srgbClr val="0070C0"/>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A5CF-FE4A-93FB-84833C3DEA9E}"/>
              </c:ext>
            </c:extLst>
          </c:dPt>
          <c:dPt>
            <c:idx val="1"/>
            <c:bubble3D val="0"/>
            <c:spPr>
              <a:solidFill>
                <a:schemeClr val="tx2">
                  <a:lumMod val="60000"/>
                  <a:lumOff val="4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A5CF-FE4A-93FB-84833C3DEA9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0.00%</c:formatCode>
                <c:ptCount val="2"/>
                <c:pt idx="0">
                  <c:v>0.92</c:v>
                </c:pt>
                <c:pt idx="1">
                  <c:v>0.08</c:v>
                </c:pt>
              </c:numCache>
            </c:numRef>
          </c:val>
          <c:extLst>
            <c:ext xmlns:c16="http://schemas.microsoft.com/office/drawing/2014/chart" uri="{C3380CC4-5D6E-409C-BE32-E72D297353CC}">
              <c16:uniqueId val="{00000004-A5CF-FE4A-93FB-84833C3DEA9E}"/>
            </c:ext>
          </c:extLst>
        </c:ser>
        <c:dLbls>
          <c:dLblPos val="ctr"/>
          <c:showLegendKey val="0"/>
          <c:showVal val="0"/>
          <c:showCatName val="1"/>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Pt>
            <c:idx val="0"/>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60DC-204E-B5D5-BEC862B4FCB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Sheet4!$B$19:$B$24</c:f>
              <c:strCache>
                <c:ptCount val="6"/>
                <c:pt idx="0">
                  <c:v>For planning of investments</c:v>
                </c:pt>
                <c:pt idx="1">
                  <c:v>For decision making </c:v>
                </c:pt>
                <c:pt idx="2">
                  <c:v>Through cost centers</c:v>
                </c:pt>
                <c:pt idx="3">
                  <c:v>We defeinf strategic goals accordingly </c:v>
                </c:pt>
                <c:pt idx="4">
                  <c:v>Unable to answer</c:v>
                </c:pt>
                <c:pt idx="5">
                  <c:v>Other</c:v>
                </c:pt>
              </c:strCache>
            </c:strRef>
          </c:cat>
          <c:val>
            <c:numRef>
              <c:f>Sheet4!$C$19:$C$24</c:f>
              <c:numCache>
                <c:formatCode>General</c:formatCode>
                <c:ptCount val="6"/>
                <c:pt idx="0">
                  <c:v>3</c:v>
                </c:pt>
                <c:pt idx="1">
                  <c:v>2</c:v>
                </c:pt>
                <c:pt idx="2">
                  <c:v>2</c:v>
                </c:pt>
                <c:pt idx="3">
                  <c:v>1</c:v>
                </c:pt>
                <c:pt idx="4">
                  <c:v>1</c:v>
                </c:pt>
                <c:pt idx="5">
                  <c:v>3</c:v>
                </c:pt>
              </c:numCache>
            </c:numRef>
          </c:val>
          <c:extLst>
            <c:ext xmlns:c16="http://schemas.microsoft.com/office/drawing/2014/chart" uri="{C3380CC4-5D6E-409C-BE32-E72D297353CC}">
              <c16:uniqueId val="{00000002-60DC-204E-B5D5-BEC862B4FCBD}"/>
            </c:ext>
          </c:extLst>
        </c:ser>
        <c:dLbls>
          <c:dLblPos val="inEnd"/>
          <c:showLegendKey val="0"/>
          <c:showVal val="1"/>
          <c:showCatName val="0"/>
          <c:showSerName val="0"/>
          <c:showPercent val="0"/>
          <c:showBubbleSize val="0"/>
        </c:dLbls>
        <c:gapWidth val="65"/>
        <c:axId val="574399327"/>
        <c:axId val="725511359"/>
      </c:barChart>
      <c:catAx>
        <c:axId val="57439932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n-US"/>
          </a:p>
        </c:txPr>
        <c:crossAx val="725511359"/>
        <c:crosses val="autoZero"/>
        <c:auto val="1"/>
        <c:lblAlgn val="ctr"/>
        <c:lblOffset val="100"/>
        <c:noMultiLvlLbl val="0"/>
      </c:catAx>
      <c:valAx>
        <c:axId val="72551135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43993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Lbls>
            <c:dLbl>
              <c:idx val="0"/>
              <c:tx>
                <c:rich>
                  <a:bodyPr/>
                  <a:lstStyle/>
                  <a:p>
                    <a:r>
                      <a:rPr lang="en-US"/>
                      <a:t>8,3%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886-694F-80C6-780727384801}"/>
                </c:ext>
              </c:extLst>
            </c:dLbl>
            <c:dLbl>
              <c:idx val="1"/>
              <c:tx>
                <c:rich>
                  <a:bodyPr/>
                  <a:lstStyle/>
                  <a:p>
                    <a:r>
                      <a:rPr lang="en-US"/>
                      <a:t>0%</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886-694F-80C6-780727384801}"/>
                </c:ext>
              </c:extLst>
            </c:dLbl>
            <c:dLbl>
              <c:idx val="2"/>
              <c:tx>
                <c:rich>
                  <a:bodyPr/>
                  <a:lstStyle/>
                  <a:p>
                    <a:r>
                      <a:rPr lang="en-US"/>
                      <a:t>8,3%</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886-694F-80C6-780727384801}"/>
                </c:ext>
              </c:extLst>
            </c:dLbl>
            <c:dLbl>
              <c:idx val="3"/>
              <c:tx>
                <c:rich>
                  <a:bodyPr/>
                  <a:lstStyle/>
                  <a:p>
                    <a:r>
                      <a:rPr lang="en-US"/>
                      <a:t>41,7%</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886-694F-80C6-780727384801}"/>
                </c:ext>
              </c:extLst>
            </c:dLbl>
            <c:dLbl>
              <c:idx val="4"/>
              <c:tx>
                <c:rich>
                  <a:bodyPr/>
                  <a:lstStyle/>
                  <a:p>
                    <a:r>
                      <a:rPr lang="en-US"/>
                      <a:t>41,7%</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7886-694F-80C6-78072738480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'Form Responses 1'!$O$39:$O$43</c:f>
              <c:strCache>
                <c:ptCount val="5"/>
                <c:pt idx="0">
                  <c:v>1 - no</c:v>
                </c:pt>
                <c:pt idx="1">
                  <c:v>2</c:v>
                </c:pt>
                <c:pt idx="2">
                  <c:v>3</c:v>
                </c:pt>
                <c:pt idx="3">
                  <c:v>4</c:v>
                </c:pt>
                <c:pt idx="4">
                  <c:v>5 - great</c:v>
                </c:pt>
              </c:strCache>
            </c:strRef>
          </c:cat>
          <c:val>
            <c:numRef>
              <c:f>'Form Responses 1'!$P$39:$P$43</c:f>
              <c:numCache>
                <c:formatCode>0.00%</c:formatCode>
                <c:ptCount val="5"/>
                <c:pt idx="0">
                  <c:v>0.08</c:v>
                </c:pt>
                <c:pt idx="1">
                  <c:v>0</c:v>
                </c:pt>
                <c:pt idx="2">
                  <c:v>0.08</c:v>
                </c:pt>
                <c:pt idx="3">
                  <c:v>0.42</c:v>
                </c:pt>
                <c:pt idx="4">
                  <c:v>0.42</c:v>
                </c:pt>
              </c:numCache>
            </c:numRef>
          </c:val>
          <c:extLst>
            <c:ext xmlns:c16="http://schemas.microsoft.com/office/drawing/2014/chart" uri="{C3380CC4-5D6E-409C-BE32-E72D297353CC}">
              <c16:uniqueId val="{00000005-7886-694F-80C6-780727384801}"/>
            </c:ext>
          </c:extLst>
        </c:ser>
        <c:dLbls>
          <c:dLblPos val="inEnd"/>
          <c:showLegendKey val="0"/>
          <c:showVal val="1"/>
          <c:showCatName val="0"/>
          <c:showSerName val="0"/>
          <c:showPercent val="0"/>
          <c:showBubbleSize val="0"/>
        </c:dLbls>
        <c:gapWidth val="65"/>
        <c:axId val="711320863"/>
        <c:axId val="1246040735"/>
      </c:barChart>
      <c:catAx>
        <c:axId val="71132086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46040735"/>
        <c:crosses val="autoZero"/>
        <c:auto val="1"/>
        <c:lblAlgn val="ctr"/>
        <c:lblOffset val="100"/>
        <c:noMultiLvlLbl val="0"/>
      </c:catAx>
      <c:valAx>
        <c:axId val="1246040735"/>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711320863"/>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Pt>
            <c:idx val="0"/>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13B5-CA4E-ADD1-08F212F5C9B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Sheet5!$B$17:$B$20</c:f>
              <c:strCache>
                <c:ptCount val="4"/>
                <c:pt idx="0">
                  <c:v>Defined rights anf responsibilities through PSA</c:v>
                </c:pt>
                <c:pt idx="1">
                  <c:v>Improved communiciation and coordination</c:v>
                </c:pt>
                <c:pt idx="2">
                  <c:v>Other </c:v>
                </c:pt>
                <c:pt idx="3">
                  <c:v>No particular use</c:v>
                </c:pt>
              </c:strCache>
            </c:strRef>
          </c:cat>
          <c:val>
            <c:numRef>
              <c:f>Sheet5!$C$17:$C$20</c:f>
              <c:numCache>
                <c:formatCode>General</c:formatCode>
                <c:ptCount val="4"/>
                <c:pt idx="0">
                  <c:v>4</c:v>
                </c:pt>
                <c:pt idx="1">
                  <c:v>4</c:v>
                </c:pt>
                <c:pt idx="2">
                  <c:v>3</c:v>
                </c:pt>
                <c:pt idx="3">
                  <c:v>1</c:v>
                </c:pt>
              </c:numCache>
            </c:numRef>
          </c:val>
          <c:extLst>
            <c:ext xmlns:c16="http://schemas.microsoft.com/office/drawing/2014/chart" uri="{C3380CC4-5D6E-409C-BE32-E72D297353CC}">
              <c16:uniqueId val="{00000002-13B5-CA4E-ADD1-08F212F5C9B6}"/>
            </c:ext>
          </c:extLst>
        </c:ser>
        <c:dLbls>
          <c:dLblPos val="inEnd"/>
          <c:showLegendKey val="0"/>
          <c:showVal val="1"/>
          <c:showCatName val="0"/>
          <c:showSerName val="0"/>
          <c:showPercent val="0"/>
          <c:showBubbleSize val="0"/>
        </c:dLbls>
        <c:gapWidth val="65"/>
        <c:axId val="574399327"/>
        <c:axId val="725511359"/>
      </c:barChart>
      <c:catAx>
        <c:axId val="57439932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n-US"/>
          </a:p>
        </c:txPr>
        <c:crossAx val="725511359"/>
        <c:crosses val="autoZero"/>
        <c:auto val="1"/>
        <c:lblAlgn val="ctr"/>
        <c:lblOffset val="100"/>
        <c:noMultiLvlLbl val="0"/>
      </c:catAx>
      <c:valAx>
        <c:axId val="72551135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43993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Pt>
            <c:idx val="0"/>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2610-9D4E-BB2F-48CE2DA3672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Sheet6!$B$19:$B$22</c:f>
              <c:strCache>
                <c:ptCount val="4"/>
                <c:pt idx="0">
                  <c:v>Through workshops and training</c:v>
                </c:pt>
                <c:pt idx="1">
                  <c:v>Through technical assistance </c:v>
                </c:pt>
                <c:pt idx="2">
                  <c:v>GIS charting</c:v>
                </c:pt>
                <c:pt idx="3">
                  <c:v>Other</c:v>
                </c:pt>
              </c:strCache>
            </c:strRef>
          </c:cat>
          <c:val>
            <c:numRef>
              <c:f>Sheet6!$C$19:$C$22</c:f>
              <c:numCache>
                <c:formatCode>General</c:formatCode>
                <c:ptCount val="4"/>
                <c:pt idx="0">
                  <c:v>7</c:v>
                </c:pt>
                <c:pt idx="1">
                  <c:v>2</c:v>
                </c:pt>
                <c:pt idx="2">
                  <c:v>1</c:v>
                </c:pt>
                <c:pt idx="3">
                  <c:v>2</c:v>
                </c:pt>
              </c:numCache>
            </c:numRef>
          </c:val>
          <c:extLst>
            <c:ext xmlns:c16="http://schemas.microsoft.com/office/drawing/2014/chart" uri="{C3380CC4-5D6E-409C-BE32-E72D297353CC}">
              <c16:uniqueId val="{00000002-2610-9D4E-BB2F-48CE2DA36721}"/>
            </c:ext>
          </c:extLst>
        </c:ser>
        <c:dLbls>
          <c:dLblPos val="inEnd"/>
          <c:showLegendKey val="0"/>
          <c:showVal val="1"/>
          <c:showCatName val="0"/>
          <c:showSerName val="0"/>
          <c:showPercent val="0"/>
          <c:showBubbleSize val="0"/>
        </c:dLbls>
        <c:gapWidth val="65"/>
        <c:axId val="574399327"/>
        <c:axId val="725511359"/>
      </c:barChart>
      <c:catAx>
        <c:axId val="57439932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n-US"/>
          </a:p>
        </c:txPr>
        <c:crossAx val="725511359"/>
        <c:crosses val="autoZero"/>
        <c:auto val="1"/>
        <c:lblAlgn val="ctr"/>
        <c:lblOffset val="100"/>
        <c:noMultiLvlLbl val="0"/>
      </c:catAx>
      <c:valAx>
        <c:axId val="72551135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43993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Lbls>
            <c:dLbl>
              <c:idx val="0"/>
              <c:tx>
                <c:rich>
                  <a:bodyPr/>
                  <a:lstStyle/>
                  <a:p>
                    <a:r>
                      <a:rPr lang="en-US"/>
                      <a:t>8%</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F98-2E43-AD51-1A3E688A30E2}"/>
                </c:ext>
              </c:extLst>
            </c:dLbl>
            <c:dLbl>
              <c:idx val="1"/>
              <c:tx>
                <c:rich>
                  <a:bodyPr/>
                  <a:lstStyle/>
                  <a:p>
                    <a:r>
                      <a:rPr lang="en-US"/>
                      <a:t>25%</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F98-2E43-AD51-1A3E688A30E2}"/>
                </c:ext>
              </c:extLst>
            </c:dLbl>
            <c:dLbl>
              <c:idx val="2"/>
              <c:tx>
                <c:rich>
                  <a:bodyPr/>
                  <a:lstStyle/>
                  <a:p>
                    <a:r>
                      <a:rPr lang="en-US"/>
                      <a:t>25%</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F98-2E43-AD51-1A3E688A30E2}"/>
                </c:ext>
              </c:extLst>
            </c:dLbl>
            <c:dLbl>
              <c:idx val="3"/>
              <c:tx>
                <c:rich>
                  <a:bodyPr/>
                  <a:lstStyle/>
                  <a:p>
                    <a:r>
                      <a:rPr lang="en-US"/>
                      <a:t>25%</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F98-2E43-AD51-1A3E688A30E2}"/>
                </c:ext>
              </c:extLst>
            </c:dLbl>
            <c:dLbl>
              <c:idx val="4"/>
              <c:tx>
                <c:rich>
                  <a:bodyPr/>
                  <a:lstStyle/>
                  <a:p>
                    <a:r>
                      <a:rPr lang="en-US"/>
                      <a:t>17%</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F98-2E43-AD51-1A3E688A30E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'Form Responses 1'!$O$57:$O$61</c:f>
              <c:strCache>
                <c:ptCount val="5"/>
                <c:pt idx="0">
                  <c:v>1 - no</c:v>
                </c:pt>
                <c:pt idx="1">
                  <c:v>2</c:v>
                </c:pt>
                <c:pt idx="2">
                  <c:v>3</c:v>
                </c:pt>
                <c:pt idx="3">
                  <c:v>4</c:v>
                </c:pt>
                <c:pt idx="4">
                  <c:v>5 - great</c:v>
                </c:pt>
              </c:strCache>
            </c:strRef>
          </c:cat>
          <c:val>
            <c:numRef>
              <c:f>'Form Responses 1'!$P$57:$P$61</c:f>
              <c:numCache>
                <c:formatCode>0.00%</c:formatCode>
                <c:ptCount val="5"/>
                <c:pt idx="0">
                  <c:v>0.08</c:v>
                </c:pt>
                <c:pt idx="1">
                  <c:v>0.25</c:v>
                </c:pt>
                <c:pt idx="2">
                  <c:v>0.25</c:v>
                </c:pt>
                <c:pt idx="3">
                  <c:v>0.25</c:v>
                </c:pt>
                <c:pt idx="4">
                  <c:v>0.17</c:v>
                </c:pt>
              </c:numCache>
            </c:numRef>
          </c:val>
          <c:extLst>
            <c:ext xmlns:c16="http://schemas.microsoft.com/office/drawing/2014/chart" uri="{C3380CC4-5D6E-409C-BE32-E72D297353CC}">
              <c16:uniqueId val="{00000005-4F98-2E43-AD51-1A3E688A30E2}"/>
            </c:ext>
          </c:extLst>
        </c:ser>
        <c:dLbls>
          <c:dLblPos val="inEnd"/>
          <c:showLegendKey val="0"/>
          <c:showVal val="1"/>
          <c:showCatName val="0"/>
          <c:showSerName val="0"/>
          <c:showPercent val="0"/>
          <c:showBubbleSize val="0"/>
        </c:dLbls>
        <c:gapWidth val="65"/>
        <c:axId val="711320863"/>
        <c:axId val="1246040735"/>
      </c:barChart>
      <c:catAx>
        <c:axId val="71132086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246040735"/>
        <c:crosses val="autoZero"/>
        <c:auto val="1"/>
        <c:lblAlgn val="ctr"/>
        <c:lblOffset val="100"/>
        <c:noMultiLvlLbl val="0"/>
      </c:catAx>
      <c:valAx>
        <c:axId val="1246040735"/>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00%" sourceLinked="1"/>
        <c:majorTickMark val="none"/>
        <c:minorTickMark val="none"/>
        <c:tickLblPos val="nextTo"/>
        <c:crossAx val="711320863"/>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Pt>
            <c:idx val="0"/>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5F5A-0B4C-AC4F-E5549F3ECD5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Sheet7!$B$19:$B$23</c:f>
              <c:strCache>
                <c:ptCount val="5"/>
                <c:pt idx="0">
                  <c:v>Through citizens' surveys</c:v>
                </c:pt>
                <c:pt idx="1">
                  <c:v>Through E-citizen application</c:v>
                </c:pt>
                <c:pt idx="2">
                  <c:v>Through customer relations</c:v>
                </c:pt>
                <c:pt idx="3">
                  <c:v>No answer</c:v>
                </c:pt>
                <c:pt idx="4">
                  <c:v>Other</c:v>
                </c:pt>
              </c:strCache>
            </c:strRef>
          </c:cat>
          <c:val>
            <c:numRef>
              <c:f>Sheet7!$C$19:$C$23</c:f>
              <c:numCache>
                <c:formatCode>General</c:formatCode>
                <c:ptCount val="5"/>
                <c:pt idx="0">
                  <c:v>3</c:v>
                </c:pt>
                <c:pt idx="1">
                  <c:v>2</c:v>
                </c:pt>
                <c:pt idx="2">
                  <c:v>2</c:v>
                </c:pt>
                <c:pt idx="3">
                  <c:v>2</c:v>
                </c:pt>
                <c:pt idx="4">
                  <c:v>3</c:v>
                </c:pt>
              </c:numCache>
            </c:numRef>
          </c:val>
          <c:extLst>
            <c:ext xmlns:c16="http://schemas.microsoft.com/office/drawing/2014/chart" uri="{C3380CC4-5D6E-409C-BE32-E72D297353CC}">
              <c16:uniqueId val="{00000002-5F5A-0B4C-AC4F-E5549F3ECD52}"/>
            </c:ext>
          </c:extLst>
        </c:ser>
        <c:dLbls>
          <c:dLblPos val="inEnd"/>
          <c:showLegendKey val="0"/>
          <c:showVal val="1"/>
          <c:showCatName val="0"/>
          <c:showSerName val="0"/>
          <c:showPercent val="0"/>
          <c:showBubbleSize val="0"/>
        </c:dLbls>
        <c:gapWidth val="65"/>
        <c:axId val="574399327"/>
        <c:axId val="725511359"/>
      </c:barChart>
      <c:catAx>
        <c:axId val="57439932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n-US"/>
          </a:p>
        </c:txPr>
        <c:crossAx val="725511359"/>
        <c:crosses val="autoZero"/>
        <c:auto val="1"/>
        <c:lblAlgn val="ctr"/>
        <c:lblOffset val="100"/>
        <c:noMultiLvlLbl val="0"/>
      </c:catAx>
      <c:valAx>
        <c:axId val="72551135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43993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rgbClr val="0070C0"/>
            </a:solidFill>
            <a:ln w="9525" cap="flat" cmpd="sng" algn="ctr">
              <a:solidFill>
                <a:schemeClr val="lt1">
                  <a:alpha val="50000"/>
                </a:schemeClr>
              </a:solidFill>
              <a:round/>
            </a:ln>
            <a:effectLst/>
          </c:spPr>
          <c:invertIfNegative val="0"/>
          <c:dPt>
            <c:idx val="0"/>
            <c:invertIfNegative val="0"/>
            <c:bubble3D val="0"/>
            <c:spPr>
              <a:solidFill>
                <a:srgbClr val="0070C0"/>
              </a:solidFill>
              <a:ln w="9525" cap="flat" cmpd="sng" algn="ctr">
                <a:solidFill>
                  <a:schemeClr val="lt1">
                    <a:alpha val="50000"/>
                  </a:schemeClr>
                </a:solidFill>
                <a:round/>
              </a:ln>
              <a:effectLst/>
            </c:spPr>
            <c:extLst>
              <c:ext xmlns:c16="http://schemas.microsoft.com/office/drawing/2014/chart" uri="{C3380CC4-5D6E-409C-BE32-E72D297353CC}">
                <c16:uniqueId val="{00000001-A83B-FD41-8B57-A6DFA1B6FDA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Sheet8!$B$16:$B$21</c:f>
              <c:strCache>
                <c:ptCount val="6"/>
                <c:pt idx="0">
                  <c:v>Concentration to property issues</c:v>
                </c:pt>
                <c:pt idx="1">
                  <c:v>More technical assistance / improved consultancy </c:v>
                </c:pt>
                <c:pt idx="2">
                  <c:v>More financial support</c:v>
                </c:pt>
                <c:pt idx="3">
                  <c:v>More cooperation and exchange of experineces</c:v>
                </c:pt>
                <c:pt idx="4">
                  <c:v>Get us back to MEG project (Gacko)</c:v>
                </c:pt>
                <c:pt idx="5">
                  <c:v>Other </c:v>
                </c:pt>
              </c:strCache>
            </c:strRef>
          </c:cat>
          <c:val>
            <c:numRef>
              <c:f>Sheet8!$C$16:$C$21</c:f>
              <c:numCache>
                <c:formatCode>General</c:formatCode>
                <c:ptCount val="6"/>
                <c:pt idx="0">
                  <c:v>3</c:v>
                </c:pt>
                <c:pt idx="1">
                  <c:v>3</c:v>
                </c:pt>
                <c:pt idx="2">
                  <c:v>3</c:v>
                </c:pt>
                <c:pt idx="3">
                  <c:v>2</c:v>
                </c:pt>
                <c:pt idx="4">
                  <c:v>1</c:v>
                </c:pt>
                <c:pt idx="5">
                  <c:v>5</c:v>
                </c:pt>
              </c:numCache>
            </c:numRef>
          </c:val>
          <c:extLst>
            <c:ext xmlns:c16="http://schemas.microsoft.com/office/drawing/2014/chart" uri="{C3380CC4-5D6E-409C-BE32-E72D297353CC}">
              <c16:uniqueId val="{00000002-A83B-FD41-8B57-A6DFA1B6FDA4}"/>
            </c:ext>
          </c:extLst>
        </c:ser>
        <c:dLbls>
          <c:dLblPos val="inEnd"/>
          <c:showLegendKey val="0"/>
          <c:showVal val="1"/>
          <c:showCatName val="0"/>
          <c:showSerName val="0"/>
          <c:showPercent val="0"/>
          <c:showBubbleSize val="0"/>
        </c:dLbls>
        <c:gapWidth val="65"/>
        <c:axId val="574399327"/>
        <c:axId val="725511359"/>
      </c:barChart>
      <c:catAx>
        <c:axId val="57439932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en-US"/>
          </a:p>
        </c:txPr>
        <c:crossAx val="725511359"/>
        <c:crosses val="autoZero"/>
        <c:auto val="1"/>
        <c:lblAlgn val="ctr"/>
        <c:lblOffset val="100"/>
        <c:noMultiLvlLbl val="0"/>
      </c:catAx>
      <c:valAx>
        <c:axId val="72551135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7439932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withinLinear" id="14">
  <a:schemeClr val="accent1"/>
</cs:colorStyle>
</file>

<file path=word/charts/colors13.xml><?xml version="1.0" encoding="utf-8"?>
<cs:colorStyle xmlns:cs="http://schemas.microsoft.com/office/drawing/2012/chartStyle" xmlns:a="http://schemas.openxmlformats.org/drawingml/2006/main" meth="withinLinear" id="14">
  <a:schemeClr val="accent1"/>
</cs:colorStyle>
</file>

<file path=word/charts/colors14.xml><?xml version="1.0" encoding="utf-8"?>
<cs:colorStyle xmlns:cs="http://schemas.microsoft.com/office/drawing/2012/chartStyle" xmlns:a="http://schemas.openxmlformats.org/drawingml/2006/main" meth="withinLinear" id="14">
  <a:schemeClr val="accent1"/>
</cs:colorStyle>
</file>

<file path=word/charts/colors15.xml><?xml version="1.0" encoding="utf-8"?>
<cs:colorStyle xmlns:cs="http://schemas.microsoft.com/office/drawing/2012/chartStyle" xmlns:a="http://schemas.openxmlformats.org/drawingml/2006/main" meth="withinLinearReversed" id="21">
  <a:schemeClr val="accent1"/>
</cs:colorStyle>
</file>

<file path=word/charts/colors16.xml><?xml version="1.0" encoding="utf-8"?>
<cs:colorStyle xmlns:cs="http://schemas.microsoft.com/office/drawing/2012/chartStyle" xmlns:a="http://schemas.openxmlformats.org/drawingml/2006/main" meth="withinLinearReversed" id="21">
  <a:schemeClr val="accent1"/>
</cs:colorStyle>
</file>

<file path=word/charts/colors17.xml><?xml version="1.0" encoding="utf-8"?>
<cs:colorStyle xmlns:cs="http://schemas.microsoft.com/office/drawing/2012/chartStyle" xmlns:a="http://schemas.openxmlformats.org/drawingml/2006/main" meth="withinLinear" id="14">
  <a:schemeClr val="accent1"/>
</cs:colorStyle>
</file>

<file path=word/charts/colors18.xml><?xml version="1.0" encoding="utf-8"?>
<cs:colorStyle xmlns:cs="http://schemas.microsoft.com/office/drawing/2012/chartStyle" xmlns:a="http://schemas.openxmlformats.org/drawingml/2006/main" meth="withinLinear" id="14">
  <a:schemeClr val="accent1"/>
</cs:colorStyle>
</file>

<file path=word/charts/colors19.xml><?xml version="1.0" encoding="utf-8"?>
<cs:colorStyle xmlns:cs="http://schemas.microsoft.com/office/drawing/2012/chartStyle" xmlns:a="http://schemas.openxmlformats.org/drawingml/2006/main" meth="withinLinear" id="14">
  <a:schemeClr val="accent1"/>
</cs:colorStyle>
</file>

<file path=word/charts/colors20.xml><?xml version="1.0" encoding="utf-8"?>
<cs:colorStyle xmlns:cs="http://schemas.microsoft.com/office/drawing/2012/chartStyle" xmlns:a="http://schemas.openxmlformats.org/drawingml/2006/main" meth="withinLinear" id="14">
  <a:schemeClr val="accent1"/>
</cs:colorStyle>
</file>

<file path=word/charts/colors21.xml><?xml version="1.0" encoding="utf-8"?>
<cs:colorStyle xmlns:cs="http://schemas.microsoft.com/office/drawing/2012/chartStyle" xmlns:a="http://schemas.openxmlformats.org/drawingml/2006/main" meth="withinLinearReversed" id="21">
  <a:schemeClr val="accent1"/>
</cs:colorStyle>
</file>

<file path=word/charts/colors22.xml><?xml version="1.0" encoding="utf-8"?>
<cs:colorStyle xmlns:cs="http://schemas.microsoft.com/office/drawing/2012/chartStyle" xmlns:a="http://schemas.openxmlformats.org/drawingml/2006/main" meth="withinLinear" id="14">
  <a:schemeClr val="accent1"/>
</cs:colorStyle>
</file>

<file path=word/charts/colors23.xml><?xml version="1.0" encoding="utf-8"?>
<cs:colorStyle xmlns:cs="http://schemas.microsoft.com/office/drawing/2012/chartStyle" xmlns:a="http://schemas.openxmlformats.org/drawingml/2006/main" meth="withinLinear" id="14">
  <a:schemeClr val="accent1"/>
</cs:colorStyle>
</file>

<file path=word/charts/colors24.xml><?xml version="1.0" encoding="utf-8"?>
<cs:colorStyle xmlns:cs="http://schemas.microsoft.com/office/drawing/2012/chartStyle" xmlns:a="http://schemas.openxmlformats.org/drawingml/2006/main" meth="withinLinearReversed" id="21">
  <a:schemeClr val="accent1"/>
</cs:colorStyle>
</file>

<file path=word/charts/colors25.xml><?xml version="1.0" encoding="utf-8"?>
<cs:colorStyle xmlns:cs="http://schemas.microsoft.com/office/drawing/2012/chartStyle" xmlns:a="http://schemas.openxmlformats.org/drawingml/2006/main" meth="withinLinear" id="14">
  <a:schemeClr val="accent1"/>
</cs:colorStyle>
</file>

<file path=word/charts/colors26.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9.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0.12482</cdr:x>
      <cdr:y>0.1876</cdr:y>
    </cdr:from>
    <cdr:to>
      <cdr:x>0.83198</cdr:x>
      <cdr:y>0.57738</cdr:y>
    </cdr:to>
    <cdr:sp macro="" textlink="">
      <cdr:nvSpPr>
        <cdr:cNvPr id="5" name="Straight Arrow Connector 4"/>
        <cdr:cNvSpPr/>
      </cdr:nvSpPr>
      <cdr:spPr>
        <a:xfrm xmlns:a="http://schemas.openxmlformats.org/drawingml/2006/main" flipV="1">
          <a:off x="720004" y="509954"/>
          <a:ext cx="4079131" cy="1059550"/>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B0542 - Bosnia &amp; Herzegovina- Sarajevo</OfficeCountry>
    <DocumentStatus xmlns="d9cf0e28-81d2-4dc7-8b10-820d80ed680d">Approved</DocumentStatus>
    <DocCoverageEndDate xmlns="d9cf0e28-81d2-4dc7-8b10-820d80ed680d">2025-03-31T04:00:00+00:00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00094439</ProjectNumber>
    <DocumentType xmlns="d9cf0e28-81d2-4dc7-8b10-820d80ed680d">Evaluation Report</DocumentType>
    <Language xmlns="d9cf0e28-81d2-4dc7-8b10-820d80ed680d">English</Language>
    <AuthorName xmlns="d9cf0e28-81d2-4dc7-8b10-820d80ed680d">UNDP</AuthorName>
    <DocumentCategory xmlns="d9cf0e28-81d2-4dc7-8b10-820d80ed680d">Project</DocumentCategory>
    <OperatingUnit xmlns="d9cf0e28-81d2-4dc7-8b10-820d80ed680d">UNDP-BIH</OperatingUnit>
    <FocusArea xmlns="d9cf0e28-81d2-4dc7-8b10-820d80ed680d" xsi:nil="true"/>
    <DocCoverageStartDate xmlns="d9cf0e28-81d2-4dc7-8b10-820d80ed680d">2021-04-12T04:00:00+00:00</DocCoverageStartDate>
    <FileClassificationMode xmlns="d9cf0e28-81d2-4dc7-8b10-820d80ed680d">Public</FileClassificationMode>
    <OutputNumber xmlns="d9cf0e28-81d2-4dc7-8b10-820d80ed680d">00098539</OutputNumbe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3B9CF2-A679-45F5-98A5-9903F73A9D65}">
  <ds:schemaRefs>
    <ds:schemaRef ds:uri="http://schemas.microsoft.com/office/2006/metadata/properties"/>
    <ds:schemaRef ds:uri="http://schemas.microsoft.com/office/infopath/2007/PartnerControls"/>
    <ds:schemaRef ds:uri="de777af5-75c5-4059-8842-b3ca2d118c77"/>
    <ds:schemaRef ds:uri="3470835f-711c-4661-8ff4-9a383973544c"/>
  </ds:schemaRefs>
</ds:datastoreItem>
</file>

<file path=customXml/itemProps2.xml><?xml version="1.0" encoding="utf-8"?>
<ds:datastoreItem xmlns:ds="http://schemas.openxmlformats.org/officeDocument/2006/customXml" ds:itemID="{F3E5F613-C3CF-4DCD-9161-14589A85FD12}">
  <ds:schemaRefs>
    <ds:schemaRef ds:uri="http://schemas.openxmlformats.org/officeDocument/2006/bibliography"/>
  </ds:schemaRefs>
</ds:datastoreItem>
</file>

<file path=customXml/itemProps3.xml><?xml version="1.0" encoding="utf-8"?>
<ds:datastoreItem xmlns:ds="http://schemas.openxmlformats.org/officeDocument/2006/customXml" ds:itemID="{AC18342A-8F77-4ACF-9FCF-72A524C75AF2}">
  <ds:schemaRefs>
    <ds:schemaRef ds:uri="http://schemas.microsoft.com/sharepoint/v3/contenttype/forms"/>
  </ds:schemaRefs>
</ds:datastoreItem>
</file>

<file path=customXml/itemProps4.xml><?xml version="1.0" encoding="utf-8"?>
<ds:datastoreItem xmlns:ds="http://schemas.openxmlformats.org/officeDocument/2006/customXml" ds:itemID="{393A3E48-40F4-4B08-AE20-888EA102BACC}">
  <ds:schemaRefs>
    <ds:schemaRef ds:uri="http://schemas.microsoft.com/sharepoint/events"/>
  </ds:schemaRefs>
</ds:datastoreItem>
</file>

<file path=customXml/itemProps5.xml><?xml version="1.0" encoding="utf-8"?>
<ds:datastoreItem xmlns:ds="http://schemas.openxmlformats.org/officeDocument/2006/customXml" ds:itemID="{A0F64164-328A-4661-9812-63FA272E56A4}"/>
</file>

<file path=docProps/app.xml><?xml version="1.0" encoding="utf-8"?>
<Properties xmlns="http://schemas.openxmlformats.org/officeDocument/2006/extended-properties" xmlns:vt="http://schemas.openxmlformats.org/officeDocument/2006/docPropsVTypes">
  <Template>Normal.dotm</Template>
  <TotalTime>0</TotalTime>
  <Pages>121</Pages>
  <Words>37115</Words>
  <Characters>211560</Characters>
  <Application>Microsoft Office Word</Application>
  <DocSecurity>0</DocSecurity>
  <Lines>1763</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248179</CharactersWithSpaces>
  <SharedDoc>false</SharedDoc>
  <HLinks>
    <vt:vector size="1194" baseType="variant">
      <vt:variant>
        <vt:i4>6553649</vt:i4>
      </vt:variant>
      <vt:variant>
        <vt:i4>510</vt:i4>
      </vt:variant>
      <vt:variant>
        <vt:i4>0</vt:i4>
      </vt:variant>
      <vt:variant>
        <vt:i4>5</vt:i4>
      </vt:variant>
      <vt:variant>
        <vt:lpwstr>http://www.ecitizen.ba/</vt:lpwstr>
      </vt:variant>
      <vt:variant>
        <vt:lpwstr/>
      </vt:variant>
      <vt:variant>
        <vt:i4>1966140</vt:i4>
      </vt:variant>
      <vt:variant>
        <vt:i4>507</vt:i4>
      </vt:variant>
      <vt:variant>
        <vt:i4>0</vt:i4>
      </vt:variant>
      <vt:variant>
        <vt:i4>5</vt:i4>
      </vt:variant>
      <vt:variant>
        <vt:lpwstr>mailto:zdravosrbac@yahoo.com</vt:lpwstr>
      </vt:variant>
      <vt:variant>
        <vt:lpwstr/>
      </vt:variant>
      <vt:variant>
        <vt:i4>4194416</vt:i4>
      </vt:variant>
      <vt:variant>
        <vt:i4>504</vt:i4>
      </vt:variant>
      <vt:variant>
        <vt:i4>0</vt:i4>
      </vt:variant>
      <vt:variant>
        <vt:i4>5</vt:i4>
      </vt:variant>
      <vt:variant>
        <vt:lpwstr>mailto:info@eipa.eu</vt:lpwstr>
      </vt:variant>
      <vt:variant>
        <vt:lpwstr/>
      </vt:variant>
      <vt:variant>
        <vt:i4>655471</vt:i4>
      </vt:variant>
      <vt:variant>
        <vt:i4>501</vt:i4>
      </vt:variant>
      <vt:variant>
        <vt:i4>0</vt:i4>
      </vt:variant>
      <vt:variant>
        <vt:i4>5</vt:i4>
      </vt:variant>
      <vt:variant>
        <vt:lpwstr>mailto:haris.komic@gmail.com</vt:lpwstr>
      </vt:variant>
      <vt:variant>
        <vt:lpwstr/>
      </vt:variant>
      <vt:variant>
        <vt:i4>5439614</vt:i4>
      </vt:variant>
      <vt:variant>
        <vt:i4>498</vt:i4>
      </vt:variant>
      <vt:variant>
        <vt:i4>0</vt:i4>
      </vt:variant>
      <vt:variant>
        <vt:i4>5</vt:i4>
      </vt:variant>
      <vt:variant>
        <vt:lpwstr>mailto:info@tron.ba</vt:lpwstr>
      </vt:variant>
      <vt:variant>
        <vt:lpwstr/>
      </vt:variant>
      <vt:variant>
        <vt:i4>1900588</vt:i4>
      </vt:variant>
      <vt:variant>
        <vt:i4>495</vt:i4>
      </vt:variant>
      <vt:variant>
        <vt:i4>0</vt:i4>
      </vt:variant>
      <vt:variant>
        <vt:i4>5</vt:i4>
      </vt:variant>
      <vt:variant>
        <vt:lpwstr>mailto:haris@cedes.ba</vt:lpwstr>
      </vt:variant>
      <vt:variant>
        <vt:lpwstr/>
      </vt:variant>
      <vt:variant>
        <vt:i4>7209027</vt:i4>
      </vt:variant>
      <vt:variant>
        <vt:i4>492</vt:i4>
      </vt:variant>
      <vt:variant>
        <vt:i4>0</vt:i4>
      </vt:variant>
      <vt:variant>
        <vt:i4>5</vt:i4>
      </vt:variant>
      <vt:variant>
        <vt:lpwstr>mailto:info@unaconsulting.ba</vt:lpwstr>
      </vt:variant>
      <vt:variant>
        <vt:lpwstr/>
      </vt:variant>
      <vt:variant>
        <vt:i4>4915303</vt:i4>
      </vt:variant>
      <vt:variant>
        <vt:i4>489</vt:i4>
      </vt:variant>
      <vt:variant>
        <vt:i4>0</vt:i4>
      </vt:variant>
      <vt:variant>
        <vt:i4>5</vt:i4>
      </vt:variant>
      <vt:variant>
        <vt:lpwstr>mailto:fuad.m@rad-tesanj.ba</vt:lpwstr>
      </vt:variant>
      <vt:variant>
        <vt:lpwstr/>
      </vt:variant>
      <vt:variant>
        <vt:i4>1900585</vt:i4>
      </vt:variant>
      <vt:variant>
        <vt:i4>486</vt:i4>
      </vt:variant>
      <vt:variant>
        <vt:i4>0</vt:i4>
      </vt:variant>
      <vt:variant>
        <vt:i4>5</vt:i4>
      </vt:variant>
      <vt:variant>
        <vt:lpwstr>mailto:ljsibincic@gmail.com</vt:lpwstr>
      </vt:variant>
      <vt:variant>
        <vt:lpwstr/>
      </vt:variant>
      <vt:variant>
        <vt:i4>3080196</vt:i4>
      </vt:variant>
      <vt:variant>
        <vt:i4>483</vt:i4>
      </vt:variant>
      <vt:variant>
        <vt:i4>0</vt:i4>
      </vt:variant>
      <vt:variant>
        <vt:i4>5</vt:i4>
      </vt:variant>
      <vt:variant>
        <vt:lpwstr>mailto:vik@teol.net</vt:lpwstr>
      </vt:variant>
      <vt:variant>
        <vt:lpwstr/>
      </vt:variant>
      <vt:variant>
        <vt:i4>6881281</vt:i4>
      </vt:variant>
      <vt:variant>
        <vt:i4>480</vt:i4>
      </vt:variant>
      <vt:variant>
        <vt:i4>0</vt:i4>
      </vt:variant>
      <vt:variant>
        <vt:i4>5</vt:i4>
      </vt:variant>
      <vt:variant>
        <vt:lpwstr>mailto:vodovod@vodovod-bihac.ba</vt:lpwstr>
      </vt:variant>
      <vt:variant>
        <vt:lpwstr/>
      </vt:variant>
      <vt:variant>
        <vt:i4>6881281</vt:i4>
      </vt:variant>
      <vt:variant>
        <vt:i4>477</vt:i4>
      </vt:variant>
      <vt:variant>
        <vt:i4>0</vt:i4>
      </vt:variant>
      <vt:variant>
        <vt:i4>5</vt:i4>
      </vt:variant>
      <vt:variant>
        <vt:lpwstr>mailto:vodovod@vodovod-bihac.ba</vt:lpwstr>
      </vt:variant>
      <vt:variant>
        <vt:lpwstr/>
      </vt:variant>
      <vt:variant>
        <vt:i4>1900585</vt:i4>
      </vt:variant>
      <vt:variant>
        <vt:i4>474</vt:i4>
      </vt:variant>
      <vt:variant>
        <vt:i4>0</vt:i4>
      </vt:variant>
      <vt:variant>
        <vt:i4>5</vt:i4>
      </vt:variant>
      <vt:variant>
        <vt:lpwstr>mailto:ljsibincic@gmail.com</vt:lpwstr>
      </vt:variant>
      <vt:variant>
        <vt:lpwstr/>
      </vt:variant>
      <vt:variant>
        <vt:i4>65657</vt:i4>
      </vt:variant>
      <vt:variant>
        <vt:i4>471</vt:i4>
      </vt:variant>
      <vt:variant>
        <vt:i4>0</vt:i4>
      </vt:variant>
      <vt:variant>
        <vt:i4>5</vt:i4>
      </vt:variant>
      <vt:variant>
        <vt:lpwstr>mailto:infocentar@rad-tesanj.ba</vt:lpwstr>
      </vt:variant>
      <vt:variant>
        <vt:lpwstr/>
      </vt:variant>
      <vt:variant>
        <vt:i4>3997786</vt:i4>
      </vt:variant>
      <vt:variant>
        <vt:i4>468</vt:i4>
      </vt:variant>
      <vt:variant>
        <vt:i4>0</vt:i4>
      </vt:variant>
      <vt:variant>
        <vt:i4>5</vt:i4>
      </vt:variant>
      <vt:variant>
        <vt:lpwstr>mailto:info@vodovod-srbac.com</vt:lpwstr>
      </vt:variant>
      <vt:variant>
        <vt:lpwstr/>
      </vt:variant>
      <vt:variant>
        <vt:i4>327802</vt:i4>
      </vt:variant>
      <vt:variant>
        <vt:i4>465</vt:i4>
      </vt:variant>
      <vt:variant>
        <vt:i4>0</vt:i4>
      </vt:variant>
      <vt:variant>
        <vt:i4>5</vt:i4>
      </vt:variant>
      <vt:variant>
        <vt:lpwstr>mailto:info@vodovod-pd.com</vt:lpwstr>
      </vt:variant>
      <vt:variant>
        <vt:lpwstr/>
      </vt:variant>
      <vt:variant>
        <vt:i4>327802</vt:i4>
      </vt:variant>
      <vt:variant>
        <vt:i4>462</vt:i4>
      </vt:variant>
      <vt:variant>
        <vt:i4>0</vt:i4>
      </vt:variant>
      <vt:variant>
        <vt:i4>5</vt:i4>
      </vt:variant>
      <vt:variant>
        <vt:lpwstr>mailto:info@vodovod-pd.com</vt:lpwstr>
      </vt:variant>
      <vt:variant>
        <vt:lpwstr/>
      </vt:variant>
      <vt:variant>
        <vt:i4>5570661</vt:i4>
      </vt:variant>
      <vt:variant>
        <vt:i4>459</vt:i4>
      </vt:variant>
      <vt:variant>
        <vt:i4>0</vt:i4>
      </vt:variant>
      <vt:variant>
        <vt:i4>5</vt:i4>
      </vt:variant>
      <vt:variant>
        <vt:lpwstr>mailto:info@vodostan.ba</vt:lpwstr>
      </vt:variant>
      <vt:variant>
        <vt:lpwstr/>
      </vt:variant>
      <vt:variant>
        <vt:i4>4653179</vt:i4>
      </vt:variant>
      <vt:variant>
        <vt:i4>456</vt:i4>
      </vt:variant>
      <vt:variant>
        <vt:i4>0</vt:i4>
      </vt:variant>
      <vt:variant>
        <vt:i4>5</vt:i4>
      </vt:variant>
      <vt:variant>
        <vt:lpwstr>mailto:privreda@opstinains.net</vt:lpwstr>
      </vt:variant>
      <vt:variant>
        <vt:lpwstr/>
      </vt:variant>
      <vt:variant>
        <vt:i4>3407886</vt:i4>
      </vt:variant>
      <vt:variant>
        <vt:i4>453</vt:i4>
      </vt:variant>
      <vt:variant>
        <vt:i4>0</vt:i4>
      </vt:variant>
      <vt:variant>
        <vt:i4>5</vt:i4>
      </vt:variant>
      <vt:variant>
        <vt:lpwstr>mailto:a.hodzic@gracanica.gov.ba</vt:lpwstr>
      </vt:variant>
      <vt:variant>
        <vt:lpwstr/>
      </vt:variant>
      <vt:variant>
        <vt:i4>589861</vt:i4>
      </vt:variant>
      <vt:variant>
        <vt:i4>450</vt:i4>
      </vt:variant>
      <vt:variant>
        <vt:i4>0</vt:i4>
      </vt:variant>
      <vt:variant>
        <vt:i4>5</vt:i4>
      </vt:variant>
      <vt:variant>
        <vt:lpwstr>mailto:vijece@bihac.org</vt:lpwstr>
      </vt:variant>
      <vt:variant>
        <vt:lpwstr/>
      </vt:variant>
      <vt:variant>
        <vt:i4>7077903</vt:i4>
      </vt:variant>
      <vt:variant>
        <vt:i4>447</vt:i4>
      </vt:variant>
      <vt:variant>
        <vt:i4>0</vt:i4>
      </vt:variant>
      <vt:variant>
        <vt:i4>5</vt:i4>
      </vt:variant>
      <vt:variant>
        <vt:lpwstr>mailto:Vildana.zulic@bihac.org</vt:lpwstr>
      </vt:variant>
      <vt:variant>
        <vt:lpwstr/>
      </vt:variant>
      <vt:variant>
        <vt:i4>6553694</vt:i4>
      </vt:variant>
      <vt:variant>
        <vt:i4>444</vt:i4>
      </vt:variant>
      <vt:variant>
        <vt:i4>0</vt:i4>
      </vt:variant>
      <vt:variant>
        <vt:i4>5</vt:i4>
      </vt:variant>
      <vt:variant>
        <vt:lpwstr>mailto:sslijepcevic@yahoo.com</vt:lpwstr>
      </vt:variant>
      <vt:variant>
        <vt:lpwstr/>
      </vt:variant>
      <vt:variant>
        <vt:i4>5177392</vt:i4>
      </vt:variant>
      <vt:variant>
        <vt:i4>441</vt:i4>
      </vt:variant>
      <vt:variant>
        <vt:i4>0</vt:i4>
      </vt:variant>
      <vt:variant>
        <vt:i4>5</vt:i4>
      </vt:variant>
      <vt:variant>
        <vt:lpwstr>mailto:opcinabp@bih.net.ba</vt:lpwstr>
      </vt:variant>
      <vt:variant>
        <vt:lpwstr/>
      </vt:variant>
      <vt:variant>
        <vt:i4>1048622</vt:i4>
      </vt:variant>
      <vt:variant>
        <vt:i4>438</vt:i4>
      </vt:variant>
      <vt:variant>
        <vt:i4>0</vt:i4>
      </vt:variant>
      <vt:variant>
        <vt:i4>5</vt:i4>
      </vt:variant>
      <vt:variant>
        <vt:lpwstr>mailto:Milovan.cosic@opstina-celinac.com</vt:lpwstr>
      </vt:variant>
      <vt:variant>
        <vt:lpwstr/>
      </vt:variant>
      <vt:variant>
        <vt:i4>5308513</vt:i4>
      </vt:variant>
      <vt:variant>
        <vt:i4>435</vt:i4>
      </vt:variant>
      <vt:variant>
        <vt:i4>0</vt:i4>
      </vt:variant>
      <vt:variant>
        <vt:i4>5</vt:i4>
      </vt:variant>
      <vt:variant>
        <vt:lpwstr>mailto:portparol@prnjavor.ba</vt:lpwstr>
      </vt:variant>
      <vt:variant>
        <vt:lpwstr/>
      </vt:variant>
      <vt:variant>
        <vt:i4>6094894</vt:i4>
      </vt:variant>
      <vt:variant>
        <vt:i4>432</vt:i4>
      </vt:variant>
      <vt:variant>
        <vt:i4>0</vt:i4>
      </vt:variant>
      <vt:variant>
        <vt:i4>5</vt:i4>
      </vt:variant>
      <vt:variant>
        <vt:lpwstr>mailto:Vladimir.rupa@opstinaprnjavor.net</vt:lpwstr>
      </vt:variant>
      <vt:variant>
        <vt:lpwstr/>
      </vt:variant>
      <vt:variant>
        <vt:i4>2293831</vt:i4>
      </vt:variant>
      <vt:variant>
        <vt:i4>429</vt:i4>
      </vt:variant>
      <vt:variant>
        <vt:i4>0</vt:i4>
      </vt:variant>
      <vt:variant>
        <vt:i4>5</vt:i4>
      </vt:variant>
      <vt:variant>
        <vt:lpwstr>mailto:Zorica.suvajac@opstinaprnjavor.net</vt:lpwstr>
      </vt:variant>
      <vt:variant>
        <vt:lpwstr/>
      </vt:variant>
      <vt:variant>
        <vt:i4>6225964</vt:i4>
      </vt:variant>
      <vt:variant>
        <vt:i4>426</vt:i4>
      </vt:variant>
      <vt:variant>
        <vt:i4>0</vt:i4>
      </vt:variant>
      <vt:variant>
        <vt:i4>5</vt:i4>
      </vt:variant>
      <vt:variant>
        <vt:lpwstr>mailto:vladimir.guzvic@gmail.com</vt:lpwstr>
      </vt:variant>
      <vt:variant>
        <vt:lpwstr/>
      </vt:variant>
      <vt:variant>
        <vt:i4>8192017</vt:i4>
      </vt:variant>
      <vt:variant>
        <vt:i4>423</vt:i4>
      </vt:variant>
      <vt:variant>
        <vt:i4>0</vt:i4>
      </vt:variant>
      <vt:variant>
        <vt:i4>5</vt:i4>
      </vt:variant>
      <vt:variant>
        <vt:lpwstr>mailto:Merima.osmanovic@ilijas.ba</vt:lpwstr>
      </vt:variant>
      <vt:variant>
        <vt:lpwstr/>
      </vt:variant>
      <vt:variant>
        <vt:i4>6619226</vt:i4>
      </vt:variant>
      <vt:variant>
        <vt:i4>420</vt:i4>
      </vt:variant>
      <vt:variant>
        <vt:i4>0</vt:i4>
      </vt:variant>
      <vt:variant>
        <vt:i4>5</vt:i4>
      </vt:variant>
      <vt:variant>
        <vt:lpwstr>mailto:amir.kurtic@opcina-tesanj.ba</vt:lpwstr>
      </vt:variant>
      <vt:variant>
        <vt:lpwstr/>
      </vt:variant>
      <vt:variant>
        <vt:i4>2293787</vt:i4>
      </vt:variant>
      <vt:variant>
        <vt:i4>417</vt:i4>
      </vt:variant>
      <vt:variant>
        <vt:i4>0</vt:i4>
      </vt:variant>
      <vt:variant>
        <vt:i4>5</vt:i4>
      </vt:variant>
      <vt:variant>
        <vt:lpwstr>mailto:Selma.ramic@opcina-tesanj.ba</vt:lpwstr>
      </vt:variant>
      <vt:variant>
        <vt:lpwstr/>
      </vt:variant>
      <vt:variant>
        <vt:i4>917551</vt:i4>
      </vt:variant>
      <vt:variant>
        <vt:i4>414</vt:i4>
      </vt:variant>
      <vt:variant>
        <vt:i4>0</vt:i4>
      </vt:variant>
      <vt:variant>
        <vt:i4>5</vt:i4>
      </vt:variant>
      <vt:variant>
        <vt:lpwstr>mailto:Hamzalija.hojkuric@opcina-tesanj.ba</vt:lpwstr>
      </vt:variant>
      <vt:variant>
        <vt:lpwstr/>
      </vt:variant>
      <vt:variant>
        <vt:i4>131198</vt:i4>
      </vt:variant>
      <vt:variant>
        <vt:i4>411</vt:i4>
      </vt:variant>
      <vt:variant>
        <vt:i4>0</vt:i4>
      </vt:variant>
      <vt:variant>
        <vt:i4>5</vt:i4>
      </vt:variant>
      <vt:variant>
        <vt:lpwstr>mailto:ognjen.dragicevic@prijedorgrad.org</vt:lpwstr>
      </vt:variant>
      <vt:variant>
        <vt:lpwstr/>
      </vt:variant>
      <vt:variant>
        <vt:i4>131198</vt:i4>
      </vt:variant>
      <vt:variant>
        <vt:i4>408</vt:i4>
      </vt:variant>
      <vt:variant>
        <vt:i4>0</vt:i4>
      </vt:variant>
      <vt:variant>
        <vt:i4>5</vt:i4>
      </vt:variant>
      <vt:variant>
        <vt:lpwstr>mailto:ognjen.dragicevic@prijedorgrad.org</vt:lpwstr>
      </vt:variant>
      <vt:variant>
        <vt:lpwstr/>
      </vt:variant>
      <vt:variant>
        <vt:i4>8126492</vt:i4>
      </vt:variant>
      <vt:variant>
        <vt:i4>405</vt:i4>
      </vt:variant>
      <vt:variant>
        <vt:i4>0</vt:i4>
      </vt:variant>
      <vt:variant>
        <vt:i4>5</vt:i4>
      </vt:variant>
      <vt:variant>
        <vt:lpwstr>mailto:Branko.mudirnic@prijedorgrad.org</vt:lpwstr>
      </vt:variant>
      <vt:variant>
        <vt:lpwstr/>
      </vt:variant>
      <vt:variant>
        <vt:i4>1441900</vt:i4>
      </vt:variant>
      <vt:variant>
        <vt:i4>402</vt:i4>
      </vt:variant>
      <vt:variant>
        <vt:i4>0</vt:i4>
      </vt:variant>
      <vt:variant>
        <vt:i4>5</vt:i4>
      </vt:variant>
      <vt:variant>
        <vt:lpwstr>mailto:Svetozar.vuckovac@prijedorgrad.org</vt:lpwstr>
      </vt:variant>
      <vt:variant>
        <vt:lpwstr/>
      </vt:variant>
      <vt:variant>
        <vt:i4>6029369</vt:i4>
      </vt:variant>
      <vt:variant>
        <vt:i4>399</vt:i4>
      </vt:variant>
      <vt:variant>
        <vt:i4>0</vt:i4>
      </vt:variant>
      <vt:variant>
        <vt:i4>5</vt:i4>
      </vt:variant>
      <vt:variant>
        <vt:lpwstr>mailto:rajka.zdjelar@prijedorgrad.org</vt:lpwstr>
      </vt:variant>
      <vt:variant>
        <vt:lpwstr/>
      </vt:variant>
      <vt:variant>
        <vt:i4>1966112</vt:i4>
      </vt:variant>
      <vt:variant>
        <vt:i4>396</vt:i4>
      </vt:variant>
      <vt:variant>
        <vt:i4>0</vt:i4>
      </vt:variant>
      <vt:variant>
        <vt:i4>5</vt:i4>
      </vt:variant>
      <vt:variant>
        <vt:lpwstr>mailto:renata.abduzaimovic@eeas.europa.eu</vt:lpwstr>
      </vt:variant>
      <vt:variant>
        <vt:lpwstr/>
      </vt:variant>
      <vt:variant>
        <vt:i4>1114158</vt:i4>
      </vt:variant>
      <vt:variant>
        <vt:i4>393</vt:i4>
      </vt:variant>
      <vt:variant>
        <vt:i4>0</vt:i4>
      </vt:variant>
      <vt:variant>
        <vt:i4>5</vt:i4>
      </vt:variant>
      <vt:variant>
        <vt:lpwstr>mailto:stepan.santrucek@mzv.gov.cz</vt:lpwstr>
      </vt:variant>
      <vt:variant>
        <vt:lpwstr/>
      </vt:variant>
      <vt:variant>
        <vt:i4>6225967</vt:i4>
      </vt:variant>
      <vt:variant>
        <vt:i4>390</vt:i4>
      </vt:variant>
      <vt:variant>
        <vt:i4>0</vt:i4>
      </vt:variant>
      <vt:variant>
        <vt:i4>5</vt:i4>
      </vt:variant>
      <vt:variant>
        <vt:lpwstr>mailto:Aisa.bijedic@gov.se</vt:lpwstr>
      </vt:variant>
      <vt:variant>
        <vt:lpwstr/>
      </vt:variant>
      <vt:variant>
        <vt:i4>3211273</vt:i4>
      </vt:variant>
      <vt:variant>
        <vt:i4>387</vt:i4>
      </vt:variant>
      <vt:variant>
        <vt:i4>0</vt:i4>
      </vt:variant>
      <vt:variant>
        <vt:i4>5</vt:i4>
      </vt:variant>
      <vt:variant>
        <vt:lpwstr>mailto:Bosko.kenjic@eda.admin.ch</vt:lpwstr>
      </vt:variant>
      <vt:variant>
        <vt:lpwstr/>
      </vt:variant>
      <vt:variant>
        <vt:i4>131108</vt:i4>
      </vt:variant>
      <vt:variant>
        <vt:i4>384</vt:i4>
      </vt:variant>
      <vt:variant>
        <vt:i4>0</vt:i4>
      </vt:variant>
      <vt:variant>
        <vt:i4>5</vt:i4>
      </vt:variant>
      <vt:variant>
        <vt:lpwstr>mailto:Maja.zaric@eda.admin.ch</vt:lpwstr>
      </vt:variant>
      <vt:variant>
        <vt:lpwstr/>
      </vt:variant>
      <vt:variant>
        <vt:i4>5636199</vt:i4>
      </vt:variant>
      <vt:variant>
        <vt:i4>381</vt:i4>
      </vt:variant>
      <vt:variant>
        <vt:i4>0</vt:i4>
      </vt:variant>
      <vt:variant>
        <vt:i4>5</vt:i4>
      </vt:variant>
      <vt:variant>
        <vt:lpwstr>mailto:amila@voda.ba</vt:lpwstr>
      </vt:variant>
      <vt:variant>
        <vt:lpwstr/>
      </vt:variant>
      <vt:variant>
        <vt:i4>327721</vt:i4>
      </vt:variant>
      <vt:variant>
        <vt:i4>378</vt:i4>
      </vt:variant>
      <vt:variant>
        <vt:i4>0</vt:i4>
      </vt:variant>
      <vt:variant>
        <vt:i4>5</vt:i4>
      </vt:variant>
      <vt:variant>
        <vt:lpwstr>mailto:Amir@sogfbih.ba</vt:lpwstr>
      </vt:variant>
      <vt:variant>
        <vt:lpwstr/>
      </vt:variant>
      <vt:variant>
        <vt:i4>852016</vt:i4>
      </vt:variant>
      <vt:variant>
        <vt:i4>375</vt:i4>
      </vt:variant>
      <vt:variant>
        <vt:i4>0</vt:i4>
      </vt:variant>
      <vt:variant>
        <vt:i4>5</vt:i4>
      </vt:variant>
      <vt:variant>
        <vt:lpwstr>mailto:branislavs@alvrs.com</vt:lpwstr>
      </vt:variant>
      <vt:variant>
        <vt:lpwstr/>
      </vt:variant>
      <vt:variant>
        <vt:i4>1376316</vt:i4>
      </vt:variant>
      <vt:variant>
        <vt:i4>372</vt:i4>
      </vt:variant>
      <vt:variant>
        <vt:i4>0</vt:i4>
      </vt:variant>
      <vt:variant>
        <vt:i4>5</vt:i4>
      </vt:variant>
      <vt:variant>
        <vt:lpwstr>mailto:d.copic@adu.vladars.rs</vt:lpwstr>
      </vt:variant>
      <vt:variant>
        <vt:lpwstr/>
      </vt:variant>
      <vt:variant>
        <vt:i4>1441843</vt:i4>
      </vt:variant>
      <vt:variant>
        <vt:i4>369</vt:i4>
      </vt:variant>
      <vt:variant>
        <vt:i4>0</vt:i4>
      </vt:variant>
      <vt:variant>
        <vt:i4>5</vt:i4>
      </vt:variant>
      <vt:variant>
        <vt:lpwstr>mailto:kenan.avdagic@parco.gov.ba</vt:lpwstr>
      </vt:variant>
      <vt:variant>
        <vt:lpwstr/>
      </vt:variant>
      <vt:variant>
        <vt:i4>4391037</vt:i4>
      </vt:variant>
      <vt:variant>
        <vt:i4>366</vt:i4>
      </vt:variant>
      <vt:variant>
        <vt:i4>0</vt:i4>
      </vt:variant>
      <vt:variant>
        <vt:i4>5</vt:i4>
      </vt:variant>
      <vt:variant>
        <vt:lpwstr>mailto:alma.imamovic@fmpvs.gov.ba</vt:lpwstr>
      </vt:variant>
      <vt:variant>
        <vt:lpwstr/>
      </vt:variant>
      <vt:variant>
        <vt:i4>4718706</vt:i4>
      </vt:variant>
      <vt:variant>
        <vt:i4>363</vt:i4>
      </vt:variant>
      <vt:variant>
        <vt:i4>0</vt:i4>
      </vt:variant>
      <vt:variant>
        <vt:i4>5</vt:i4>
      </vt:variant>
      <vt:variant>
        <vt:lpwstr>mailto:m.vranic@mps.vladars.rs</vt:lpwstr>
      </vt:variant>
      <vt:variant>
        <vt:lpwstr/>
      </vt:variant>
      <vt:variant>
        <vt:i4>6684747</vt:i4>
      </vt:variant>
      <vt:variant>
        <vt:i4>360</vt:i4>
      </vt:variant>
      <vt:variant>
        <vt:i4>0</vt:i4>
      </vt:variant>
      <vt:variant>
        <vt:i4>5</vt:i4>
      </vt:variant>
      <vt:variant>
        <vt:lpwstr>mailto:rada.milisav@mvteo.gov.ba</vt:lpwstr>
      </vt:variant>
      <vt:variant>
        <vt:lpwstr/>
      </vt:variant>
      <vt:variant>
        <vt:i4>1638448</vt:i4>
      </vt:variant>
      <vt:variant>
        <vt:i4>357</vt:i4>
      </vt:variant>
      <vt:variant>
        <vt:i4>0</vt:i4>
      </vt:variant>
      <vt:variant>
        <vt:i4>5</vt:i4>
      </vt:variant>
      <vt:variant>
        <vt:lpwstr>mailto:dj.papak@muls.vladars.rs</vt:lpwstr>
      </vt:variant>
      <vt:variant>
        <vt:lpwstr/>
      </vt:variant>
      <vt:variant>
        <vt:i4>7536641</vt:i4>
      </vt:variant>
      <vt:variant>
        <vt:i4>354</vt:i4>
      </vt:variant>
      <vt:variant>
        <vt:i4>0</vt:i4>
      </vt:variant>
      <vt:variant>
        <vt:i4>5</vt:i4>
      </vt:variant>
      <vt:variant>
        <vt:lpwstr>mailto:renaud.meyer@undp.org</vt:lpwstr>
      </vt:variant>
      <vt:variant>
        <vt:lpwstr/>
      </vt:variant>
      <vt:variant>
        <vt:i4>7208988</vt:i4>
      </vt:variant>
      <vt:variant>
        <vt:i4>351</vt:i4>
      </vt:variant>
      <vt:variant>
        <vt:i4>0</vt:i4>
      </vt:variant>
      <vt:variant>
        <vt:i4>5</vt:i4>
      </vt:variant>
      <vt:variant>
        <vt:lpwstr>mailto:Victor.munteanu@undp.org</vt:lpwstr>
      </vt:variant>
      <vt:variant>
        <vt:lpwstr/>
      </vt:variant>
      <vt:variant>
        <vt:i4>1376293</vt:i4>
      </vt:variant>
      <vt:variant>
        <vt:i4>348</vt:i4>
      </vt:variant>
      <vt:variant>
        <vt:i4>0</vt:i4>
      </vt:variant>
      <vt:variant>
        <vt:i4>5</vt:i4>
      </vt:variant>
      <vt:variant>
        <vt:lpwstr>mailto:ipalandzic@worldbank.org</vt:lpwstr>
      </vt:variant>
      <vt:variant>
        <vt:lpwstr/>
      </vt:variant>
      <vt:variant>
        <vt:i4>7798784</vt:i4>
      </vt:variant>
      <vt:variant>
        <vt:i4>345</vt:i4>
      </vt:variant>
      <vt:variant>
        <vt:i4>0</vt:i4>
      </vt:variant>
      <vt:variant>
        <vt:i4>5</vt:i4>
      </vt:variant>
      <vt:variant>
        <vt:lpwstr>mailto:Alen.robovic@undp.org</vt:lpwstr>
      </vt:variant>
      <vt:variant>
        <vt:lpwstr/>
      </vt:variant>
      <vt:variant>
        <vt:i4>6553679</vt:i4>
      </vt:variant>
      <vt:variant>
        <vt:i4>342</vt:i4>
      </vt:variant>
      <vt:variant>
        <vt:i4>0</vt:i4>
      </vt:variant>
      <vt:variant>
        <vt:i4>5</vt:i4>
      </vt:variant>
      <vt:variant>
        <vt:lpwstr>mailto:Mirjana.grbrsic-cavar@undpr.org</vt:lpwstr>
      </vt:variant>
      <vt:variant>
        <vt:lpwstr/>
      </vt:variant>
      <vt:variant>
        <vt:i4>2490451</vt:i4>
      </vt:variant>
      <vt:variant>
        <vt:i4>339</vt:i4>
      </vt:variant>
      <vt:variant>
        <vt:i4>0</vt:i4>
      </vt:variant>
      <vt:variant>
        <vt:i4>5</vt:i4>
      </vt:variant>
      <vt:variant>
        <vt:lpwstr>mailto:tanja.mihajlovic@undp.org</vt:lpwstr>
      </vt:variant>
      <vt:variant>
        <vt:lpwstr/>
      </vt:variant>
      <vt:variant>
        <vt:i4>1966200</vt:i4>
      </vt:variant>
      <vt:variant>
        <vt:i4>336</vt:i4>
      </vt:variant>
      <vt:variant>
        <vt:i4>0</vt:i4>
      </vt:variant>
      <vt:variant>
        <vt:i4>5</vt:i4>
      </vt:variant>
      <vt:variant>
        <vt:lpwstr>mailto:Alma.kobaslija@undp.org</vt:lpwstr>
      </vt:variant>
      <vt:variant>
        <vt:lpwstr/>
      </vt:variant>
      <vt:variant>
        <vt:i4>7995422</vt:i4>
      </vt:variant>
      <vt:variant>
        <vt:i4>333</vt:i4>
      </vt:variant>
      <vt:variant>
        <vt:i4>0</vt:i4>
      </vt:variant>
      <vt:variant>
        <vt:i4>5</vt:i4>
      </vt:variant>
      <vt:variant>
        <vt:lpwstr>mailto:amra.zorlak@undp.org</vt:lpwstr>
      </vt:variant>
      <vt:variant>
        <vt:lpwstr/>
      </vt:variant>
      <vt:variant>
        <vt:i4>5308450</vt:i4>
      </vt:variant>
      <vt:variant>
        <vt:i4>330</vt:i4>
      </vt:variant>
      <vt:variant>
        <vt:i4>0</vt:i4>
      </vt:variant>
      <vt:variant>
        <vt:i4>5</vt:i4>
      </vt:variant>
      <vt:variant>
        <vt:lpwstr>mailto:goran.stefatic@undp.org</vt:lpwstr>
      </vt:variant>
      <vt:variant>
        <vt:lpwstr/>
      </vt:variant>
      <vt:variant>
        <vt:i4>5767200</vt:i4>
      </vt:variant>
      <vt:variant>
        <vt:i4>327</vt:i4>
      </vt:variant>
      <vt:variant>
        <vt:i4>0</vt:i4>
      </vt:variant>
      <vt:variant>
        <vt:i4>5</vt:i4>
      </vt:variant>
      <vt:variant>
        <vt:lpwstr>mailto:Arijana.drinic@undp.org</vt:lpwstr>
      </vt:variant>
      <vt:variant>
        <vt:lpwstr/>
      </vt:variant>
      <vt:variant>
        <vt:i4>2424846</vt:i4>
      </vt:variant>
      <vt:variant>
        <vt:i4>324</vt:i4>
      </vt:variant>
      <vt:variant>
        <vt:i4>0</vt:i4>
      </vt:variant>
      <vt:variant>
        <vt:i4>5</vt:i4>
      </vt:variant>
      <vt:variant>
        <vt:lpwstr>mailto:Nera.monir-divan@undp.org</vt:lpwstr>
      </vt:variant>
      <vt:variant>
        <vt:lpwstr/>
      </vt:variant>
      <vt:variant>
        <vt:i4>5111930</vt:i4>
      </vt:variant>
      <vt:variant>
        <vt:i4>321</vt:i4>
      </vt:variant>
      <vt:variant>
        <vt:i4>0</vt:i4>
      </vt:variant>
      <vt:variant>
        <vt:i4>5</vt:i4>
      </vt:variant>
      <vt:variant>
        <vt:lpwstr>mailto:aida.lakovic-hoso@undp.org</vt:lpwstr>
      </vt:variant>
      <vt:variant>
        <vt:lpwstr/>
      </vt:variant>
      <vt:variant>
        <vt:i4>4456456</vt:i4>
      </vt:variant>
      <vt:variant>
        <vt:i4>318</vt:i4>
      </vt:variant>
      <vt:variant>
        <vt:i4>0</vt:i4>
      </vt:variant>
      <vt:variant>
        <vt:i4>5</vt:i4>
      </vt:variant>
      <vt:variant>
        <vt:lpwstr>C:\Users\Misel\Desktop\Result Framework (002).xlsx</vt:lpwstr>
      </vt:variant>
      <vt:variant>
        <vt:lpwstr>RANGE!#REF!</vt:lpwstr>
      </vt:variant>
      <vt:variant>
        <vt:i4>4456456</vt:i4>
      </vt:variant>
      <vt:variant>
        <vt:i4>315</vt:i4>
      </vt:variant>
      <vt:variant>
        <vt:i4>0</vt:i4>
      </vt:variant>
      <vt:variant>
        <vt:i4>5</vt:i4>
      </vt:variant>
      <vt:variant>
        <vt:lpwstr>C:\Users\Misel\Desktop\Result Framework (002).xlsx</vt:lpwstr>
      </vt:variant>
      <vt:variant>
        <vt:lpwstr>RANGE!#REF!</vt:lpwstr>
      </vt:variant>
      <vt:variant>
        <vt:i4>3080226</vt:i4>
      </vt:variant>
      <vt:variant>
        <vt:i4>312</vt:i4>
      </vt:variant>
      <vt:variant>
        <vt:i4>0</vt:i4>
      </vt:variant>
      <vt:variant>
        <vt:i4>5</vt:i4>
      </vt:variant>
      <vt:variant>
        <vt:lpwstr>https://advokat-prnjavorac.com/zakoni/Zakon-o-suzbijanju-korupcije-i-organiziranog-kriminala-u-FBiH.pdf</vt:lpwstr>
      </vt:variant>
      <vt:variant>
        <vt:lpwstr/>
      </vt:variant>
      <vt:variant>
        <vt:i4>8257648</vt:i4>
      </vt:variant>
      <vt:variant>
        <vt:i4>309</vt:i4>
      </vt:variant>
      <vt:variant>
        <vt:i4>0</vt:i4>
      </vt:variant>
      <vt:variant>
        <vt:i4>5</vt:i4>
      </vt:variant>
      <vt:variant>
        <vt:lpwstr>https://www.narodnaskupstinars.net/?q=en/node/8279</vt:lpwstr>
      </vt:variant>
      <vt:variant>
        <vt:lpwstr/>
      </vt:variant>
      <vt:variant>
        <vt:i4>72745010</vt:i4>
      </vt:variant>
      <vt:variant>
        <vt:i4>306</vt:i4>
      </vt:variant>
      <vt:variant>
        <vt:i4>0</vt:i4>
      </vt:variant>
      <vt:variant>
        <vt:i4>5</vt:i4>
      </vt:variant>
      <vt:variant>
        <vt:lpwstr>https://www.vladars.net/sr-SP-Cyrl/Vlada/Ministarstva/mf/Documents/Закон о систему интерних финансијских контрола у јавном сектору РС, СГ 91_16_367122074.pdf</vt:lpwstr>
      </vt:variant>
      <vt:variant>
        <vt:lpwstr/>
      </vt:variant>
      <vt:variant>
        <vt:i4>7340064</vt:i4>
      </vt:variant>
      <vt:variant>
        <vt:i4>303</vt:i4>
      </vt:variant>
      <vt:variant>
        <vt:i4>0</vt:i4>
      </vt:variant>
      <vt:variant>
        <vt:i4>5</vt:i4>
      </vt:variant>
      <vt:variant>
        <vt:lpwstr>https://parlamentfbih.gov.ba/dom_naroda/bos/parlament/propisi/El_materijali/Zakon o finansijskom upravljanju i kontroli.pdf</vt:lpwstr>
      </vt:variant>
      <vt:variant>
        <vt:lpwstr/>
      </vt:variant>
      <vt:variant>
        <vt:i4>1703948</vt:i4>
      </vt:variant>
      <vt:variant>
        <vt:i4>300</vt:i4>
      </vt:variant>
      <vt:variant>
        <vt:i4>0</vt:i4>
      </vt:variant>
      <vt:variant>
        <vt:i4>5</vt:i4>
      </vt:variant>
      <vt:variant>
        <vt:lpwstr>https://www.sfsa.unsa.ba/web/wp-content/uploads/2021/03/zakon-o-budzetima-preciscen-tekst.pdf</vt:lpwstr>
      </vt:variant>
      <vt:variant>
        <vt:lpwstr/>
      </vt:variant>
      <vt:variant>
        <vt:i4>7077948</vt:i4>
      </vt:variant>
      <vt:variant>
        <vt:i4>297</vt:i4>
      </vt:variant>
      <vt:variant>
        <vt:i4>0</vt:i4>
      </vt:variant>
      <vt:variant>
        <vt:i4>5</vt:i4>
      </vt:variant>
      <vt:variant>
        <vt:lpwstr>https://vladars.rs/sr-SP-Cyrl/Vlada/Ministarstva/mf/Servisi/Poslovanje/Documents/Zakon o budzetskom sistemu RS.pdf</vt:lpwstr>
      </vt:variant>
      <vt:variant>
        <vt:lpwstr/>
      </vt:variant>
      <vt:variant>
        <vt:i4>4718675</vt:i4>
      </vt:variant>
      <vt:variant>
        <vt:i4>294</vt:i4>
      </vt:variant>
      <vt:variant>
        <vt:i4>0</vt:i4>
      </vt:variant>
      <vt:variant>
        <vt:i4>5</vt:i4>
      </vt:variant>
      <vt:variant>
        <vt:lpwstr>https://vladars.rs/sr-SP-Cyrl/Vlada/Sekretarijat/stratplan/propisi/Documents/RS Uredba o sprovedbenim dokumentima.pdf</vt:lpwstr>
      </vt:variant>
      <vt:variant>
        <vt:lpwstr/>
      </vt:variant>
      <vt:variant>
        <vt:i4>4915288</vt:i4>
      </vt:variant>
      <vt:variant>
        <vt:i4>291</vt:i4>
      </vt:variant>
      <vt:variant>
        <vt:i4>0</vt:i4>
      </vt:variant>
      <vt:variant>
        <vt:i4>5</vt:i4>
      </vt:variant>
      <vt:variant>
        <vt:lpwstr>https://fzzpr.gov.ba/files/Uredbe/Uredba o izradi strateskih dokumenata .pdf</vt:lpwstr>
      </vt:variant>
      <vt:variant>
        <vt:lpwstr/>
      </vt:variant>
      <vt:variant>
        <vt:i4>7536679</vt:i4>
      </vt:variant>
      <vt:variant>
        <vt:i4>288</vt:i4>
      </vt:variant>
      <vt:variant>
        <vt:i4>0</vt:i4>
      </vt:variant>
      <vt:variant>
        <vt:i4>5</vt:i4>
      </vt:variant>
      <vt:variant>
        <vt:lpwstr>https://vladars.rs/sr-SP-Cyrl/Vlada/Sekretarijat/stratplan/propisi/Documents/Uredba o strat doc.pdf</vt:lpwstr>
      </vt:variant>
      <vt:variant>
        <vt:lpwstr/>
      </vt:variant>
      <vt:variant>
        <vt:i4>5636122</vt:i4>
      </vt:variant>
      <vt:variant>
        <vt:i4>285</vt:i4>
      </vt:variant>
      <vt:variant>
        <vt:i4>0</vt:i4>
      </vt:variant>
      <vt:variant>
        <vt:i4>5</vt:i4>
      </vt:variant>
      <vt:variant>
        <vt:lpwstr>https://fbihvlada.gov.ba/bosanski/zakoni/2017/zakoni/16h.html</vt:lpwstr>
      </vt:variant>
      <vt:variant>
        <vt:lpwstr/>
      </vt:variant>
      <vt:variant>
        <vt:i4>7471401</vt:i4>
      </vt:variant>
      <vt:variant>
        <vt:i4>282</vt:i4>
      </vt:variant>
      <vt:variant>
        <vt:i4>0</vt:i4>
      </vt:variant>
      <vt:variant>
        <vt:i4>5</vt:i4>
      </vt:variant>
      <vt:variant>
        <vt:lpwstr>https://www.narodnaskupstinars.net/?q=la/akti/usvojeni-zakoni/zakon-o-strateškom-planiranju-i-upravljanju-razvojem-u-republici-srpskoj</vt:lpwstr>
      </vt:variant>
      <vt:variant>
        <vt:lpwstr/>
      </vt:variant>
      <vt:variant>
        <vt:i4>5111886</vt:i4>
      </vt:variant>
      <vt:variant>
        <vt:i4>279</vt:i4>
      </vt:variant>
      <vt:variant>
        <vt:i4>0</vt:i4>
      </vt:variant>
      <vt:variant>
        <vt:i4>5</vt:i4>
      </vt:variant>
      <vt:variant>
        <vt:lpwstr>https://fzzpr.gov.ba/files/Strategije/Strategija za borbu protiv korupcije 2024-2028..pdf</vt:lpwstr>
      </vt:variant>
      <vt:variant>
        <vt:lpwstr/>
      </vt:variant>
      <vt:variant>
        <vt:i4>7602272</vt:i4>
      </vt:variant>
      <vt:variant>
        <vt:i4>276</vt:i4>
      </vt:variant>
      <vt:variant>
        <vt:i4>0</vt:i4>
      </vt:variant>
      <vt:variant>
        <vt:i4>5</vt:i4>
      </vt:variant>
      <vt:variant>
        <vt:lpwstr>http://www.parlament.gov.rs/upload/archive/files/lat/pdf/zakoni/2012/4113-12Lat.pdf</vt:lpwstr>
      </vt:variant>
      <vt:variant>
        <vt:lpwstr/>
      </vt:variant>
      <vt:variant>
        <vt:i4>1703946</vt:i4>
      </vt:variant>
      <vt:variant>
        <vt:i4>273</vt:i4>
      </vt:variant>
      <vt:variant>
        <vt:i4>0</vt:i4>
      </vt:variant>
      <vt:variant>
        <vt:i4>5</vt:i4>
      </vt:variant>
      <vt:variant>
        <vt:lpwstr>https://www.paragraf.ba/propisi/bih/zakon-o-javnim-nabavkama.html</vt:lpwstr>
      </vt:variant>
      <vt:variant>
        <vt:lpwstr/>
      </vt:variant>
      <vt:variant>
        <vt:i4>2490405</vt:i4>
      </vt:variant>
      <vt:variant>
        <vt:i4>270</vt:i4>
      </vt:variant>
      <vt:variant>
        <vt:i4>0</vt:i4>
      </vt:variant>
      <vt:variant>
        <vt:i4>5</vt:i4>
      </vt:variant>
      <vt:variant>
        <vt:lpwstr>https://www.vladars.net/sr-SP-Cyrl/Vlada/Ministarstva/muls/Documents/Zakon o slobodi pristupa informacijama.pdf</vt:lpwstr>
      </vt:variant>
      <vt:variant>
        <vt:lpwstr/>
      </vt:variant>
      <vt:variant>
        <vt:i4>327707</vt:i4>
      </vt:variant>
      <vt:variant>
        <vt:i4>267</vt:i4>
      </vt:variant>
      <vt:variant>
        <vt:i4>0</vt:i4>
      </vt:variant>
      <vt:variant>
        <vt:i4>5</vt:i4>
      </vt:variant>
      <vt:variant>
        <vt:lpwstr>https://www.pufbih.ba/v1/public/upload/zakoni/1e78c-zakon-o-slobodi-pristupa-informacijama-ispravan-tekst.pdf</vt:lpwstr>
      </vt:variant>
      <vt:variant>
        <vt:lpwstr/>
      </vt:variant>
      <vt:variant>
        <vt:i4>32</vt:i4>
      </vt:variant>
      <vt:variant>
        <vt:i4>264</vt:i4>
      </vt:variant>
      <vt:variant>
        <vt:i4>0</vt:i4>
      </vt:variant>
      <vt:variant>
        <vt:i4>5</vt:i4>
      </vt:variant>
      <vt:variant>
        <vt:lpwstr>https://www.izbori.ba/Documents/documents/ZAKONI/Zakon_o_sukobu_interesa_u_nesl_precisceni_tekst.pdf</vt:lpwstr>
      </vt:variant>
      <vt:variant>
        <vt:lpwstr/>
      </vt:variant>
      <vt:variant>
        <vt:i4>3080226</vt:i4>
      </vt:variant>
      <vt:variant>
        <vt:i4>261</vt:i4>
      </vt:variant>
      <vt:variant>
        <vt:i4>0</vt:i4>
      </vt:variant>
      <vt:variant>
        <vt:i4>5</vt:i4>
      </vt:variant>
      <vt:variant>
        <vt:lpwstr>https://advokat-prnjavorac.com/zakoni/Zakon-o-suzbijanju-korupcije-i-organiziranog-kriminala-u-FBiH.pdf</vt:lpwstr>
      </vt:variant>
      <vt:variant>
        <vt:lpwstr/>
      </vt:variant>
      <vt:variant>
        <vt:i4>8257648</vt:i4>
      </vt:variant>
      <vt:variant>
        <vt:i4>258</vt:i4>
      </vt:variant>
      <vt:variant>
        <vt:i4>0</vt:i4>
      </vt:variant>
      <vt:variant>
        <vt:i4>5</vt:i4>
      </vt:variant>
      <vt:variant>
        <vt:lpwstr>https://www.narodnaskupstinars.net/?q=en/node/8279</vt:lpwstr>
      </vt:variant>
      <vt:variant>
        <vt:lpwstr/>
      </vt:variant>
      <vt:variant>
        <vt:i4>72745010</vt:i4>
      </vt:variant>
      <vt:variant>
        <vt:i4>255</vt:i4>
      </vt:variant>
      <vt:variant>
        <vt:i4>0</vt:i4>
      </vt:variant>
      <vt:variant>
        <vt:i4>5</vt:i4>
      </vt:variant>
      <vt:variant>
        <vt:lpwstr>https://www.vladars.net/sr-SP-Cyrl/Vlada/Ministarstva/mf/Documents/Закон о систему интерних финансијских контрола у јавном сектору РС, СГ 91_16_367122074.pdf</vt:lpwstr>
      </vt:variant>
      <vt:variant>
        <vt:lpwstr/>
      </vt:variant>
      <vt:variant>
        <vt:i4>7340064</vt:i4>
      </vt:variant>
      <vt:variant>
        <vt:i4>252</vt:i4>
      </vt:variant>
      <vt:variant>
        <vt:i4>0</vt:i4>
      </vt:variant>
      <vt:variant>
        <vt:i4>5</vt:i4>
      </vt:variant>
      <vt:variant>
        <vt:lpwstr>https://parlamentfbih.gov.ba/dom_naroda/bos/parlament/propisi/El_materijali/Zakon o finansijskom upravljanju i kontroli.pdf</vt:lpwstr>
      </vt:variant>
      <vt:variant>
        <vt:lpwstr/>
      </vt:variant>
      <vt:variant>
        <vt:i4>16</vt:i4>
      </vt:variant>
      <vt:variant>
        <vt:i4>249</vt:i4>
      </vt:variant>
      <vt:variant>
        <vt:i4>0</vt:i4>
      </vt:variant>
      <vt:variant>
        <vt:i4>5</vt:i4>
      </vt:variant>
      <vt:variant>
        <vt:lpwstr>https://www.mft.gov.ba/Content/OpenAttachment?id=951528d9-81b0-4c9b-9d7d-e365b170f1b4&amp;lang=hr</vt:lpwstr>
      </vt:variant>
      <vt:variant>
        <vt:lpwstr/>
      </vt:variant>
      <vt:variant>
        <vt:i4>7667830</vt:i4>
      </vt:variant>
      <vt:variant>
        <vt:i4>246</vt:i4>
      </vt:variant>
      <vt:variant>
        <vt:i4>0</vt:i4>
      </vt:variant>
      <vt:variant>
        <vt:i4>5</vt:i4>
      </vt:variant>
      <vt:variant>
        <vt:lpwstr>https://www.fbihvlada.gov.ba/bosanski/zakoni/2006/zakoni/34bos.htm</vt:lpwstr>
      </vt:variant>
      <vt:variant>
        <vt:lpwstr/>
      </vt:variant>
      <vt:variant>
        <vt:i4>6225930</vt:i4>
      </vt:variant>
      <vt:variant>
        <vt:i4>243</vt:i4>
      </vt:variant>
      <vt:variant>
        <vt:i4>0</vt:i4>
      </vt:variant>
      <vt:variant>
        <vt:i4>5</vt:i4>
      </vt:variant>
      <vt:variant>
        <vt:lpwstr>https://www.paragraf.ba/propisi/republika-srpska/zakon-o-lokalnoj-samoupravi.html</vt:lpwstr>
      </vt:variant>
      <vt:variant>
        <vt:lpwstr/>
      </vt:variant>
      <vt:variant>
        <vt:i4>3080226</vt:i4>
      </vt:variant>
      <vt:variant>
        <vt:i4>240</vt:i4>
      </vt:variant>
      <vt:variant>
        <vt:i4>0</vt:i4>
      </vt:variant>
      <vt:variant>
        <vt:i4>5</vt:i4>
      </vt:variant>
      <vt:variant>
        <vt:lpwstr>https://advokat-prnjavorac.com/zakoni/Zakon-o-suzbijanju-korupcije-i-organiziranog-kriminala-u-FBiH.pdf</vt:lpwstr>
      </vt:variant>
      <vt:variant>
        <vt:lpwstr/>
      </vt:variant>
      <vt:variant>
        <vt:i4>8257648</vt:i4>
      </vt:variant>
      <vt:variant>
        <vt:i4>237</vt:i4>
      </vt:variant>
      <vt:variant>
        <vt:i4>0</vt:i4>
      </vt:variant>
      <vt:variant>
        <vt:i4>5</vt:i4>
      </vt:variant>
      <vt:variant>
        <vt:lpwstr>https://www.narodnaskupstinars.net/?q=en/node/8279</vt:lpwstr>
      </vt:variant>
      <vt:variant>
        <vt:lpwstr/>
      </vt:variant>
      <vt:variant>
        <vt:i4>72745010</vt:i4>
      </vt:variant>
      <vt:variant>
        <vt:i4>234</vt:i4>
      </vt:variant>
      <vt:variant>
        <vt:i4>0</vt:i4>
      </vt:variant>
      <vt:variant>
        <vt:i4>5</vt:i4>
      </vt:variant>
      <vt:variant>
        <vt:lpwstr>https://www.vladars.net/sr-SP-Cyrl/Vlada/Ministarstva/mf/Documents/Закон о систему интерних финансијских контрола у јавном сектору РС, СГ 91_16_367122074.pdf</vt:lpwstr>
      </vt:variant>
      <vt:variant>
        <vt:lpwstr/>
      </vt:variant>
      <vt:variant>
        <vt:i4>7340064</vt:i4>
      </vt:variant>
      <vt:variant>
        <vt:i4>231</vt:i4>
      </vt:variant>
      <vt:variant>
        <vt:i4>0</vt:i4>
      </vt:variant>
      <vt:variant>
        <vt:i4>5</vt:i4>
      </vt:variant>
      <vt:variant>
        <vt:lpwstr>https://parlamentfbih.gov.ba/dom_naroda/bos/parlament/propisi/El_materijali/Zakon o finansijskom upravljanju i kontroli.pdf</vt:lpwstr>
      </vt:variant>
      <vt:variant>
        <vt:lpwstr/>
      </vt:variant>
      <vt:variant>
        <vt:i4>1703948</vt:i4>
      </vt:variant>
      <vt:variant>
        <vt:i4>228</vt:i4>
      </vt:variant>
      <vt:variant>
        <vt:i4>0</vt:i4>
      </vt:variant>
      <vt:variant>
        <vt:i4>5</vt:i4>
      </vt:variant>
      <vt:variant>
        <vt:lpwstr>https://www.sfsa.unsa.ba/web/wp-content/uploads/2021/03/zakon-o-budzetima-preciscen-tekst.pdf</vt:lpwstr>
      </vt:variant>
      <vt:variant>
        <vt:lpwstr/>
      </vt:variant>
      <vt:variant>
        <vt:i4>7077948</vt:i4>
      </vt:variant>
      <vt:variant>
        <vt:i4>225</vt:i4>
      </vt:variant>
      <vt:variant>
        <vt:i4>0</vt:i4>
      </vt:variant>
      <vt:variant>
        <vt:i4>5</vt:i4>
      </vt:variant>
      <vt:variant>
        <vt:lpwstr>https://vladars.rs/sr-SP-Cyrl/Vlada/Ministarstva/mf/Servisi/Poslovanje/Documents/Zakon o budzetskom sistemu RS.pdf</vt:lpwstr>
      </vt:variant>
      <vt:variant>
        <vt:lpwstr/>
      </vt:variant>
      <vt:variant>
        <vt:i4>7602272</vt:i4>
      </vt:variant>
      <vt:variant>
        <vt:i4>222</vt:i4>
      </vt:variant>
      <vt:variant>
        <vt:i4>0</vt:i4>
      </vt:variant>
      <vt:variant>
        <vt:i4>5</vt:i4>
      </vt:variant>
      <vt:variant>
        <vt:lpwstr>http://www.parlament.gov.rs/upload/archive/files/lat/pdf/zakoni/2012/4113-12Lat.pdf</vt:lpwstr>
      </vt:variant>
      <vt:variant>
        <vt:lpwstr/>
      </vt:variant>
      <vt:variant>
        <vt:i4>1703946</vt:i4>
      </vt:variant>
      <vt:variant>
        <vt:i4>219</vt:i4>
      </vt:variant>
      <vt:variant>
        <vt:i4>0</vt:i4>
      </vt:variant>
      <vt:variant>
        <vt:i4>5</vt:i4>
      </vt:variant>
      <vt:variant>
        <vt:lpwstr>https://www.paragraf.ba/propisi/bih/zakon-o-javnim-nabavkama.html</vt:lpwstr>
      </vt:variant>
      <vt:variant>
        <vt:lpwstr/>
      </vt:variant>
      <vt:variant>
        <vt:i4>4718675</vt:i4>
      </vt:variant>
      <vt:variant>
        <vt:i4>216</vt:i4>
      </vt:variant>
      <vt:variant>
        <vt:i4>0</vt:i4>
      </vt:variant>
      <vt:variant>
        <vt:i4>5</vt:i4>
      </vt:variant>
      <vt:variant>
        <vt:lpwstr>https://vladars.rs/sr-SP-Cyrl/Vlada/Sekretarijat/stratplan/propisi/Documents/RS Uredba o sprovedbenim dokumentima.pdf</vt:lpwstr>
      </vt:variant>
      <vt:variant>
        <vt:lpwstr/>
      </vt:variant>
      <vt:variant>
        <vt:i4>4915288</vt:i4>
      </vt:variant>
      <vt:variant>
        <vt:i4>213</vt:i4>
      </vt:variant>
      <vt:variant>
        <vt:i4>0</vt:i4>
      </vt:variant>
      <vt:variant>
        <vt:i4>5</vt:i4>
      </vt:variant>
      <vt:variant>
        <vt:lpwstr>https://fzzpr.gov.ba/files/Uredbe/Uredba o izradi strateskih dokumenata .pdf</vt:lpwstr>
      </vt:variant>
      <vt:variant>
        <vt:lpwstr/>
      </vt:variant>
      <vt:variant>
        <vt:i4>7536679</vt:i4>
      </vt:variant>
      <vt:variant>
        <vt:i4>210</vt:i4>
      </vt:variant>
      <vt:variant>
        <vt:i4>0</vt:i4>
      </vt:variant>
      <vt:variant>
        <vt:i4>5</vt:i4>
      </vt:variant>
      <vt:variant>
        <vt:lpwstr>https://vladars.rs/sr-SP-Cyrl/Vlada/Sekretarijat/stratplan/propisi/Documents/Uredba o strat doc.pdf</vt:lpwstr>
      </vt:variant>
      <vt:variant>
        <vt:lpwstr/>
      </vt:variant>
      <vt:variant>
        <vt:i4>5636122</vt:i4>
      </vt:variant>
      <vt:variant>
        <vt:i4>207</vt:i4>
      </vt:variant>
      <vt:variant>
        <vt:i4>0</vt:i4>
      </vt:variant>
      <vt:variant>
        <vt:i4>5</vt:i4>
      </vt:variant>
      <vt:variant>
        <vt:lpwstr>https://fbihvlada.gov.ba/bosanski/zakoni/2017/zakoni/16h.html</vt:lpwstr>
      </vt:variant>
      <vt:variant>
        <vt:lpwstr/>
      </vt:variant>
      <vt:variant>
        <vt:i4>7471401</vt:i4>
      </vt:variant>
      <vt:variant>
        <vt:i4>204</vt:i4>
      </vt:variant>
      <vt:variant>
        <vt:i4>0</vt:i4>
      </vt:variant>
      <vt:variant>
        <vt:i4>5</vt:i4>
      </vt:variant>
      <vt:variant>
        <vt:lpwstr>https://www.narodnaskupstinars.net/?q=la/akti/usvojeni-zakoni/zakon-o-strateškom-planiranju-i-upravljanju-razvojem-u-republici-srpskoj</vt:lpwstr>
      </vt:variant>
      <vt:variant>
        <vt:lpwstr/>
      </vt:variant>
      <vt:variant>
        <vt:i4>4522078</vt:i4>
      </vt:variant>
      <vt:variant>
        <vt:i4>201</vt:i4>
      </vt:variant>
      <vt:variant>
        <vt:i4>0</vt:i4>
      </vt:variant>
      <vt:variant>
        <vt:i4>5</vt:i4>
      </vt:variant>
      <vt:variant>
        <vt:lpwstr>https://www.fbihvlada.gov.ba/bosanski/zakoni/1999/zakoni/zakoni x/zak o osnovama soc zastite.htm</vt:lpwstr>
      </vt:variant>
      <vt:variant>
        <vt:lpwstr/>
      </vt:variant>
      <vt:variant>
        <vt:i4>393306</vt:i4>
      </vt:variant>
      <vt:variant>
        <vt:i4>198</vt:i4>
      </vt:variant>
      <vt:variant>
        <vt:i4>0</vt:i4>
      </vt:variant>
      <vt:variant>
        <vt:i4>5</vt:i4>
      </vt:variant>
      <vt:variant>
        <vt:lpwstr>https://www.paragraf.ba/propisi/republika-srpska/zakon-o-socijalnoj-zastiti.html</vt:lpwstr>
      </vt:variant>
      <vt:variant>
        <vt:lpwstr/>
      </vt:variant>
      <vt:variant>
        <vt:i4>6619232</vt:i4>
      </vt:variant>
      <vt:variant>
        <vt:i4>195</vt:i4>
      </vt:variant>
      <vt:variant>
        <vt:i4>0</vt:i4>
      </vt:variant>
      <vt:variant>
        <vt:i4>5</vt:i4>
      </vt:variant>
      <vt:variant>
        <vt:lpwstr>https://legalist.ba/wp-content/uploads/2014/02/Zakon-o-privatizaciji-preduzeca-FBiH-nesluzbeni-precisceni-tekst.pdf</vt:lpwstr>
      </vt:variant>
      <vt:variant>
        <vt:lpwstr/>
      </vt:variant>
      <vt:variant>
        <vt:i4>6619232</vt:i4>
      </vt:variant>
      <vt:variant>
        <vt:i4>192</vt:i4>
      </vt:variant>
      <vt:variant>
        <vt:i4>0</vt:i4>
      </vt:variant>
      <vt:variant>
        <vt:i4>5</vt:i4>
      </vt:variant>
      <vt:variant>
        <vt:lpwstr>https://legalist.ba/wp-content/uploads/2014/02/Zakon-o-privatizaciji-preduzeca-FBiH-nesluzbeni-precisceni-tekst.pdf</vt:lpwstr>
      </vt:variant>
      <vt:variant>
        <vt:lpwstr/>
      </vt:variant>
      <vt:variant>
        <vt:i4>5767193</vt:i4>
      </vt:variant>
      <vt:variant>
        <vt:i4>189</vt:i4>
      </vt:variant>
      <vt:variant>
        <vt:i4>0</vt:i4>
      </vt:variant>
      <vt:variant>
        <vt:i4>5</vt:i4>
      </vt:variant>
      <vt:variant>
        <vt:lpwstr>https://advokat-prnjavorac.com/zakoni/Zakon-o-javnim-preduzecima-Republike-Srpske.pdf</vt:lpwstr>
      </vt:variant>
      <vt:variant>
        <vt:lpwstr/>
      </vt:variant>
      <vt:variant>
        <vt:i4>3080264</vt:i4>
      </vt:variant>
      <vt:variant>
        <vt:i4>186</vt:i4>
      </vt:variant>
      <vt:variant>
        <vt:i4>0</vt:i4>
      </vt:variant>
      <vt:variant>
        <vt:i4>5</vt:i4>
      </vt:variant>
      <vt:variant>
        <vt:lpwstr>https://www.hbsume.ba/public/files/zakon_o_javnim_poduzecima.pdf</vt:lpwstr>
      </vt:variant>
      <vt:variant>
        <vt:lpwstr/>
      </vt:variant>
      <vt:variant>
        <vt:i4>1114195</vt:i4>
      </vt:variant>
      <vt:variant>
        <vt:i4>183</vt:i4>
      </vt:variant>
      <vt:variant>
        <vt:i4>0</vt:i4>
      </vt:variant>
      <vt:variant>
        <vt:i4>5</vt:i4>
      </vt:variant>
      <vt:variant>
        <vt:lpwstr>https://faolex.fao.org/docs/pdf/bih133161.pdf</vt:lpwstr>
      </vt:variant>
      <vt:variant>
        <vt:lpwstr/>
      </vt:variant>
      <vt:variant>
        <vt:i4>2097254</vt:i4>
      </vt:variant>
      <vt:variant>
        <vt:i4>180</vt:i4>
      </vt:variant>
      <vt:variant>
        <vt:i4>0</vt:i4>
      </vt:variant>
      <vt:variant>
        <vt:i4>5</vt:i4>
      </vt:variant>
      <vt:variant>
        <vt:lpwstr>https://www.fbihvlada.gov.ba/bosanski/zakoni/1998/zakoni/24 h o vodama.htm</vt:lpwstr>
      </vt:variant>
      <vt:variant>
        <vt:lpwstr/>
      </vt:variant>
      <vt:variant>
        <vt:i4>2424928</vt:i4>
      </vt:variant>
      <vt:variant>
        <vt:i4>177</vt:i4>
      </vt:variant>
      <vt:variant>
        <vt:i4>0</vt:i4>
      </vt:variant>
      <vt:variant>
        <vt:i4>5</vt:i4>
      </vt:variant>
      <vt:variant>
        <vt:lpwstr>https://www.vladars.net/sr-SP-Cyrl/Vlada/Ministarstva/mnk/Documents/Strategija e uprave pdf.pdf</vt:lpwstr>
      </vt:variant>
      <vt:variant>
        <vt:lpwstr/>
      </vt:variant>
      <vt:variant>
        <vt:i4>5177452</vt:i4>
      </vt:variant>
      <vt:variant>
        <vt:i4>174</vt:i4>
      </vt:variant>
      <vt:variant>
        <vt:i4>0</vt:i4>
      </vt:variant>
      <vt:variant>
        <vt:i4>5</vt:i4>
      </vt:variant>
      <vt:variant>
        <vt:lpwstr>https://parco.gov.ba/wp-content/uploads/2021/12/Strategic_framework_par_eng.pdf</vt:lpwstr>
      </vt:variant>
      <vt:variant>
        <vt:lpwstr/>
      </vt:variant>
      <vt:variant>
        <vt:i4>2490405</vt:i4>
      </vt:variant>
      <vt:variant>
        <vt:i4>171</vt:i4>
      </vt:variant>
      <vt:variant>
        <vt:i4>0</vt:i4>
      </vt:variant>
      <vt:variant>
        <vt:i4>5</vt:i4>
      </vt:variant>
      <vt:variant>
        <vt:lpwstr>https://www.vladars.net/sr-SP-Cyrl/Vlada/Ministarstva/muls/Documents/Zakon o slobodi pristupa informacijama.pdf</vt:lpwstr>
      </vt:variant>
      <vt:variant>
        <vt:lpwstr/>
      </vt:variant>
      <vt:variant>
        <vt:i4>327707</vt:i4>
      </vt:variant>
      <vt:variant>
        <vt:i4>168</vt:i4>
      </vt:variant>
      <vt:variant>
        <vt:i4>0</vt:i4>
      </vt:variant>
      <vt:variant>
        <vt:i4>5</vt:i4>
      </vt:variant>
      <vt:variant>
        <vt:lpwstr>https://www.pufbih.ba/v1/public/upload/zakoni/1e78c-zakon-o-slobodi-pristupa-informacijama-ispravan-tekst.pdf</vt:lpwstr>
      </vt:variant>
      <vt:variant>
        <vt:lpwstr/>
      </vt:variant>
      <vt:variant>
        <vt:i4>2621475</vt:i4>
      </vt:variant>
      <vt:variant>
        <vt:i4>165</vt:i4>
      </vt:variant>
      <vt:variant>
        <vt:i4>0</vt:i4>
      </vt:variant>
      <vt:variant>
        <vt:i4>5</vt:i4>
      </vt:variant>
      <vt:variant>
        <vt:lpwstr>https://www.undp.org/bs/bosnia-herzegovina/projects/digitalna-transformacija-u-javnom-sektoru-u-bih</vt:lpwstr>
      </vt:variant>
      <vt:variant>
        <vt:lpwstr/>
      </vt:variant>
      <vt:variant>
        <vt:i4>1638452</vt:i4>
      </vt:variant>
      <vt:variant>
        <vt:i4>162</vt:i4>
      </vt:variant>
      <vt:variant>
        <vt:i4>0</vt:i4>
      </vt:variant>
      <vt:variant>
        <vt:i4>5</vt:i4>
      </vt:variant>
      <vt:variant>
        <vt:lpwstr>https://www.vladars.rs/sr-SP-Cyrl/Vlada/Ministarstva/muls/Documents/Strategy for development of LGU RS_246360471.pdf</vt:lpwstr>
      </vt:variant>
      <vt:variant>
        <vt:lpwstr/>
      </vt:variant>
      <vt:variant>
        <vt:i4>1966104</vt:i4>
      </vt:variant>
      <vt:variant>
        <vt:i4>159</vt:i4>
      </vt:variant>
      <vt:variant>
        <vt:i4>0</vt:i4>
      </vt:variant>
      <vt:variant>
        <vt:i4>5</vt:i4>
      </vt:variant>
      <vt:variant>
        <vt:lpwstr>https://parco.gov.ba/en/tag/vladafbih</vt:lpwstr>
      </vt:variant>
      <vt:variant>
        <vt:lpwstr/>
      </vt:variant>
      <vt:variant>
        <vt:i4>1179707</vt:i4>
      </vt:variant>
      <vt:variant>
        <vt:i4>152</vt:i4>
      </vt:variant>
      <vt:variant>
        <vt:i4>0</vt:i4>
      </vt:variant>
      <vt:variant>
        <vt:i4>5</vt:i4>
      </vt:variant>
      <vt:variant>
        <vt:lpwstr/>
      </vt:variant>
      <vt:variant>
        <vt:lpwstr>_Toc208919054</vt:lpwstr>
      </vt:variant>
      <vt:variant>
        <vt:i4>1179707</vt:i4>
      </vt:variant>
      <vt:variant>
        <vt:i4>146</vt:i4>
      </vt:variant>
      <vt:variant>
        <vt:i4>0</vt:i4>
      </vt:variant>
      <vt:variant>
        <vt:i4>5</vt:i4>
      </vt:variant>
      <vt:variant>
        <vt:lpwstr/>
      </vt:variant>
      <vt:variant>
        <vt:lpwstr>_Toc208919053</vt:lpwstr>
      </vt:variant>
      <vt:variant>
        <vt:i4>1179707</vt:i4>
      </vt:variant>
      <vt:variant>
        <vt:i4>140</vt:i4>
      </vt:variant>
      <vt:variant>
        <vt:i4>0</vt:i4>
      </vt:variant>
      <vt:variant>
        <vt:i4>5</vt:i4>
      </vt:variant>
      <vt:variant>
        <vt:lpwstr/>
      </vt:variant>
      <vt:variant>
        <vt:lpwstr>_Toc208919052</vt:lpwstr>
      </vt:variant>
      <vt:variant>
        <vt:i4>1179707</vt:i4>
      </vt:variant>
      <vt:variant>
        <vt:i4>134</vt:i4>
      </vt:variant>
      <vt:variant>
        <vt:i4>0</vt:i4>
      </vt:variant>
      <vt:variant>
        <vt:i4>5</vt:i4>
      </vt:variant>
      <vt:variant>
        <vt:lpwstr/>
      </vt:variant>
      <vt:variant>
        <vt:lpwstr>_Toc208919051</vt:lpwstr>
      </vt:variant>
      <vt:variant>
        <vt:i4>1179707</vt:i4>
      </vt:variant>
      <vt:variant>
        <vt:i4>128</vt:i4>
      </vt:variant>
      <vt:variant>
        <vt:i4>0</vt:i4>
      </vt:variant>
      <vt:variant>
        <vt:i4>5</vt:i4>
      </vt:variant>
      <vt:variant>
        <vt:lpwstr/>
      </vt:variant>
      <vt:variant>
        <vt:lpwstr>_Toc208919050</vt:lpwstr>
      </vt:variant>
      <vt:variant>
        <vt:i4>1245243</vt:i4>
      </vt:variant>
      <vt:variant>
        <vt:i4>122</vt:i4>
      </vt:variant>
      <vt:variant>
        <vt:i4>0</vt:i4>
      </vt:variant>
      <vt:variant>
        <vt:i4>5</vt:i4>
      </vt:variant>
      <vt:variant>
        <vt:lpwstr/>
      </vt:variant>
      <vt:variant>
        <vt:lpwstr>_Toc208919049</vt:lpwstr>
      </vt:variant>
      <vt:variant>
        <vt:i4>1245243</vt:i4>
      </vt:variant>
      <vt:variant>
        <vt:i4>116</vt:i4>
      </vt:variant>
      <vt:variant>
        <vt:i4>0</vt:i4>
      </vt:variant>
      <vt:variant>
        <vt:i4>5</vt:i4>
      </vt:variant>
      <vt:variant>
        <vt:lpwstr/>
      </vt:variant>
      <vt:variant>
        <vt:lpwstr>_Toc208919048</vt:lpwstr>
      </vt:variant>
      <vt:variant>
        <vt:i4>1245243</vt:i4>
      </vt:variant>
      <vt:variant>
        <vt:i4>110</vt:i4>
      </vt:variant>
      <vt:variant>
        <vt:i4>0</vt:i4>
      </vt:variant>
      <vt:variant>
        <vt:i4>5</vt:i4>
      </vt:variant>
      <vt:variant>
        <vt:lpwstr/>
      </vt:variant>
      <vt:variant>
        <vt:lpwstr>_Toc208919047</vt:lpwstr>
      </vt:variant>
      <vt:variant>
        <vt:i4>1245243</vt:i4>
      </vt:variant>
      <vt:variant>
        <vt:i4>104</vt:i4>
      </vt:variant>
      <vt:variant>
        <vt:i4>0</vt:i4>
      </vt:variant>
      <vt:variant>
        <vt:i4>5</vt:i4>
      </vt:variant>
      <vt:variant>
        <vt:lpwstr/>
      </vt:variant>
      <vt:variant>
        <vt:lpwstr>_Toc208919046</vt:lpwstr>
      </vt:variant>
      <vt:variant>
        <vt:i4>1245243</vt:i4>
      </vt:variant>
      <vt:variant>
        <vt:i4>98</vt:i4>
      </vt:variant>
      <vt:variant>
        <vt:i4>0</vt:i4>
      </vt:variant>
      <vt:variant>
        <vt:i4>5</vt:i4>
      </vt:variant>
      <vt:variant>
        <vt:lpwstr/>
      </vt:variant>
      <vt:variant>
        <vt:lpwstr>_Toc208919045</vt:lpwstr>
      </vt:variant>
      <vt:variant>
        <vt:i4>1245243</vt:i4>
      </vt:variant>
      <vt:variant>
        <vt:i4>92</vt:i4>
      </vt:variant>
      <vt:variant>
        <vt:i4>0</vt:i4>
      </vt:variant>
      <vt:variant>
        <vt:i4>5</vt:i4>
      </vt:variant>
      <vt:variant>
        <vt:lpwstr/>
      </vt:variant>
      <vt:variant>
        <vt:lpwstr>_Toc208919044</vt:lpwstr>
      </vt:variant>
      <vt:variant>
        <vt:i4>1245243</vt:i4>
      </vt:variant>
      <vt:variant>
        <vt:i4>86</vt:i4>
      </vt:variant>
      <vt:variant>
        <vt:i4>0</vt:i4>
      </vt:variant>
      <vt:variant>
        <vt:i4>5</vt:i4>
      </vt:variant>
      <vt:variant>
        <vt:lpwstr/>
      </vt:variant>
      <vt:variant>
        <vt:lpwstr>_Toc208919043</vt:lpwstr>
      </vt:variant>
      <vt:variant>
        <vt:i4>1245243</vt:i4>
      </vt:variant>
      <vt:variant>
        <vt:i4>80</vt:i4>
      </vt:variant>
      <vt:variant>
        <vt:i4>0</vt:i4>
      </vt:variant>
      <vt:variant>
        <vt:i4>5</vt:i4>
      </vt:variant>
      <vt:variant>
        <vt:lpwstr/>
      </vt:variant>
      <vt:variant>
        <vt:lpwstr>_Toc208919042</vt:lpwstr>
      </vt:variant>
      <vt:variant>
        <vt:i4>1245243</vt:i4>
      </vt:variant>
      <vt:variant>
        <vt:i4>74</vt:i4>
      </vt:variant>
      <vt:variant>
        <vt:i4>0</vt:i4>
      </vt:variant>
      <vt:variant>
        <vt:i4>5</vt:i4>
      </vt:variant>
      <vt:variant>
        <vt:lpwstr/>
      </vt:variant>
      <vt:variant>
        <vt:lpwstr>_Toc208919041</vt:lpwstr>
      </vt:variant>
      <vt:variant>
        <vt:i4>1245243</vt:i4>
      </vt:variant>
      <vt:variant>
        <vt:i4>68</vt:i4>
      </vt:variant>
      <vt:variant>
        <vt:i4>0</vt:i4>
      </vt:variant>
      <vt:variant>
        <vt:i4>5</vt:i4>
      </vt:variant>
      <vt:variant>
        <vt:lpwstr/>
      </vt:variant>
      <vt:variant>
        <vt:lpwstr>_Toc208919040</vt:lpwstr>
      </vt:variant>
      <vt:variant>
        <vt:i4>1310779</vt:i4>
      </vt:variant>
      <vt:variant>
        <vt:i4>62</vt:i4>
      </vt:variant>
      <vt:variant>
        <vt:i4>0</vt:i4>
      </vt:variant>
      <vt:variant>
        <vt:i4>5</vt:i4>
      </vt:variant>
      <vt:variant>
        <vt:lpwstr/>
      </vt:variant>
      <vt:variant>
        <vt:lpwstr>_Toc208919039</vt:lpwstr>
      </vt:variant>
      <vt:variant>
        <vt:i4>1310779</vt:i4>
      </vt:variant>
      <vt:variant>
        <vt:i4>56</vt:i4>
      </vt:variant>
      <vt:variant>
        <vt:i4>0</vt:i4>
      </vt:variant>
      <vt:variant>
        <vt:i4>5</vt:i4>
      </vt:variant>
      <vt:variant>
        <vt:lpwstr/>
      </vt:variant>
      <vt:variant>
        <vt:lpwstr>_Toc208919038</vt:lpwstr>
      </vt:variant>
      <vt:variant>
        <vt:i4>1310779</vt:i4>
      </vt:variant>
      <vt:variant>
        <vt:i4>50</vt:i4>
      </vt:variant>
      <vt:variant>
        <vt:i4>0</vt:i4>
      </vt:variant>
      <vt:variant>
        <vt:i4>5</vt:i4>
      </vt:variant>
      <vt:variant>
        <vt:lpwstr/>
      </vt:variant>
      <vt:variant>
        <vt:lpwstr>_Toc208919037</vt:lpwstr>
      </vt:variant>
      <vt:variant>
        <vt:i4>1310779</vt:i4>
      </vt:variant>
      <vt:variant>
        <vt:i4>44</vt:i4>
      </vt:variant>
      <vt:variant>
        <vt:i4>0</vt:i4>
      </vt:variant>
      <vt:variant>
        <vt:i4>5</vt:i4>
      </vt:variant>
      <vt:variant>
        <vt:lpwstr/>
      </vt:variant>
      <vt:variant>
        <vt:lpwstr>_Toc208919036</vt:lpwstr>
      </vt:variant>
      <vt:variant>
        <vt:i4>1310779</vt:i4>
      </vt:variant>
      <vt:variant>
        <vt:i4>38</vt:i4>
      </vt:variant>
      <vt:variant>
        <vt:i4>0</vt:i4>
      </vt:variant>
      <vt:variant>
        <vt:i4>5</vt:i4>
      </vt:variant>
      <vt:variant>
        <vt:lpwstr/>
      </vt:variant>
      <vt:variant>
        <vt:lpwstr>_Toc208919035</vt:lpwstr>
      </vt:variant>
      <vt:variant>
        <vt:i4>1310779</vt:i4>
      </vt:variant>
      <vt:variant>
        <vt:i4>32</vt:i4>
      </vt:variant>
      <vt:variant>
        <vt:i4>0</vt:i4>
      </vt:variant>
      <vt:variant>
        <vt:i4>5</vt:i4>
      </vt:variant>
      <vt:variant>
        <vt:lpwstr/>
      </vt:variant>
      <vt:variant>
        <vt:lpwstr>_Toc208919034</vt:lpwstr>
      </vt:variant>
      <vt:variant>
        <vt:i4>1310779</vt:i4>
      </vt:variant>
      <vt:variant>
        <vt:i4>26</vt:i4>
      </vt:variant>
      <vt:variant>
        <vt:i4>0</vt:i4>
      </vt:variant>
      <vt:variant>
        <vt:i4>5</vt:i4>
      </vt:variant>
      <vt:variant>
        <vt:lpwstr/>
      </vt:variant>
      <vt:variant>
        <vt:lpwstr>_Toc208919033</vt:lpwstr>
      </vt:variant>
      <vt:variant>
        <vt:i4>1310779</vt:i4>
      </vt:variant>
      <vt:variant>
        <vt:i4>20</vt:i4>
      </vt:variant>
      <vt:variant>
        <vt:i4>0</vt:i4>
      </vt:variant>
      <vt:variant>
        <vt:i4>5</vt:i4>
      </vt:variant>
      <vt:variant>
        <vt:lpwstr/>
      </vt:variant>
      <vt:variant>
        <vt:lpwstr>_Toc208919032</vt:lpwstr>
      </vt:variant>
      <vt:variant>
        <vt:i4>1310779</vt:i4>
      </vt:variant>
      <vt:variant>
        <vt:i4>14</vt:i4>
      </vt:variant>
      <vt:variant>
        <vt:i4>0</vt:i4>
      </vt:variant>
      <vt:variant>
        <vt:i4>5</vt:i4>
      </vt:variant>
      <vt:variant>
        <vt:lpwstr/>
      </vt:variant>
      <vt:variant>
        <vt:lpwstr>_Toc208919031</vt:lpwstr>
      </vt:variant>
      <vt:variant>
        <vt:i4>6946900</vt:i4>
      </vt:variant>
      <vt:variant>
        <vt:i4>9</vt:i4>
      </vt:variant>
      <vt:variant>
        <vt:i4>0</vt:i4>
      </vt:variant>
      <vt:variant>
        <vt:i4>5</vt:i4>
      </vt:variant>
      <vt:variant>
        <vt:lpwstr>mailto:pavlica@spinter.net</vt:lpwstr>
      </vt:variant>
      <vt:variant>
        <vt:lpwstr/>
      </vt:variant>
      <vt:variant>
        <vt:i4>458797</vt:i4>
      </vt:variant>
      <vt:variant>
        <vt:i4>6</vt:i4>
      </vt:variant>
      <vt:variant>
        <vt:i4>0</vt:i4>
      </vt:variant>
      <vt:variant>
        <vt:i4>5</vt:i4>
      </vt:variant>
      <vt:variant>
        <vt:lpwstr>mailto:zeljka.knezevic321@gmail.com</vt:lpwstr>
      </vt:variant>
      <vt:variant>
        <vt:lpwstr/>
      </vt:variant>
      <vt:variant>
        <vt:i4>852018</vt:i4>
      </vt:variant>
      <vt:variant>
        <vt:i4>3</vt:i4>
      </vt:variant>
      <vt:variant>
        <vt:i4>0</vt:i4>
      </vt:variant>
      <vt:variant>
        <vt:i4>5</vt:i4>
      </vt:variant>
      <vt:variant>
        <vt:lpwstr>mailto:magdastepanyan@yahoo.com</vt:lpwstr>
      </vt:variant>
      <vt:variant>
        <vt:lpwstr/>
      </vt:variant>
      <vt:variant>
        <vt:i4>2359393</vt:i4>
      </vt:variant>
      <vt:variant>
        <vt:i4>132</vt:i4>
      </vt:variant>
      <vt:variant>
        <vt:i4>0</vt:i4>
      </vt:variant>
      <vt:variant>
        <vt:i4>5</vt:i4>
      </vt:variant>
      <vt:variant>
        <vt:lpwstr>https://enlargement.ec.europa.eu/document/download/af28ca66-9745-48c5-9e70-3d3bfd46a6f4_en?filename=ipa_2020-041-818.10-mc-eu_integration_facility.pdf</vt:lpwstr>
      </vt:variant>
      <vt:variant>
        <vt:lpwstr/>
      </vt:variant>
      <vt:variant>
        <vt:i4>1769556</vt:i4>
      </vt:variant>
      <vt:variant>
        <vt:i4>129</vt:i4>
      </vt:variant>
      <vt:variant>
        <vt:i4>0</vt:i4>
      </vt:variant>
      <vt:variant>
        <vt:i4>5</vt:i4>
      </vt:variant>
      <vt:variant>
        <vt:lpwstr>https://reliefweb.int/map/bosnia-and-herzegovina/bosnia-and-herzegovina-flood-hazard-map-25-jan-2016</vt:lpwstr>
      </vt:variant>
      <vt:variant>
        <vt:lpwstr/>
      </vt:variant>
      <vt:variant>
        <vt:i4>4587613</vt:i4>
      </vt:variant>
      <vt:variant>
        <vt:i4>126</vt:i4>
      </vt:variant>
      <vt:variant>
        <vt:i4>0</vt:i4>
      </vt:variant>
      <vt:variant>
        <vt:i4>5</vt:i4>
      </vt:variant>
      <vt:variant>
        <vt:lpwstr>https://www.osce.org/files/f/documents/0/7/183371.pdf</vt:lpwstr>
      </vt:variant>
      <vt:variant>
        <vt:lpwstr/>
      </vt:variant>
      <vt:variant>
        <vt:i4>4194324</vt:i4>
      </vt:variant>
      <vt:variant>
        <vt:i4>123</vt:i4>
      </vt:variant>
      <vt:variant>
        <vt:i4>0</vt:i4>
      </vt:variant>
      <vt:variant>
        <vt:i4>5</vt:i4>
      </vt:variant>
      <vt:variant>
        <vt:lpwstr>https://tron.ba/</vt:lpwstr>
      </vt:variant>
      <vt:variant>
        <vt:lpwstr/>
      </vt:variant>
      <vt:variant>
        <vt:i4>458838</vt:i4>
      </vt:variant>
      <vt:variant>
        <vt:i4>120</vt:i4>
      </vt:variant>
      <vt:variant>
        <vt:i4>0</vt:i4>
      </vt:variant>
      <vt:variant>
        <vt:i4>5</vt:i4>
      </vt:variant>
      <vt:variant>
        <vt:lpwstr>https://www.cedes.ba/</vt:lpwstr>
      </vt:variant>
      <vt:variant>
        <vt:lpwstr/>
      </vt:variant>
      <vt:variant>
        <vt:i4>6225935</vt:i4>
      </vt:variant>
      <vt:variant>
        <vt:i4>117</vt:i4>
      </vt:variant>
      <vt:variant>
        <vt:i4>0</vt:i4>
      </vt:variant>
      <vt:variant>
        <vt:i4>5</vt:i4>
      </vt:variant>
      <vt:variant>
        <vt:lpwstr>https://ecitizen.ba/</vt:lpwstr>
      </vt:variant>
      <vt:variant>
        <vt:lpwstr/>
      </vt:variant>
      <vt:variant>
        <vt:i4>131088</vt:i4>
      </vt:variant>
      <vt:variant>
        <vt:i4>114</vt:i4>
      </vt:variant>
      <vt:variant>
        <vt:i4>0</vt:i4>
      </vt:variant>
      <vt:variant>
        <vt:i4>5</vt:i4>
      </vt:variant>
      <vt:variant>
        <vt:lpwstr>https://www.eupan.eu/caf/</vt:lpwstr>
      </vt:variant>
      <vt:variant>
        <vt:lpwstr/>
      </vt:variant>
      <vt:variant>
        <vt:i4>3145842</vt:i4>
      </vt:variant>
      <vt:variant>
        <vt:i4>111</vt:i4>
      </vt:variant>
      <vt:variant>
        <vt:i4>0</vt:i4>
      </vt:variant>
      <vt:variant>
        <vt:i4>5</vt:i4>
      </vt:variant>
      <vt:variant>
        <vt:lpwstr>https://www.cedrig.org/</vt:lpwstr>
      </vt:variant>
      <vt:variant>
        <vt:lpwstr/>
      </vt:variant>
      <vt:variant>
        <vt:i4>3211287</vt:i4>
      </vt:variant>
      <vt:variant>
        <vt:i4>108</vt:i4>
      </vt:variant>
      <vt:variant>
        <vt:i4>0</vt:i4>
      </vt:variant>
      <vt:variant>
        <vt:i4>5</vt:i4>
      </vt:variant>
      <vt:variant>
        <vt:lpwstr>https://www.undp.org/sites/g/files/zskgke326/files/2025-08/undp_modernizing_development_introducing_portfolios_2025.pdf.pdf</vt:lpwstr>
      </vt:variant>
      <vt:variant>
        <vt:lpwstr/>
      </vt:variant>
      <vt:variant>
        <vt:i4>3538982</vt:i4>
      </vt:variant>
      <vt:variant>
        <vt:i4>105</vt:i4>
      </vt:variant>
      <vt:variant>
        <vt:i4>0</vt:i4>
      </vt:variant>
      <vt:variant>
        <vt:i4>5</vt:i4>
      </vt:variant>
      <vt:variant>
        <vt:lpwstr>https://popp.undp.org/policy-page/portfolio</vt:lpwstr>
      </vt:variant>
      <vt:variant>
        <vt:lpwstr/>
      </vt:variant>
      <vt:variant>
        <vt:i4>7929978</vt:i4>
      </vt:variant>
      <vt:variant>
        <vt:i4>102</vt:i4>
      </vt:variant>
      <vt:variant>
        <vt:i4>0</vt:i4>
      </vt:variant>
      <vt:variant>
        <vt:i4>5</vt:i4>
      </vt:variant>
      <vt:variant>
        <vt:lpwstr>https://unstuck.systems/system-approaches-toolkit/</vt:lpwstr>
      </vt:variant>
      <vt:variant>
        <vt:lpwstr/>
      </vt:variant>
      <vt:variant>
        <vt:i4>4128883</vt:i4>
      </vt:variant>
      <vt:variant>
        <vt:i4>99</vt:i4>
      </vt:variant>
      <vt:variant>
        <vt:i4>0</vt:i4>
      </vt:variant>
      <vt:variant>
        <vt:i4>5</vt:i4>
      </vt:variant>
      <vt:variant>
        <vt:lpwstr>https://www.worldbank.org/en/topic/water/publication/utility-of-the-future</vt:lpwstr>
      </vt:variant>
      <vt:variant>
        <vt:lpwstr/>
      </vt:variant>
      <vt:variant>
        <vt:i4>2097208</vt:i4>
      </vt:variant>
      <vt:variant>
        <vt:i4>96</vt:i4>
      </vt:variant>
      <vt:variant>
        <vt:i4>0</vt:i4>
      </vt:variant>
      <vt:variant>
        <vt:i4>5</vt:i4>
      </vt:variant>
      <vt:variant>
        <vt:lpwstr>https://www.undp.org/bosnia-herzegovina/publications/national-human-development-report-2020-social-inclusion-bosnia-and-herzegovina</vt:lpwstr>
      </vt:variant>
      <vt:variant>
        <vt:lpwstr/>
      </vt:variant>
      <vt:variant>
        <vt:i4>65547</vt:i4>
      </vt:variant>
      <vt:variant>
        <vt:i4>93</vt:i4>
      </vt:variant>
      <vt:variant>
        <vt:i4>0</vt:i4>
      </vt:variant>
      <vt:variant>
        <vt:i4>5</vt:i4>
      </vt:variant>
      <vt:variant>
        <vt:lpwstr>https://www.undp.org/bosnia-herzegovina/publications/local-gender-equality-landscape</vt:lpwstr>
      </vt:variant>
      <vt:variant>
        <vt:lpwstr/>
      </vt:variant>
      <vt:variant>
        <vt:i4>2424943</vt:i4>
      </vt:variant>
      <vt:variant>
        <vt:i4>90</vt:i4>
      </vt:variant>
      <vt:variant>
        <vt:i4>0</vt:i4>
      </vt:variant>
      <vt:variant>
        <vt:i4>5</vt:i4>
      </vt:variant>
      <vt:variant>
        <vt:lpwstr>https://www.undp.org/bosnia-herzegovina/publications/sdgs-framework-bosnia-and-herzegovina</vt:lpwstr>
      </vt:variant>
      <vt:variant>
        <vt:lpwstr/>
      </vt:variant>
      <vt:variant>
        <vt:i4>589901</vt:i4>
      </vt:variant>
      <vt:variant>
        <vt:i4>87</vt:i4>
      </vt:variant>
      <vt:variant>
        <vt:i4>0</vt:i4>
      </vt:variant>
      <vt:variant>
        <vt:i4>5</vt:i4>
      </vt:variant>
      <vt:variant>
        <vt:lpwstr>https://www.wareg.org/european-water-acquis/</vt:lpwstr>
      </vt:variant>
      <vt:variant>
        <vt:lpwstr/>
      </vt:variant>
      <vt:variant>
        <vt:i4>983063</vt:i4>
      </vt:variant>
      <vt:variant>
        <vt:i4>84</vt:i4>
      </vt:variant>
      <vt:variant>
        <vt:i4>0</vt:i4>
      </vt:variant>
      <vt:variant>
        <vt:i4>5</vt:i4>
      </vt:variant>
      <vt:variant>
        <vt:lpwstr>https://erc.undp.org/methods-center/methods/evaluation-methods/contribution-analysis</vt:lpwstr>
      </vt:variant>
      <vt:variant>
        <vt:lpwstr/>
      </vt:variant>
      <vt:variant>
        <vt:i4>5374036</vt:i4>
      </vt:variant>
      <vt:variant>
        <vt:i4>81</vt:i4>
      </vt:variant>
      <vt:variant>
        <vt:i4>0</vt:i4>
      </vt:variant>
      <vt:variant>
        <vt:i4>5</vt:i4>
      </vt:variant>
      <vt:variant>
        <vt:lpwstr>https://erc.undp.org/pdf/UNDP_Evaluation_Guidelines.pdf</vt:lpwstr>
      </vt:variant>
      <vt:variant>
        <vt:lpwstr/>
      </vt:variant>
      <vt:variant>
        <vt:i4>4325440</vt:i4>
      </vt:variant>
      <vt:variant>
        <vt:i4>78</vt:i4>
      </vt:variant>
      <vt:variant>
        <vt:i4>0</vt:i4>
      </vt:variant>
      <vt:variant>
        <vt:i4>5</vt:i4>
      </vt:variant>
      <vt:variant>
        <vt:lpwstr>https://procurement-notices.undp.org/view_file.cfm?doc_id=302194</vt:lpwstr>
      </vt:variant>
      <vt:variant>
        <vt:lpwstr>:~:text=The%20four%20UNEG%20guiding%20ethical,essential%20for%20responsible%20evaluation%20practice</vt:lpwstr>
      </vt:variant>
      <vt:variant>
        <vt:i4>2621519</vt:i4>
      </vt:variant>
      <vt:variant>
        <vt:i4>75</vt:i4>
      </vt:variant>
      <vt:variant>
        <vt:i4>0</vt:i4>
      </vt:variant>
      <vt:variant>
        <vt:i4>5</vt:i4>
      </vt:variant>
      <vt:variant>
        <vt:lpwstr>https://www.unevaluation.org/uneg_publications/uneg-norms-and-standards-evaluation-un-system</vt:lpwstr>
      </vt:variant>
      <vt:variant>
        <vt:lpwstr/>
      </vt:variant>
      <vt:variant>
        <vt:i4>5242889</vt:i4>
      </vt:variant>
      <vt:variant>
        <vt:i4>72</vt:i4>
      </vt:variant>
      <vt:variant>
        <vt:i4>0</vt:i4>
      </vt:variant>
      <vt:variant>
        <vt:i4>5</vt:i4>
      </vt:variant>
      <vt:variant>
        <vt:lpwstr>https://www.oecd.org/dac/evaluation/daccriteriaforevaluatingdevelopmentassistance.htm</vt:lpwstr>
      </vt:variant>
      <vt:variant>
        <vt:lpwstr/>
      </vt:variant>
      <vt:variant>
        <vt:i4>7340150</vt:i4>
      </vt:variant>
      <vt:variant>
        <vt:i4>69</vt:i4>
      </vt:variant>
      <vt:variant>
        <vt:i4>0</vt:i4>
      </vt:variant>
      <vt:variant>
        <vt:i4>5</vt:i4>
      </vt:variant>
      <vt:variant>
        <vt:lpwstr>https://www.undp.org/publications/system-change-guidebook-adopting-portfolio-approaches</vt:lpwstr>
      </vt:variant>
      <vt:variant>
        <vt:lpwstr/>
      </vt:variant>
      <vt:variant>
        <vt:i4>5505107</vt:i4>
      </vt:variant>
      <vt:variant>
        <vt:i4>66</vt:i4>
      </vt:variant>
      <vt:variant>
        <vt:i4>0</vt:i4>
      </vt:variant>
      <vt:variant>
        <vt:i4>5</vt:i4>
      </vt:variant>
      <vt:variant>
        <vt:lpwstr>https://www.undp.org/bosnia-herzegovina/publications/country-programme-document-bosnia-and-herzegovina-2021-2025</vt:lpwstr>
      </vt:variant>
      <vt:variant>
        <vt:lpwstr/>
      </vt:variant>
      <vt:variant>
        <vt:i4>983124</vt:i4>
      </vt:variant>
      <vt:variant>
        <vt:i4>63</vt:i4>
      </vt:variant>
      <vt:variant>
        <vt:i4>0</vt:i4>
      </vt:variant>
      <vt:variant>
        <vt:i4>5</vt:i4>
      </vt:variant>
      <vt:variant>
        <vt:lpwstr>https://icld.se/wp-content/uploads/ICLD-Country-Brief-Bosnia-Herzegovina.pdf</vt:lpwstr>
      </vt:variant>
      <vt:variant>
        <vt:lpwstr/>
      </vt:variant>
      <vt:variant>
        <vt:i4>1179663</vt:i4>
      </vt:variant>
      <vt:variant>
        <vt:i4>60</vt:i4>
      </vt:variant>
      <vt:variant>
        <vt:i4>0</vt:i4>
      </vt:variant>
      <vt:variant>
        <vt:i4>5</vt:i4>
      </vt:variant>
      <vt:variant>
        <vt:lpwstr>https://www.climatechangepost.com/countries/bosnia/fresh-water-resources/</vt:lpwstr>
      </vt:variant>
      <vt:variant>
        <vt:lpwstr/>
      </vt:variant>
      <vt:variant>
        <vt:i4>2359301</vt:i4>
      </vt:variant>
      <vt:variant>
        <vt:i4>57</vt:i4>
      </vt:variant>
      <vt:variant>
        <vt:i4>0</vt:i4>
      </vt:variant>
      <vt:variant>
        <vt:i4>5</vt:i4>
      </vt:variant>
      <vt:variant>
        <vt:lpwstr>https://www.vladars.net/sr-SP-Cyrl/Vlada/Ministarstva/mgr/Documents/ENVIRONMENTAL STRATEGY OF REPUBLIKA SRPSKA 2022 to 2032_462217192.pdf</vt:lpwstr>
      </vt:variant>
      <vt:variant>
        <vt:lpwstr/>
      </vt:variant>
      <vt:variant>
        <vt:i4>6422586</vt:i4>
      </vt:variant>
      <vt:variant>
        <vt:i4>54</vt:i4>
      </vt:variant>
      <vt:variant>
        <vt:i4>0</vt:i4>
      </vt:variant>
      <vt:variant>
        <vt:i4>5</vt:i4>
      </vt:variant>
      <vt:variant>
        <vt:lpwstr>https://rm.coe.int/european-charter-of-local-self-government-eng/1680a87cc3</vt:lpwstr>
      </vt:variant>
      <vt:variant>
        <vt:lpwstr/>
      </vt:variant>
      <vt:variant>
        <vt:i4>2031694</vt:i4>
      </vt:variant>
      <vt:variant>
        <vt:i4>51</vt:i4>
      </vt:variant>
      <vt:variant>
        <vt:i4>0</vt:i4>
      </vt:variant>
      <vt:variant>
        <vt:i4>5</vt:i4>
      </vt:variant>
      <vt:variant>
        <vt:lpwstr>https://eca.unwomen.org/sites/default/files/Field Office ECA/Attachments/Publications/2021/7/UNW Country Gender Equality Profile BiH.pdf</vt:lpwstr>
      </vt:variant>
      <vt:variant>
        <vt:lpwstr/>
      </vt:variant>
      <vt:variant>
        <vt:i4>6094872</vt:i4>
      </vt:variant>
      <vt:variant>
        <vt:i4>48</vt:i4>
      </vt:variant>
      <vt:variant>
        <vt:i4>0</vt:i4>
      </vt:variant>
      <vt:variant>
        <vt:i4>5</vt:i4>
      </vt:variant>
      <vt:variant>
        <vt:lpwstr>https://worldpopulationreview.com/country-rankings/brain-drain-countries</vt:lpwstr>
      </vt:variant>
      <vt:variant>
        <vt:lpwstr/>
      </vt:variant>
      <vt:variant>
        <vt:i4>2621492</vt:i4>
      </vt:variant>
      <vt:variant>
        <vt:i4>45</vt:i4>
      </vt:variant>
      <vt:variant>
        <vt:i4>0</vt:i4>
      </vt:variant>
      <vt:variant>
        <vt:i4>5</vt:i4>
      </vt:variant>
      <vt:variant>
        <vt:lpwstr>https://n1info.ba/english/news/forbes-bosnia-has-the-secong-biggest-diaspora-in-the-world/</vt:lpwstr>
      </vt:variant>
      <vt:variant>
        <vt:lpwstr/>
      </vt:variant>
      <vt:variant>
        <vt:i4>2031705</vt:i4>
      </vt:variant>
      <vt:variant>
        <vt:i4>42</vt:i4>
      </vt:variant>
      <vt:variant>
        <vt:i4>0</vt:i4>
      </vt:variant>
      <vt:variant>
        <vt:i4>5</vt:i4>
      </vt:variant>
      <vt:variant>
        <vt:lpwstr>https://migrants-refugees.va/country-profile/bosnia-and-herzegovina/</vt:lpwstr>
      </vt:variant>
      <vt:variant>
        <vt:lpwstr/>
      </vt:variant>
      <vt:variant>
        <vt:i4>3932269</vt:i4>
      </vt:variant>
      <vt:variant>
        <vt:i4>39</vt:i4>
      </vt:variant>
      <vt:variant>
        <vt:i4>0</vt:i4>
      </vt:variant>
      <vt:variant>
        <vt:i4>5</vt:i4>
      </vt:variant>
      <vt:variant>
        <vt:lpwstr>https://data.worldbank.org/indicator/NY.GDP.PCAP.PP.CD?locations=BA</vt:lpwstr>
      </vt:variant>
      <vt:variant>
        <vt:lpwstr/>
      </vt:variant>
      <vt:variant>
        <vt:i4>8192100</vt:i4>
      </vt:variant>
      <vt:variant>
        <vt:i4>36</vt:i4>
      </vt:variant>
      <vt:variant>
        <vt:i4>0</vt:i4>
      </vt:variant>
      <vt:variant>
        <vt:i4>5</vt:i4>
      </vt:variant>
      <vt:variant>
        <vt:lpwstr>https://hdr.undp.org/content/human-development-report-2025</vt:lpwstr>
      </vt:variant>
      <vt:variant>
        <vt:lpwstr/>
      </vt:variant>
      <vt:variant>
        <vt:i4>7405630</vt:i4>
      </vt:variant>
      <vt:variant>
        <vt:i4>33</vt:i4>
      </vt:variant>
      <vt:variant>
        <vt:i4>0</vt:i4>
      </vt:variant>
      <vt:variant>
        <vt:i4>5</vt:i4>
      </vt:variant>
      <vt:variant>
        <vt:lpwstr>https://www.undp.org/bosnia-herzegovina/press-releases/bih-categorised-highly-developed-country-according-undp-human-development-report</vt:lpwstr>
      </vt:variant>
      <vt:variant>
        <vt:lpwstr/>
      </vt:variant>
      <vt:variant>
        <vt:i4>2883693</vt:i4>
      </vt:variant>
      <vt:variant>
        <vt:i4>30</vt:i4>
      </vt:variant>
      <vt:variant>
        <vt:i4>0</vt:i4>
      </vt:variant>
      <vt:variant>
        <vt:i4>5</vt:i4>
      </vt:variant>
      <vt:variant>
        <vt:lpwstr>https://dep.gov.ba/naslovna/ENG_ERP BiH 2025-2027_25032025.pdf</vt:lpwstr>
      </vt:variant>
      <vt:variant>
        <vt:lpwstr/>
      </vt:variant>
      <vt:variant>
        <vt:i4>2293830</vt:i4>
      </vt:variant>
      <vt:variant>
        <vt:i4>27</vt:i4>
      </vt:variant>
      <vt:variant>
        <vt:i4>0</vt:i4>
      </vt:variant>
      <vt:variant>
        <vt:i4>5</vt:i4>
      </vt:variant>
      <vt:variant>
        <vt:lpwstr>https://bosniaherzegovina.un.org/sites/default/files/2021-08/Sustainable development_BHS_WEB_final.pdf</vt:lpwstr>
      </vt:variant>
      <vt:variant>
        <vt:lpwstr/>
      </vt:variant>
      <vt:variant>
        <vt:i4>4128867</vt:i4>
      </vt:variant>
      <vt:variant>
        <vt:i4>24</vt:i4>
      </vt:variant>
      <vt:variant>
        <vt:i4>0</vt:i4>
      </vt:variant>
      <vt:variant>
        <vt:i4>5</vt:i4>
      </vt:variant>
      <vt:variant>
        <vt:lpwstr>https://dashboards.sdgindex.org/profiles/bosnia-and-herzegovina/fact-sheet</vt:lpwstr>
      </vt:variant>
      <vt:variant>
        <vt:lpwstr/>
      </vt:variant>
      <vt:variant>
        <vt:i4>6815846</vt:i4>
      </vt:variant>
      <vt:variant>
        <vt:i4>21</vt:i4>
      </vt:variant>
      <vt:variant>
        <vt:i4>0</vt:i4>
      </vt:variant>
      <vt:variant>
        <vt:i4>5</vt:i4>
      </vt:variant>
      <vt:variant>
        <vt:lpwstr>https://www.undp.org/bosnia-herzegovina/publications/sdgs-framework-bosnia-and-herzegovina</vt:lpwstr>
      </vt:variant>
      <vt:variant>
        <vt:lpwstr>:~:text=October%204%2C%202021,indicators%20to%20measure%20the%20progress</vt:lpwstr>
      </vt:variant>
      <vt:variant>
        <vt:i4>6946873</vt:i4>
      </vt:variant>
      <vt:variant>
        <vt:i4>18</vt:i4>
      </vt:variant>
      <vt:variant>
        <vt:i4>0</vt:i4>
      </vt:variant>
      <vt:variant>
        <vt:i4>5</vt:i4>
      </vt:variant>
      <vt:variant>
        <vt:lpwstr>http://www.vlada.bdcentral.net/?lang=en</vt:lpwstr>
      </vt:variant>
      <vt:variant>
        <vt:lpwstr/>
      </vt:variant>
      <vt:variant>
        <vt:i4>4587550</vt:i4>
      </vt:variant>
      <vt:variant>
        <vt:i4>15</vt:i4>
      </vt:variant>
      <vt:variant>
        <vt:i4>0</vt:i4>
      </vt:variant>
      <vt:variant>
        <vt:i4>5</vt:i4>
      </vt:variant>
      <vt:variant>
        <vt:lpwstr>https://fragilestatesindex.org/country-data/</vt:lpwstr>
      </vt:variant>
      <vt:variant>
        <vt:lpwstr/>
      </vt:variant>
      <vt:variant>
        <vt:i4>2162725</vt:i4>
      </vt:variant>
      <vt:variant>
        <vt:i4>12</vt:i4>
      </vt:variant>
      <vt:variant>
        <vt:i4>0</vt:i4>
      </vt:variant>
      <vt:variant>
        <vt:i4>5</vt:i4>
      </vt:variant>
      <vt:variant>
        <vt:lpwstr>https://www.ohr.int/en/</vt:lpwstr>
      </vt:variant>
      <vt:variant>
        <vt:lpwstr/>
      </vt:variant>
      <vt:variant>
        <vt:i4>3407974</vt:i4>
      </vt:variant>
      <vt:variant>
        <vt:i4>9</vt:i4>
      </vt:variant>
      <vt:variant>
        <vt:i4>0</vt:i4>
      </vt:variant>
      <vt:variant>
        <vt:i4>5</vt:i4>
      </vt:variant>
      <vt:variant>
        <vt:lpwstr>https://www.britannica.com/topic/consociationalism</vt:lpwstr>
      </vt:variant>
      <vt:variant>
        <vt:lpwstr/>
      </vt:variant>
      <vt:variant>
        <vt:i4>6094863</vt:i4>
      </vt:variant>
      <vt:variant>
        <vt:i4>6</vt:i4>
      </vt:variant>
      <vt:variant>
        <vt:i4>0</vt:i4>
      </vt:variant>
      <vt:variant>
        <vt:i4>5</vt:i4>
      </vt:variant>
      <vt:variant>
        <vt:lpwstr>https://portal.cor.europa.eu/divisionpowers/Pages/Bosnia-Herzegovina.aspx</vt:lpwstr>
      </vt:variant>
      <vt:variant>
        <vt:lpwstr/>
      </vt:variant>
      <vt:variant>
        <vt:i4>3145776</vt:i4>
      </vt:variant>
      <vt:variant>
        <vt:i4>3</vt:i4>
      </vt:variant>
      <vt:variant>
        <vt:i4>0</vt:i4>
      </vt:variant>
      <vt:variant>
        <vt:i4>5</vt:i4>
      </vt:variant>
      <vt:variant>
        <vt:lpwstr>https://www.osce.org/bih/126173</vt:lpwstr>
      </vt:variant>
      <vt:variant>
        <vt:lpwstr>:~:text=Date&amp;text=The%20General%20Framework%20Agreement%20for,the%20Author%20of%20this%20document</vt:lpwstr>
      </vt:variant>
      <vt:variant>
        <vt:i4>720910</vt:i4>
      </vt:variant>
      <vt:variant>
        <vt:i4>0</vt:i4>
      </vt:variant>
      <vt:variant>
        <vt:i4>0</vt:i4>
      </vt:variant>
      <vt:variant>
        <vt:i4>5</vt:i4>
      </vt:variant>
      <vt:variant>
        <vt:lpwstr>https://ec.europa.eu/eurostat/databrowser/view/tps00001/default/table?lang=en</vt:lpwstr>
      </vt:variant>
      <vt:variant>
        <vt:lpwstr/>
      </vt:variant>
      <vt:variant>
        <vt:i4>4194377</vt:i4>
      </vt:variant>
      <vt:variant>
        <vt:i4>24</vt:i4>
      </vt:variant>
      <vt:variant>
        <vt:i4>0</vt:i4>
      </vt:variant>
      <vt:variant>
        <vt:i4>5</vt:i4>
      </vt:variant>
      <vt:variant>
        <vt:lpwstr>https://www.undp.org/bosnia-herzegovina/stories/new-water-supply-new-life-residents-gornja-bioca-near-ilijas</vt:lpwstr>
      </vt:variant>
      <vt:variant>
        <vt:lpwstr/>
      </vt:variant>
      <vt:variant>
        <vt:i4>1048655</vt:i4>
      </vt:variant>
      <vt:variant>
        <vt:i4>21</vt:i4>
      </vt:variant>
      <vt:variant>
        <vt:i4>0</vt:i4>
      </vt:variant>
      <vt:variant>
        <vt:i4>5</vt:i4>
      </vt:variant>
      <vt:variant>
        <vt:lpwstr>https://www.undp.org/bosnia-herzegovina/stories/water-connection-solves-key-issues-farmer-marko-danjko-and-residents-jablan-near-laktasi</vt:lpwstr>
      </vt:variant>
      <vt:variant>
        <vt:lpwstr/>
      </vt:variant>
      <vt:variant>
        <vt:i4>4063339</vt:i4>
      </vt:variant>
      <vt:variant>
        <vt:i4>18</vt:i4>
      </vt:variant>
      <vt:variant>
        <vt:i4>0</vt:i4>
      </vt:variant>
      <vt:variant>
        <vt:i4>5</vt:i4>
      </vt:variant>
      <vt:variant>
        <vt:lpwstr>https://www.undp.org/bosnia-herzegovina/stories/limescale-no-longer-threat-laundry-machines-mz-matici-and-bok-residents-near-orasje</vt:lpwstr>
      </vt:variant>
      <vt:variant>
        <vt:lpwstr/>
      </vt:variant>
      <vt:variant>
        <vt:i4>3735662</vt:i4>
      </vt:variant>
      <vt:variant>
        <vt:i4>15</vt:i4>
      </vt:variant>
      <vt:variant>
        <vt:i4>0</vt:i4>
      </vt:variant>
      <vt:variant>
        <vt:i4>5</vt:i4>
      </vt:variant>
      <vt:variant>
        <vt:lpwstr>https://www.undp.org/bosnia-herzegovina/stories/improving-water-services-cutting-losses-and-optimizing-governance-prijedor</vt:lpwstr>
      </vt:variant>
      <vt:variant>
        <vt:lpwstr/>
      </vt:variant>
      <vt:variant>
        <vt:i4>3342388</vt:i4>
      </vt:variant>
      <vt:variant>
        <vt:i4>12</vt:i4>
      </vt:variant>
      <vt:variant>
        <vt:i4>0</vt:i4>
      </vt:variant>
      <vt:variant>
        <vt:i4>5</vt:i4>
      </vt:variant>
      <vt:variant>
        <vt:lpwstr>https://www.undp.org/bosnia-herzegovina/stories/decades-long-water-supply-issue-babanovac-and-macino-brdo-residents-near-prnjavor-finally-resolved</vt:lpwstr>
      </vt:variant>
      <vt:variant>
        <vt:lpwstr/>
      </vt:variant>
      <vt:variant>
        <vt:i4>1638494</vt:i4>
      </vt:variant>
      <vt:variant>
        <vt:i4>9</vt:i4>
      </vt:variant>
      <vt:variant>
        <vt:i4>0</vt:i4>
      </vt:variant>
      <vt:variant>
        <vt:i4>5</vt:i4>
      </vt:variant>
      <vt:variant>
        <vt:lpwstr>https://www.undp.org/bosnia-herzegovina/stories/residents-slatina-near-samac-benefit-new-source-safe-high-quality-water-125-meters-depth</vt:lpwstr>
      </vt:variant>
      <vt:variant>
        <vt:lpwstr/>
      </vt:variant>
      <vt:variant>
        <vt:i4>2687034</vt:i4>
      </vt:variant>
      <vt:variant>
        <vt:i4>6</vt:i4>
      </vt:variant>
      <vt:variant>
        <vt:i4>0</vt:i4>
      </vt:variant>
      <vt:variant>
        <vt:i4>5</vt:i4>
      </vt:variant>
      <vt:variant>
        <vt:lpwstr>https://www.undp.org/bosnia-herzegovina/stories/improved-living-conditions-cerovac-village-near-trebinje-and-water-supply-access-neighboring-ivanica-residents</vt:lpwstr>
      </vt:variant>
      <vt:variant>
        <vt:lpwstr/>
      </vt:variant>
      <vt:variant>
        <vt:i4>5308494</vt:i4>
      </vt:variant>
      <vt:variant>
        <vt:i4>3</vt:i4>
      </vt:variant>
      <vt:variant>
        <vt:i4>0</vt:i4>
      </vt:variant>
      <vt:variant>
        <vt:i4>5</vt:i4>
      </vt:variant>
      <vt:variant>
        <vt:lpwstr>https://www.undp.org/bosnia-herzegovina/stories/thanks-heating-pipeline-1000-students-zepce-will-have-warm-classrooms-newly-built-school-building</vt:lpwstr>
      </vt:variant>
      <vt:variant>
        <vt:lpwstr/>
      </vt:variant>
      <vt:variant>
        <vt:i4>8192100</vt:i4>
      </vt:variant>
      <vt:variant>
        <vt:i4>0</vt:i4>
      </vt:variant>
      <vt:variant>
        <vt:i4>0</vt:i4>
      </vt:variant>
      <vt:variant>
        <vt:i4>5</vt:i4>
      </vt:variant>
      <vt:variant>
        <vt:lpwstr>https://hdr.undp.org/content/human-development-report-2025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2025-11-05T04:43:00Z</dcterms:created>
  <dcterms:modified xsi:type="dcterms:W3CDTF">2025-11-05T04:52:00Z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0a01c5c8-888e-479b-9d13-98f89aed9df0</vt:lpwstr>
  </property>
  <property fmtid="{D5CDD505-2E9C-101B-9397-08002B2CF9AE}" pid="4" name="MediaServiceImageTags">
    <vt:lpwstr/>
  </property>
  <property fmtid="{D5CDD505-2E9C-101B-9397-08002B2CF9AE}" pid="5" name="docLang">
    <vt:lpwstr>en</vt:lpwstr>
  </property>
</Properties>
</file>